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8"/>
          <w:szCs w:val="28"/>
        </w:rPr>
        <w:t xml:space="preserve">FREIGHT COST OPTIMIZATION — FINDINGS &amp; RECOMMENDATION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Prepared by Adham AlHers · Business Analyst Portfolio Project · August 2026</w:t>
      </w:r>
    </w:p>
    <w:p>
      <w:pPr>
        <w:pStyle w:val="Heading2"/>
        <w:spacing w:after="80" w:before="100"/>
      </w:pPr>
      <w:r>
        <w:rPr>
          <w:b/>
          <w:bCs/>
          <w:color w:val="B08D57"/>
          <w:sz w:val="24"/>
          <w:szCs w:val="24"/>
        </w:rPr>
        <w:t xml:space="preserve">Headline finding</w:t>
      </w:r>
    </w:p>
    <w:p>
      <w:pPr>
        <w:spacing w:after="160"/>
      </w:pPr>
      <w:r>
        <w:rPr>
          <w:sz w:val="22"/>
          <w:szCs w:val="22"/>
        </w:rPr>
        <w:t xml:space="preserve">On the Dublin-Cherbourg route, Atlantic Cargo Ferries is both more expensive AND less reliable than Celtic Sealink — this is not a cost-vs-reliability trade-off, it's a straightforward reallocation opportunity.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— Dublin-Cherbourg route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Celtic Sealink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Atlantic Cargo Ferries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Avg. cost per kg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€0.580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€0.662</w:t>
            </w:r>
          </w:p>
        </w:tc>
      </w:tr>
      <w:tr>
        <w:tc>
          <w:tcPr>
            <w:tcW w:type="dxa" w:w="3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On-time delivery %</w:t>
            </w:r>
          </w:p>
        </w:tc>
        <w:tc>
          <w:tcPr>
            <w:tcW w:type="dxa" w:w="27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93.1%</w:t>
            </w:r>
          </w:p>
        </w:tc>
        <w:tc>
          <w:tcPr>
            <w:tcW w:type="dxa" w:w="27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87.9%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Shipments analyzed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872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857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B08D57"/>
          <w:sz w:val="24"/>
          <w:szCs w:val="24"/>
        </w:rPr>
        <w:t xml:space="preserve">Recommendation</w:t>
      </w:r>
    </w:p>
    <w:p>
      <w:pPr>
        <w:spacing w:after="160"/>
      </w:pPr>
      <w:r>
        <w:rPr>
          <w:sz w:val="21"/>
          <w:szCs w:val="21"/>
        </w:rPr>
        <w:t xml:space="preserve">Reallocate Dublin-Cherbourg volume currently booked with Atlantic Cargo Ferries to Celtic Sealink. Applying Celtic Sealink's average rate to Atlantic Cargo Ferries' current volume on this route projects a saving of €130,645 over the 2-year analysis period (approximately €65,300/year) — a 12.4% reduction in spend on that route/carrier combination — while simultaneously improving on-time performance from 87.9% to 93.1%.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Why this satisfies the agreed requirement (BRD Section 4)</w:t>
      </w:r>
    </w:p>
    <w:p>
      <w:pPr>
        <w:spacing w:after="160"/>
      </w:pPr>
      <w:r>
        <w:rPr>
          <w:sz w:val="21"/>
          <w:szCs w:val="21"/>
        </w:rPr>
        <w:t xml:space="preserve">Stakeholders agreed cost reduction could not come at the expense of on-time performance. This recommendation clears that bar without qualification — it is a rare case where the cheaper option is also the more reliable one, removing the need to negotiate a trade-off with Warehouse Operations or Finance.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Other routes: no equivalent action recommended yet</w:t>
      </w:r>
    </w:p>
    <w:p>
      <w:pPr>
        <w:spacing w:after="100"/>
      </w:pPr>
      <w:r>
        <w:rPr>
          <w:sz w:val="21"/>
          <w:szCs w:val="21"/>
        </w:rPr>
        <w:t xml:space="preserve">• UK Landbridge (Dublin-Holyhead): Nordic Freight Lines is already both cheaper (€0.382/kg) and comparably reliable (89.4% vs. Celtic Sealink's 92.9%) — a minor reliability gap that doesn't justify disrupting the existing allocation without further review.</w:t>
      </w:r>
    </w:p>
    <w:p>
      <w:pPr>
        <w:spacing w:after="160"/>
      </w:pPr>
      <w:r>
        <w:rPr>
          <w:sz w:val="21"/>
          <w:szCs w:val="21"/>
        </w:rPr>
        <w:t xml:space="preserve">• EU Direct (Rosslare-Dunkirk): Nordic Freight Lines and Atlantic Cargo Ferries are close on both cost and reliability — no clear-cut reallocation case here; recommend re-checking at the next quarterly review rather than acting now on a marginal difference.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Next steps</w:t>
      </w:r>
    </w:p>
    <w:p>
      <w:pPr>
        <w:spacing w:after="60"/>
      </w:pPr>
      <w:r>
        <w:rPr>
          <w:sz w:val="21"/>
          <w:szCs w:val="21"/>
        </w:rPr>
        <w:t xml:space="preserve">1. Confirm Celtic Sealink has spare capacity to absorb the additional Dublin-Cherbourg volume.</w:t>
      </w:r>
    </w:p>
    <w:p>
      <w:pPr>
        <w:spacing w:after="60"/>
      </w:pPr>
      <w:r>
        <w:rPr>
          <w:sz w:val="21"/>
          <w:szCs w:val="21"/>
        </w:rPr>
        <w:t xml:space="preserve">2. Phase the reallocation over one quarter rather than switching all volume at once, to validate the rate and reliability hold at higher volume.</w:t>
      </w:r>
    </w:p>
    <w:p>
      <w:pPr>
        <w:spacing w:after="60"/>
      </w:pPr>
      <w:r>
        <w:rPr>
          <w:sz w:val="21"/>
          <w:szCs w:val="21"/>
        </w:rPr>
        <w:t xml:space="preserve">3. Establish the quarterly carrier review cadence defined in BRD Section 7 so this doesn't require an ad hoc analysis next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2026-08-08T15:51:41.279Z</dcterms:created>
  <dcterms:modified xsi:type="dcterms:W3CDTF">2026-08-08T15:51:41.279Z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