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0"/>
          <w:szCs w:val="30"/>
        </w:rPr>
        <w:t xml:space="preserve">E-COMMERCE CUSTOMER CHURN — INSIGHTS MEMO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Prepared by Adham AlHers · Data Analyst Portfolio Project · August 2026</w:t>
      </w:r>
    </w:p>
    <w:p>
      <w:pPr>
        <w:pStyle w:val="Heading2"/>
        <w:spacing w:after="80" w:before="120"/>
      </w:pPr>
      <w:r>
        <w:rPr>
          <w:b/>
          <w:bCs/>
          <w:color w:val="B08D57"/>
          <w:sz w:val="24"/>
          <w:szCs w:val="24"/>
        </w:rPr>
        <w:t xml:space="preserve">Headline finding</w:t>
      </w:r>
    </w:p>
    <w:p>
      <w:pPr>
        <w:spacing w:after="160"/>
      </w:pPr>
      <w:r>
        <w:rPr>
          <w:sz w:val="22"/>
          <w:szCs w:val="22"/>
        </w:rPr>
        <w:t xml:space="preserve">A small, high-value customer segment has quietly gone cold — and it's worth more than 5x the revenue of the entire Hibernating segment combined.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At-Risk High Value customers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297 (7.1% of customer base)</w:t>
            </w:r>
          </w:p>
        </w:tc>
      </w:tr>
      <w:tr>
        <w:tc>
          <w:tcPr>
            <w:tcW w:type="dxa" w:w="45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Revenue at stake</w:t>
            </w:r>
          </w:p>
        </w:tc>
        <w:tc>
          <w:tcPr>
            <w:tcW w:type="dxa" w:w="4500"/>
            <w:shd w:fill="FCEBE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€1,737,543</w:t>
            </w:r>
          </w:p>
        </w:tc>
      </w:tr>
      <w:tr>
        <w:tc>
          <w:tcPr>
            <w:tcW w:type="dxa" w:w="4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Avg. days since last purchase (this segment)</w:t>
            </w:r>
          </w:p>
        </w:tc>
        <w:tc>
          <w:tcPr>
            <w:tcW w:type="dxa" w:w="4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202 days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Avg. historical orders (this segment)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20.3 orders</w:t>
            </w:r>
          </w:p>
        </w:tc>
      </w:tr>
      <w:tr>
        <w:tc>
          <w:tcPr>
            <w:tcW w:type="dxa" w:w="4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Overall churn rate (all customers)</w:t>
            </w:r>
          </w:p>
        </w:tc>
        <w:tc>
          <w:tcPr>
            <w:tcW w:type="dxa" w:w="4500"/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50.8%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Ireland churn rate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57.6% (2nd-highest of any sizeable market)</w:t>
            </w:r>
          </w:p>
        </w:tc>
      </w:tr>
    </w:tbl>
    <w:p>
      <w:pPr>
        <w:pStyle w:val="Heading2"/>
        <w:spacing w:after="80" w:before="240"/>
      </w:pPr>
      <w:r>
        <w:rPr>
          <w:b/>
          <w:bCs/>
          <w:color w:val="B08D57"/>
          <w:sz w:val="24"/>
          <w:szCs w:val="24"/>
        </w:rPr>
        <w:t xml:space="preserve">Why this segment, not a blanket campaign</w:t>
      </w:r>
    </w:p>
    <w:p>
      <w:pPr>
        <w:spacing w:after="160"/>
      </w:pPr>
      <w:r>
        <w:rPr>
          <w:sz w:val="21"/>
          <w:szCs w:val="21"/>
        </w:rPr>
        <w:t xml:space="preserve">These 297 customers placed an average of 20+ orders historically — they are not price-sensitive browsers, they are proven repeat buyers who have simply stopped engaging. A site-wide discount would spend margin on customers who were never going to leave (Champions) while doing little to specifically re-engage this group. A targeted win-back sequence is both cheaper and more likely to convert.</w:t>
      </w:r>
    </w:p>
    <w:p>
      <w:pPr>
        <w:pStyle w:val="Heading2"/>
        <w:spacing w:after="80" w:before="120"/>
      </w:pPr>
      <w:r>
        <w:rPr>
          <w:b/>
          <w:bCs/>
          <w:color w:val="B08D57"/>
          <w:sz w:val="24"/>
          <w:szCs w:val="24"/>
        </w:rPr>
        <w:t xml:space="preserve">Recommendation</w:t>
      </w:r>
    </w:p>
    <w:p>
      <w:pPr>
        <w:spacing w:after="100"/>
      </w:pPr>
      <w:r>
        <w:rPr>
          <w:sz w:val="21"/>
          <w:szCs w:val="21"/>
        </w:rPr>
        <w:t xml:space="preserve">1. Launch a personalized win-back email/SMS sequence for the 297 At-Risk High Value customers within 2 weeks, referencing their past purchase categories.</w:t>
      </w:r>
    </w:p>
    <w:p>
      <w:pPr>
        <w:spacing w:after="100"/>
      </w:pPr>
      <w:r>
        <w:rPr>
          <w:sz w:val="21"/>
          <w:szCs w:val="21"/>
        </w:rPr>
        <w:t xml:space="preserve">2. Offer a modest, targeted incentive (not a blanket discount) — e.g. free shipping on next order — to lower the re-engagement barrier without eroding margin on customers who'd have returned anyway.</w:t>
      </w:r>
    </w:p>
    <w:p>
      <w:pPr>
        <w:spacing w:after="160"/>
      </w:pPr>
      <w:r>
        <w:rPr>
          <w:sz w:val="21"/>
          <w:szCs w:val="21"/>
        </w:rPr>
        <w:t xml:space="preserve">3. Separately, investigate Ireland's elevated churn rate (57.6%) as a market-specific issue — could be delivery cost, competitor activity, or a market-specific product gap.</w:t>
      </w:r>
    </w:p>
    <w:p>
      <w:pPr>
        <w:pStyle w:val="Heading2"/>
        <w:spacing w:after="80" w:before="120"/>
      </w:pPr>
      <w:r>
        <w:rPr>
          <w:b/>
          <w:bCs/>
          <w:color w:val="B08D57"/>
          <w:sz w:val="24"/>
          <w:szCs w:val="24"/>
        </w:rPr>
        <w:t xml:space="preserve">Methodology note (read before presenting this model)</w:t>
      </w:r>
    </w:p>
    <w:p>
      <w:pPr>
        <w:spacing w:after="60"/>
      </w:pPr>
      <w:r>
        <w:rPr>
          <w:sz w:val="21"/>
          <w:szCs w:val="21"/>
        </w:rPr>
        <w:t xml:space="preserve">The churn classifier (Decision Tree) scored a 0.975 ROC AUC on held-out data — unusually strong. This dataset is simulated, and the customer archetypes used to generate it create cleaner behavioral separation than real customers typically show. On real transaction data, I would expect a ROC AUC closer to 0.75–0.85. This is flagged here deliberately, not hidden.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2026-08-08T15:43:14.143Z</dcterms:created>
  <dcterms:modified xsi:type="dcterms:W3CDTF">2026-08-08T15:43:14.143Z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