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IRISH RETAIL SALES PERFORMANCE — INSIGHTS MEMO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Prepared by Adham AlHers · Data Analyst Portfolio Project · August 2026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Headline finding</w:t>
      </w:r>
    </w:p>
    <w:p>
      <w:pPr>
        <w:spacing w:after="160"/>
      </w:pPr>
      <w:r>
        <w:rPr>
          <w:sz w:val="22"/>
          <w:szCs w:val="22"/>
        </w:rPr>
        <w:t xml:space="preserve">Cork underperforms Dublin, Galway, and Limerick in Electronics — a store-specific gap, not a city-size effect.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Electronics share of revenue — Dublin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59.5%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Electronics share of revenue — Galway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59.8%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Electronics share of revenue — Limerick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59.5%</w:t>
            </w:r>
          </w:p>
        </w:tc>
      </w:tr>
      <w:tr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Electronics share of revenue — Cork</w:t>
            </w:r>
          </w:p>
        </w:tc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43.7%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Gap vs. other-store average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~16 percentage points (27% relative)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 recoverable revenue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~€26,400 / year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B08D57"/>
          <w:sz w:val="24"/>
          <w:szCs w:val="24"/>
        </w:rPr>
        <w:t xml:space="preserve">Why it's not just Dublin being bigger</w:t>
      </w:r>
    </w:p>
    <w:p>
      <w:pPr>
        <w:spacing w:after="160"/>
      </w:pPr>
      <w:r>
        <w:rPr>
          <w:sz w:val="21"/>
          <w:szCs w:val="21"/>
        </w:rPr>
        <w:t xml:space="preserve">If Cork simply had less overall footfall, every category would be proportionally lower. Instead, Cork's Homeware share (37.1% of store revenue) is above the other three stores' average (26.2%) — meaning Cork customers are shopping, just not for Electronics at the same rate as elsewhere. That points to a range, stock, or in-store merchandising issue specific to the Electronics category in Cork, not a demand or footfall problem.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Recommendation</w:t>
      </w:r>
    </w:p>
    <w:p>
      <w:pPr>
        <w:spacing w:after="100"/>
      </w:pPr>
      <w:r>
        <w:rPr>
          <w:sz w:val="21"/>
          <w:szCs w:val="21"/>
        </w:rPr>
        <w:t xml:space="preserve">1. Audit Cork's Electronics stock depth and range breadth against Dublin/Galway within 30 days.</w:t>
      </w:r>
    </w:p>
    <w:p>
      <w:pPr>
        <w:spacing w:after="100"/>
      </w:pPr>
      <w:r>
        <w:rPr>
          <w:sz w:val="21"/>
          <w:szCs w:val="21"/>
        </w:rPr>
        <w:t xml:space="preserve">2. Run a targeted in-store Electronics promotion in Cork ahead of the Q4 seasonal peak (November–December), which historically drives 30-40% higher revenue across all stores.</w:t>
      </w:r>
    </w:p>
    <w:p>
      <w:pPr>
        <w:spacing w:after="160"/>
      </w:pPr>
      <w:r>
        <w:rPr>
          <w:sz w:val="21"/>
          <w:szCs w:val="21"/>
        </w:rPr>
        <w:t xml:space="preserve">3. Re-measure Cork's Electronics revenue share after Q4 and compare against this baseline (43.7%) to validate impact.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Supporting context</w:t>
      </w:r>
    </w:p>
    <w:p>
      <w:pPr>
        <w:spacing w:after="60"/>
      </w:pPr>
      <w:r>
        <w:rPr>
          <w:sz w:val="21"/>
          <w:szCs w:val="21"/>
        </w:rPr>
        <w:t xml:space="preserve">• Dublin remains the strongest-growing store: +6.7% YoY revenue growth (2024 → 2025).</w:t>
      </w:r>
    </w:p>
    <w:p>
      <w:pPr>
        <w:spacing w:after="60"/>
      </w:pPr>
      <w:r>
        <w:rPr>
          <w:sz w:val="21"/>
          <w:szCs w:val="21"/>
        </w:rPr>
        <w:t xml:space="preserve">• Galway (-13.6%) and Limerick (-8.0%) both declined YoY and may warrant a follow-up analysis beyond the scope of this memo.</w:t>
      </w:r>
    </w:p>
    <w:p>
      <w:pPr>
        <w:spacing w:after="60"/>
      </w:pPr>
      <w:r>
        <w:rPr>
          <w:sz w:val="21"/>
          <w:szCs w:val="21"/>
        </w:rPr>
        <w:t xml:space="preserve">• Portfolio-wide average margin held steady at 27.5% across both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2026-08-08T10:52:20.648Z</dcterms:created>
  <dcterms:modified xsi:type="dcterms:W3CDTF">2026-08-08T10:52:20.649Z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