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A48E" w14:textId="77777777" w:rsidR="00F512B0" w:rsidRDefault="00000000">
      <w:pPr>
        <w:spacing w:after="40"/>
      </w:pPr>
      <w:r>
        <w:rPr>
          <w:b/>
          <w:bCs/>
          <w:color w:val="1F3864"/>
          <w:sz w:val="26"/>
          <w:szCs w:val="26"/>
        </w:rPr>
        <w:t>MARKETING CAMPAIGN ROI &amp; ATTRIBUTION — INSIGHTS MEMO</w:t>
      </w:r>
    </w:p>
    <w:p w14:paraId="40D7DCFD" w14:textId="56C38087" w:rsidR="00F512B0" w:rsidRDefault="00000000">
      <w:pPr>
        <w:spacing w:after="200"/>
      </w:pPr>
      <w:r>
        <w:rPr>
          <w:i/>
          <w:iCs/>
          <w:color w:val="666666"/>
        </w:rPr>
        <w:t>Prepared by Adham AlHers · Data Analyst / Business Analyst Portfolio Project</w:t>
      </w:r>
    </w:p>
    <w:p w14:paraId="3445A410" w14:textId="77777777" w:rsidR="00F512B0" w:rsidRDefault="00000000">
      <w:pPr>
        <w:pStyle w:val="Heading2"/>
        <w:spacing w:before="100" w:after="80"/>
      </w:pPr>
      <w:r>
        <w:rPr>
          <w:b/>
          <w:bCs/>
          <w:color w:val="B08D57"/>
          <w:sz w:val="24"/>
          <w:szCs w:val="24"/>
        </w:rPr>
        <w:t>Headline finding #1: attribution model choice changes which channel "wins"</w:t>
      </w:r>
    </w:p>
    <w:p w14:paraId="6EB3BE98" w14:textId="77777777" w:rsidR="00F512B0" w:rsidRDefault="00000000">
      <w:pPr>
        <w:spacing w:after="160"/>
      </w:pPr>
      <w:r>
        <w:rPr>
          <w:sz w:val="21"/>
          <w:szCs w:val="21"/>
        </w:rPr>
        <w:t>SEO ranks #1 in revenue credit under first-touch attribution, but drops to #4 (last) under last-touch. Email shows the exact opposite. Neither model is "correct" on its own — they answer different questions (what starts a journey vs. what closes it).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F512B0" w14:paraId="388DA64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3C3AF" w14:textId="77777777" w:rsidR="00F512B0" w:rsidRDefault="00000000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6CACC" w14:textId="77777777" w:rsidR="00F512B0" w:rsidRDefault="00000000">
            <w:r>
              <w:rPr>
                <w:b/>
                <w:bCs/>
                <w:color w:val="FFFFFF"/>
              </w:rPr>
              <w:t>First-Touch Revenue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EACC2" w14:textId="77777777" w:rsidR="00F512B0" w:rsidRDefault="00000000">
            <w:r>
              <w:rPr>
                <w:b/>
                <w:bCs/>
                <w:color w:val="FFFFFF"/>
              </w:rPr>
              <w:t>Last-Touch Revenue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659BD" w14:textId="77777777" w:rsidR="00F512B0" w:rsidRDefault="00000000">
            <w:r>
              <w:rPr>
                <w:b/>
                <w:bCs/>
                <w:color w:val="FFFFFF"/>
              </w:rPr>
              <w:t>Rank Flip</w:t>
            </w:r>
          </w:p>
        </w:tc>
      </w:tr>
      <w:tr w:rsidR="00F512B0" w14:paraId="63B675C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9F9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FCDC7" w14:textId="77777777" w:rsidR="00F512B0" w:rsidRDefault="00000000">
            <w:r>
              <w:rPr>
                <w:color w:val="222222"/>
              </w:rPr>
              <w:t>SEO</w:t>
            </w:r>
          </w:p>
        </w:tc>
        <w:tc>
          <w:tcPr>
            <w:tcW w:w="2250" w:type="dxa"/>
            <w:shd w:val="clear" w:color="auto" w:fill="E9F9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60DAF" w14:textId="77777777" w:rsidR="00F512B0" w:rsidRDefault="00000000">
            <w:r>
              <w:rPr>
                <w:b/>
                <w:bCs/>
                <w:color w:val="222222"/>
              </w:rPr>
              <w:t>€284,357 (#1)</w:t>
            </w:r>
          </w:p>
        </w:tc>
        <w:tc>
          <w:tcPr>
            <w:tcW w:w="2250" w:type="dxa"/>
            <w:shd w:val="clear" w:color="auto" w:fill="E9F9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A382" w14:textId="77777777" w:rsidR="00F512B0" w:rsidRDefault="00000000">
            <w:r>
              <w:rPr>
                <w:color w:val="222222"/>
              </w:rPr>
              <w:t>€110,536 (#4)</w:t>
            </w:r>
          </w:p>
        </w:tc>
        <w:tc>
          <w:tcPr>
            <w:tcW w:w="2250" w:type="dxa"/>
            <w:shd w:val="clear" w:color="auto" w:fill="E9F9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856CB" w14:textId="77777777" w:rsidR="00F512B0" w:rsidRDefault="00000000">
            <w:r>
              <w:rPr>
                <w:color w:val="222222"/>
              </w:rPr>
              <w:t>1 → 4</w:t>
            </w:r>
          </w:p>
        </w:tc>
      </w:tr>
      <w:tr w:rsidR="00F512B0" w14:paraId="3269D82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1FAF5" w14:textId="77777777" w:rsidR="00F512B0" w:rsidRDefault="00000000">
            <w:r>
              <w:rPr>
                <w:color w:val="222222"/>
              </w:rPr>
              <w:t>Email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57FC4" w14:textId="77777777" w:rsidR="00F512B0" w:rsidRDefault="00000000">
            <w:r>
              <w:rPr>
                <w:color w:val="222222"/>
              </w:rPr>
              <w:t>€89,074 (#4)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35838" w14:textId="77777777" w:rsidR="00F512B0" w:rsidRDefault="00000000">
            <w:r>
              <w:rPr>
                <w:b/>
                <w:bCs/>
                <w:color w:val="222222"/>
              </w:rPr>
              <w:t>€275,957 (#1)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4A45" w14:textId="77777777" w:rsidR="00F512B0" w:rsidRDefault="00000000">
            <w:r>
              <w:rPr>
                <w:color w:val="222222"/>
              </w:rPr>
              <w:t>4 → 1</w:t>
            </w:r>
          </w:p>
        </w:tc>
      </w:tr>
      <w:tr w:rsidR="00F512B0" w14:paraId="3237064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68559" w14:textId="77777777" w:rsidR="00F512B0" w:rsidRDefault="00000000">
            <w:r>
              <w:rPr>
                <w:color w:val="222222"/>
              </w:rPr>
              <w:t>Paid Social</w:t>
            </w:r>
          </w:p>
        </w:tc>
        <w:tc>
          <w:tcPr>
            <w:tcW w:w="22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66E41" w14:textId="77777777" w:rsidR="00F512B0" w:rsidRDefault="00000000">
            <w:r>
              <w:rPr>
                <w:color w:val="222222"/>
              </w:rPr>
              <w:t>€233,750 (#2)</w:t>
            </w:r>
          </w:p>
        </w:tc>
        <w:tc>
          <w:tcPr>
            <w:tcW w:w="22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07750" w14:textId="77777777" w:rsidR="00F512B0" w:rsidRDefault="00000000">
            <w:r>
              <w:rPr>
                <w:color w:val="222222"/>
              </w:rPr>
              <w:t>€120,582 (#3)</w:t>
            </w:r>
          </w:p>
        </w:tc>
        <w:tc>
          <w:tcPr>
            <w:tcW w:w="225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E0307" w14:textId="77777777" w:rsidR="00F512B0" w:rsidRDefault="00000000">
            <w:r>
              <w:rPr>
                <w:color w:val="222222"/>
              </w:rPr>
              <w:t>2 → 3</w:t>
            </w:r>
          </w:p>
        </w:tc>
      </w:tr>
      <w:tr w:rsidR="00F512B0" w14:paraId="56FA0D7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80AEA" w14:textId="77777777" w:rsidR="00F512B0" w:rsidRDefault="00000000">
            <w:r>
              <w:rPr>
                <w:color w:val="222222"/>
              </w:rPr>
              <w:t>Paid Search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6CED" w14:textId="77777777" w:rsidR="00F512B0" w:rsidRDefault="00000000">
            <w:r>
              <w:rPr>
                <w:color w:val="222222"/>
              </w:rPr>
              <w:t>€110,257 (#3)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A999" w14:textId="77777777" w:rsidR="00F512B0" w:rsidRDefault="00000000">
            <w:r>
              <w:rPr>
                <w:color w:val="222222"/>
              </w:rPr>
              <w:t>€210,363 (#2)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922D5" w14:textId="77777777" w:rsidR="00F512B0" w:rsidRDefault="00000000">
            <w:r>
              <w:rPr>
                <w:color w:val="222222"/>
              </w:rPr>
              <w:t>3 → 2</w:t>
            </w:r>
          </w:p>
        </w:tc>
      </w:tr>
    </w:tbl>
    <w:p w14:paraId="51E337AA" w14:textId="77777777" w:rsidR="00F512B0" w:rsidRDefault="00000000">
      <w:pPr>
        <w:spacing w:before="120" w:after="160"/>
      </w:pPr>
      <w:r>
        <w:rPr>
          <w:sz w:val="21"/>
          <w:szCs w:val="21"/>
        </w:rPr>
        <w:t>A budget decision based on last-touch data alone would systematically starve SEO — the channel actually bringing new people into the funnel — because SEO rarely gets to "close" a sale it started weeks earlier.</w:t>
      </w:r>
    </w:p>
    <w:p w14:paraId="14DB5FC2" w14:textId="77777777" w:rsidR="00F512B0" w:rsidRDefault="00000000">
      <w:pPr>
        <w:pStyle w:val="Heading2"/>
        <w:spacing w:before="120" w:after="80"/>
      </w:pPr>
      <w:r>
        <w:rPr>
          <w:b/>
          <w:bCs/>
          <w:color w:val="B08D57"/>
          <w:sz w:val="24"/>
          <w:szCs w:val="24"/>
        </w:rPr>
        <w:t>Headline finding #2: Paid Social is over-funded relative to its marginal returns</w:t>
      </w:r>
    </w:p>
    <w:p w14:paraId="3EF557A3" w14:textId="77777777" w:rsidR="00F512B0" w:rsidRDefault="00000000">
      <w:pPr>
        <w:spacing w:after="160"/>
      </w:pPr>
      <w:r>
        <w:rPr>
          <w:sz w:val="21"/>
          <w:szCs w:val="21"/>
        </w:rPr>
        <w:t>Paid Social receives 71.0% of total marketing budget but generates only 16.5% of total revenue. More importantly, its ROAS has fallen from 2.61x (early period, lower spend) to 1.94x (late period, higher spend) — a 25.4% decline — as spend has scaled up. This is genuine diminishing returns, not noise: Email, SEO, and Paid Search show no equivalent decline over the same period.</w:t>
      </w:r>
    </w:p>
    <w:p w14:paraId="652FF0F6" w14:textId="77777777" w:rsidR="00F512B0" w:rsidRDefault="00000000">
      <w:pPr>
        <w:pStyle w:val="Heading2"/>
        <w:spacing w:before="120" w:after="80"/>
      </w:pPr>
      <w:r>
        <w:rPr>
          <w:b/>
          <w:bCs/>
          <w:color w:val="B08D57"/>
          <w:sz w:val="24"/>
          <w:szCs w:val="24"/>
        </w:rPr>
        <w:t>Recommendation</w:t>
      </w:r>
    </w:p>
    <w:p w14:paraId="7B3C0B05" w14:textId="77777777" w:rsidR="00F512B0" w:rsidRDefault="00000000">
      <w:pPr>
        <w:spacing w:after="160"/>
      </w:pPr>
      <w:r>
        <w:rPr>
          <w:sz w:val="21"/>
          <w:szCs w:val="21"/>
        </w:rPr>
        <w:t>Shift a modest €75,000 from Paid Social to Email. This calculation uses Paid Social's actual marginal ROAS (1.94x — what the next euro spent there is really returning, not its inflated historical average) for what's given up, and a deliberately conservative estimate of Email's incremental return. Projected blended ROAS lift: +17.2%.</w:t>
      </w:r>
    </w:p>
    <w:p w14:paraId="497FB01C" w14:textId="77777777" w:rsidR="00F512B0" w:rsidRDefault="00000000">
      <w:pPr>
        <w:pStyle w:val="Heading2"/>
        <w:spacing w:before="120" w:after="80"/>
      </w:pPr>
      <w:r>
        <w:rPr>
          <w:b/>
          <w:bCs/>
          <w:color w:val="B08D57"/>
          <w:sz w:val="24"/>
          <w:szCs w:val="24"/>
        </w:rPr>
        <w:t>Methodology note — read before presenting this number</w:t>
      </w:r>
    </w:p>
    <w:p w14:paraId="4293EE39" w14:textId="77777777" w:rsidR="00F512B0" w:rsidRDefault="00000000">
      <w:pPr>
        <w:spacing w:after="160"/>
      </w:pPr>
      <w:r>
        <w:rPr>
          <w:sz w:val="21"/>
          <w:szCs w:val="21"/>
        </w:rPr>
        <w:t>Email's simulated ROAS (~148x) is unusually high in absolute terms. Rather than take that number at face value when modeling the reallocation, this recommendation deliberately caps Email's assumed incremental ROAS at 50x — roughly a third of its observed average — to account for list-size and deliverability limits that aren't captured in this dataset. A naive extrapolation using the full 148x average would suggest a much larger (and much less credible) lift. Flagging this explicitly is itself part of the analysis: knowing when a number is too good to extrapolate from is what separates a data analyst from someone who just reads a dashboard.</w:t>
      </w:r>
    </w:p>
    <w:sectPr w:rsidR="00F512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56EB9"/>
    <w:multiLevelType w:val="hybridMultilevel"/>
    <w:tmpl w:val="D7C0A1E0"/>
    <w:lvl w:ilvl="0" w:tplc="A02C3804">
      <w:start w:val="1"/>
      <w:numFmt w:val="bullet"/>
      <w:lvlText w:val="●"/>
      <w:lvlJc w:val="left"/>
      <w:pPr>
        <w:ind w:left="720" w:hanging="360"/>
      </w:pPr>
    </w:lvl>
    <w:lvl w:ilvl="1" w:tplc="6FE04228">
      <w:start w:val="1"/>
      <w:numFmt w:val="bullet"/>
      <w:lvlText w:val="○"/>
      <w:lvlJc w:val="left"/>
      <w:pPr>
        <w:ind w:left="1440" w:hanging="360"/>
      </w:pPr>
    </w:lvl>
    <w:lvl w:ilvl="2" w:tplc="7618FD5E">
      <w:start w:val="1"/>
      <w:numFmt w:val="bullet"/>
      <w:lvlText w:val="■"/>
      <w:lvlJc w:val="left"/>
      <w:pPr>
        <w:ind w:left="2160" w:hanging="360"/>
      </w:pPr>
    </w:lvl>
    <w:lvl w:ilvl="3" w:tplc="B1A8F748">
      <w:start w:val="1"/>
      <w:numFmt w:val="bullet"/>
      <w:lvlText w:val="●"/>
      <w:lvlJc w:val="left"/>
      <w:pPr>
        <w:ind w:left="2880" w:hanging="360"/>
      </w:pPr>
    </w:lvl>
    <w:lvl w:ilvl="4" w:tplc="2F5681AA">
      <w:start w:val="1"/>
      <w:numFmt w:val="bullet"/>
      <w:lvlText w:val="○"/>
      <w:lvlJc w:val="left"/>
      <w:pPr>
        <w:ind w:left="3600" w:hanging="360"/>
      </w:pPr>
    </w:lvl>
    <w:lvl w:ilvl="5" w:tplc="EB38647C">
      <w:start w:val="1"/>
      <w:numFmt w:val="bullet"/>
      <w:lvlText w:val="■"/>
      <w:lvlJc w:val="left"/>
      <w:pPr>
        <w:ind w:left="4320" w:hanging="360"/>
      </w:pPr>
    </w:lvl>
    <w:lvl w:ilvl="6" w:tplc="5956A374">
      <w:start w:val="1"/>
      <w:numFmt w:val="bullet"/>
      <w:lvlText w:val="●"/>
      <w:lvlJc w:val="left"/>
      <w:pPr>
        <w:ind w:left="5040" w:hanging="360"/>
      </w:pPr>
    </w:lvl>
    <w:lvl w:ilvl="7" w:tplc="18806B22">
      <w:start w:val="1"/>
      <w:numFmt w:val="bullet"/>
      <w:lvlText w:val="●"/>
      <w:lvlJc w:val="left"/>
      <w:pPr>
        <w:ind w:left="5760" w:hanging="360"/>
      </w:pPr>
    </w:lvl>
    <w:lvl w:ilvl="8" w:tplc="623E5B7A">
      <w:start w:val="1"/>
      <w:numFmt w:val="bullet"/>
      <w:lvlText w:val="●"/>
      <w:lvlJc w:val="left"/>
      <w:pPr>
        <w:ind w:left="6480" w:hanging="360"/>
      </w:pPr>
    </w:lvl>
  </w:abstractNum>
  <w:num w:numId="1" w16cid:durableId="850920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2B0"/>
    <w:rsid w:val="00CB2BEE"/>
    <w:rsid w:val="00F512B0"/>
    <w:rsid w:val="00F5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F7641"/>
  <w15:docId w15:val="{10BD93B1-DABB-4611-8ACF-4FF22881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Adham Kadri AlHers</cp:lastModifiedBy>
  <cp:revision>2</cp:revision>
  <cp:lastPrinted>2026-08-11T21:00:00Z</cp:lastPrinted>
  <dcterms:created xsi:type="dcterms:W3CDTF">2026-08-11T04:20:00Z</dcterms:created>
  <dcterms:modified xsi:type="dcterms:W3CDTF">2026-08-11T21:00:00Z</dcterms:modified>
</cp:coreProperties>
</file>