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996BD" w14:textId="77777777" w:rsidR="001F00FC" w:rsidRDefault="00000000">
      <w:pPr>
        <w:spacing w:after="40"/>
      </w:pPr>
      <w:r>
        <w:rPr>
          <w:b/>
          <w:bCs/>
          <w:color w:val="1F3864"/>
          <w:sz w:val="28"/>
          <w:szCs w:val="28"/>
        </w:rPr>
        <w:t>ORDER-TO-CASH — FINDINGS &amp; RECOMMENDATION</w:t>
      </w:r>
    </w:p>
    <w:p w14:paraId="382879F2" w14:textId="36B98B9C" w:rsidR="001F00FC" w:rsidRDefault="00000000">
      <w:pPr>
        <w:spacing w:after="200"/>
      </w:pPr>
      <w:r>
        <w:rPr>
          <w:i/>
          <w:iCs/>
          <w:color w:val="666666"/>
        </w:rPr>
        <w:t>Prepared by Adham AlHers · Business Analyst Portfolio Project</w:t>
      </w:r>
    </w:p>
    <w:p w14:paraId="03DB15FB" w14:textId="77777777" w:rsidR="001F00FC" w:rsidRDefault="00000000">
      <w:pPr>
        <w:pStyle w:val="Heading2"/>
        <w:spacing w:before="100" w:after="80"/>
      </w:pPr>
      <w:r>
        <w:rPr>
          <w:b/>
          <w:bCs/>
          <w:color w:val="B08D57"/>
          <w:sz w:val="24"/>
          <w:szCs w:val="24"/>
        </w:rPr>
        <w:t>Headline finding</w:t>
      </w:r>
    </w:p>
    <w:p w14:paraId="06E6E23A" w14:textId="77777777" w:rsidR="001F00FC" w:rsidRDefault="00000000">
      <w:pPr>
        <w:spacing w:after="160"/>
      </w:pPr>
      <w:r>
        <w:rPr>
          <w:sz w:val="22"/>
          <w:szCs w:val="22"/>
        </w:rPr>
        <w:t>Government segment DSO (66.8 days) is more than double SME (26.6 days) — and the gap starts before invoicing even happens, not just in payment terms.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1F00FC" w14:paraId="4235F3BC" w14:textId="77777777">
        <w:tblPrEx>
          <w:tblCellMar>
            <w:top w:w="0" w:type="dxa"/>
            <w:bottom w:w="0" w:type="dxa"/>
          </w:tblCellMar>
        </w:tblPrEx>
        <w:tc>
          <w:tcPr>
            <w:tcW w:w="3000" w:type="dxa"/>
            <w:shd w:val="clear" w:color="auto" w:fill="1F3864"/>
            <w:tcMar>
              <w:top w:w="80" w:type="dxa"/>
              <w:left w:w="100" w:type="dxa"/>
              <w:bottom w:w="80" w:type="dxa"/>
              <w:right w:w="100" w:type="dxa"/>
            </w:tcMar>
          </w:tcPr>
          <w:p w14:paraId="62818CB5" w14:textId="77777777" w:rsidR="001F00FC" w:rsidRDefault="00000000">
            <w:r>
              <w:rPr>
                <w:b/>
                <w:bCs/>
                <w:color w:val="FFFFFF"/>
              </w:rPr>
              <w:t>Metric</w:t>
            </w:r>
          </w:p>
        </w:tc>
        <w:tc>
          <w:tcPr>
            <w:tcW w:w="2000" w:type="dxa"/>
            <w:shd w:val="clear" w:color="auto" w:fill="1F3864"/>
            <w:tcMar>
              <w:top w:w="80" w:type="dxa"/>
              <w:left w:w="100" w:type="dxa"/>
              <w:bottom w:w="80" w:type="dxa"/>
              <w:right w:w="100" w:type="dxa"/>
            </w:tcMar>
          </w:tcPr>
          <w:p w14:paraId="1EFFDA17" w14:textId="77777777" w:rsidR="001F00FC" w:rsidRDefault="00000000">
            <w:r>
              <w:rPr>
                <w:b/>
                <w:bCs/>
                <w:color w:val="FFFFFF"/>
              </w:rPr>
              <w:t>SME</w:t>
            </w:r>
          </w:p>
        </w:tc>
        <w:tc>
          <w:tcPr>
            <w:tcW w:w="2000" w:type="dxa"/>
            <w:shd w:val="clear" w:color="auto" w:fill="1F3864"/>
            <w:tcMar>
              <w:top w:w="80" w:type="dxa"/>
              <w:left w:w="100" w:type="dxa"/>
              <w:bottom w:w="80" w:type="dxa"/>
              <w:right w:w="100" w:type="dxa"/>
            </w:tcMar>
          </w:tcPr>
          <w:p w14:paraId="585E7221" w14:textId="77777777" w:rsidR="001F00FC" w:rsidRDefault="00000000">
            <w:r>
              <w:rPr>
                <w:b/>
                <w:bCs/>
                <w:color w:val="FFFFFF"/>
              </w:rPr>
              <w:t>Enterprise</w:t>
            </w:r>
          </w:p>
        </w:tc>
        <w:tc>
          <w:tcPr>
            <w:tcW w:w="2000" w:type="dxa"/>
            <w:shd w:val="clear" w:color="auto" w:fill="1F3864"/>
            <w:tcMar>
              <w:top w:w="80" w:type="dxa"/>
              <w:left w:w="100" w:type="dxa"/>
              <w:bottom w:w="80" w:type="dxa"/>
              <w:right w:w="100" w:type="dxa"/>
            </w:tcMar>
          </w:tcPr>
          <w:p w14:paraId="3A4D4AA8" w14:textId="77777777" w:rsidR="001F00FC" w:rsidRDefault="00000000">
            <w:r>
              <w:rPr>
                <w:b/>
                <w:bCs/>
                <w:color w:val="FFFFFF"/>
              </w:rPr>
              <w:t>Government</w:t>
            </w:r>
          </w:p>
        </w:tc>
      </w:tr>
      <w:tr w:rsidR="001F00FC" w14:paraId="28C634E4" w14:textId="77777777">
        <w:tblPrEx>
          <w:tblCellMar>
            <w:top w:w="0" w:type="dxa"/>
            <w:bottom w:w="0" w:type="dxa"/>
          </w:tblCellMar>
        </w:tblPrEx>
        <w:tc>
          <w:tcPr>
            <w:tcW w:w="3000" w:type="dxa"/>
            <w:tcMar>
              <w:top w:w="80" w:type="dxa"/>
              <w:left w:w="100" w:type="dxa"/>
              <w:bottom w:w="80" w:type="dxa"/>
              <w:right w:w="100" w:type="dxa"/>
            </w:tcMar>
          </w:tcPr>
          <w:p w14:paraId="2AD451EF" w14:textId="77777777" w:rsidR="001F00FC" w:rsidRDefault="00000000">
            <w:r>
              <w:rPr>
                <w:color w:val="222222"/>
              </w:rPr>
              <w:t>Avg. order-to-invoice</w:t>
            </w:r>
          </w:p>
        </w:tc>
        <w:tc>
          <w:tcPr>
            <w:tcW w:w="2000" w:type="dxa"/>
            <w:tcMar>
              <w:top w:w="80" w:type="dxa"/>
              <w:left w:w="100" w:type="dxa"/>
              <w:bottom w:w="80" w:type="dxa"/>
              <w:right w:w="100" w:type="dxa"/>
            </w:tcMar>
          </w:tcPr>
          <w:p w14:paraId="2E58011C" w14:textId="77777777" w:rsidR="001F00FC" w:rsidRDefault="00000000">
            <w:r>
              <w:rPr>
                <w:color w:val="222222"/>
              </w:rPr>
              <w:t>2.2 days</w:t>
            </w:r>
          </w:p>
        </w:tc>
        <w:tc>
          <w:tcPr>
            <w:tcW w:w="2000" w:type="dxa"/>
            <w:tcMar>
              <w:top w:w="80" w:type="dxa"/>
              <w:left w:w="100" w:type="dxa"/>
              <w:bottom w:w="80" w:type="dxa"/>
              <w:right w:w="100" w:type="dxa"/>
            </w:tcMar>
          </w:tcPr>
          <w:p w14:paraId="012F6D5C" w14:textId="77777777" w:rsidR="001F00FC" w:rsidRDefault="00000000">
            <w:r>
              <w:rPr>
                <w:color w:val="222222"/>
              </w:rPr>
              <w:t>4.1 days</w:t>
            </w:r>
          </w:p>
        </w:tc>
        <w:tc>
          <w:tcPr>
            <w:tcW w:w="2000" w:type="dxa"/>
            <w:tcMar>
              <w:top w:w="80" w:type="dxa"/>
              <w:left w:w="100" w:type="dxa"/>
              <w:bottom w:w="80" w:type="dxa"/>
              <w:right w:w="100" w:type="dxa"/>
            </w:tcMar>
          </w:tcPr>
          <w:p w14:paraId="13832244" w14:textId="77777777" w:rsidR="001F00FC" w:rsidRDefault="00000000">
            <w:r>
              <w:rPr>
                <w:b/>
                <w:bCs/>
                <w:color w:val="222222"/>
              </w:rPr>
              <w:t>12.6 days</w:t>
            </w:r>
          </w:p>
        </w:tc>
      </w:tr>
      <w:tr w:rsidR="001F00FC" w14:paraId="42DD3D5A" w14:textId="77777777">
        <w:tblPrEx>
          <w:tblCellMar>
            <w:top w:w="0" w:type="dxa"/>
            <w:bottom w:w="0" w:type="dxa"/>
          </w:tblCellMar>
        </w:tblPrEx>
        <w:tc>
          <w:tcPr>
            <w:tcW w:w="3000" w:type="dxa"/>
            <w:shd w:val="clear" w:color="auto" w:fill="EAF1F8"/>
            <w:tcMar>
              <w:top w:w="80" w:type="dxa"/>
              <w:left w:w="100" w:type="dxa"/>
              <w:bottom w:w="80" w:type="dxa"/>
              <w:right w:w="100" w:type="dxa"/>
            </w:tcMar>
          </w:tcPr>
          <w:p w14:paraId="56E7D7EB" w14:textId="77777777" w:rsidR="001F00FC" w:rsidRDefault="00000000">
            <w:r>
              <w:rPr>
                <w:color w:val="222222"/>
              </w:rPr>
              <w:t>Avg. invoice-to-payment</w:t>
            </w:r>
          </w:p>
        </w:tc>
        <w:tc>
          <w:tcPr>
            <w:tcW w:w="2000" w:type="dxa"/>
            <w:shd w:val="clear" w:color="auto" w:fill="EAF1F8"/>
            <w:tcMar>
              <w:top w:w="80" w:type="dxa"/>
              <w:left w:w="100" w:type="dxa"/>
              <w:bottom w:w="80" w:type="dxa"/>
              <w:right w:w="100" w:type="dxa"/>
            </w:tcMar>
          </w:tcPr>
          <w:p w14:paraId="175346B3" w14:textId="77777777" w:rsidR="001F00FC" w:rsidRDefault="00000000">
            <w:r>
              <w:rPr>
                <w:color w:val="222222"/>
              </w:rPr>
              <w:t>26.9 days</w:t>
            </w:r>
          </w:p>
        </w:tc>
        <w:tc>
          <w:tcPr>
            <w:tcW w:w="2000" w:type="dxa"/>
            <w:shd w:val="clear" w:color="auto" w:fill="EAF1F8"/>
            <w:tcMar>
              <w:top w:w="80" w:type="dxa"/>
              <w:left w:w="100" w:type="dxa"/>
              <w:bottom w:w="80" w:type="dxa"/>
              <w:right w:w="100" w:type="dxa"/>
            </w:tcMar>
          </w:tcPr>
          <w:p w14:paraId="70CC079B" w14:textId="77777777" w:rsidR="001F00FC" w:rsidRDefault="00000000">
            <w:r>
              <w:rPr>
                <w:color w:val="222222"/>
              </w:rPr>
              <w:t>32.9 days</w:t>
            </w:r>
          </w:p>
        </w:tc>
        <w:tc>
          <w:tcPr>
            <w:tcW w:w="2000" w:type="dxa"/>
            <w:shd w:val="clear" w:color="auto" w:fill="EAF1F8"/>
            <w:tcMar>
              <w:top w:w="80" w:type="dxa"/>
              <w:left w:w="100" w:type="dxa"/>
              <w:bottom w:w="80" w:type="dxa"/>
              <w:right w:w="100" w:type="dxa"/>
            </w:tcMar>
          </w:tcPr>
          <w:p w14:paraId="5E4CC98E" w14:textId="77777777" w:rsidR="001F00FC" w:rsidRDefault="00000000">
            <w:r>
              <w:rPr>
                <w:b/>
                <w:bCs/>
                <w:color w:val="222222"/>
              </w:rPr>
              <w:t>68.1 days</w:t>
            </w:r>
          </w:p>
        </w:tc>
      </w:tr>
      <w:tr w:rsidR="001F00FC" w14:paraId="01A28D4A" w14:textId="77777777">
        <w:tblPrEx>
          <w:tblCellMar>
            <w:top w:w="0" w:type="dxa"/>
            <w:bottom w:w="0" w:type="dxa"/>
          </w:tblCellMar>
        </w:tblPrEx>
        <w:tc>
          <w:tcPr>
            <w:tcW w:w="3000" w:type="dxa"/>
            <w:tcMar>
              <w:top w:w="80" w:type="dxa"/>
              <w:left w:w="100" w:type="dxa"/>
              <w:bottom w:w="80" w:type="dxa"/>
              <w:right w:w="100" w:type="dxa"/>
            </w:tcMar>
          </w:tcPr>
          <w:p w14:paraId="3C878DB2" w14:textId="77777777" w:rsidR="001F00FC" w:rsidRDefault="00000000">
            <w:r>
              <w:rPr>
                <w:color w:val="222222"/>
              </w:rPr>
              <w:t>DSO (value-weighted)</w:t>
            </w:r>
          </w:p>
        </w:tc>
        <w:tc>
          <w:tcPr>
            <w:tcW w:w="2000" w:type="dxa"/>
            <w:tcMar>
              <w:top w:w="80" w:type="dxa"/>
              <w:left w:w="100" w:type="dxa"/>
              <w:bottom w:w="80" w:type="dxa"/>
              <w:right w:w="100" w:type="dxa"/>
            </w:tcMar>
          </w:tcPr>
          <w:p w14:paraId="3753C400" w14:textId="77777777" w:rsidR="001F00FC" w:rsidRDefault="00000000">
            <w:r>
              <w:rPr>
                <w:color w:val="222222"/>
              </w:rPr>
              <w:t>26.6 days</w:t>
            </w:r>
          </w:p>
        </w:tc>
        <w:tc>
          <w:tcPr>
            <w:tcW w:w="2000" w:type="dxa"/>
            <w:tcMar>
              <w:top w:w="80" w:type="dxa"/>
              <w:left w:w="100" w:type="dxa"/>
              <w:bottom w:w="80" w:type="dxa"/>
              <w:right w:w="100" w:type="dxa"/>
            </w:tcMar>
          </w:tcPr>
          <w:p w14:paraId="239301C7" w14:textId="77777777" w:rsidR="001F00FC" w:rsidRDefault="00000000">
            <w:r>
              <w:rPr>
                <w:color w:val="222222"/>
              </w:rPr>
              <w:t>33.3 days</w:t>
            </w:r>
          </w:p>
        </w:tc>
        <w:tc>
          <w:tcPr>
            <w:tcW w:w="2000" w:type="dxa"/>
            <w:tcMar>
              <w:top w:w="80" w:type="dxa"/>
              <w:left w:w="100" w:type="dxa"/>
              <w:bottom w:w="80" w:type="dxa"/>
              <w:right w:w="100" w:type="dxa"/>
            </w:tcMar>
          </w:tcPr>
          <w:p w14:paraId="59B7F799" w14:textId="77777777" w:rsidR="001F00FC" w:rsidRDefault="00000000">
            <w:r>
              <w:rPr>
                <w:b/>
                <w:bCs/>
                <w:color w:val="222222"/>
              </w:rPr>
              <w:t>66.8 days</w:t>
            </w:r>
          </w:p>
        </w:tc>
      </w:tr>
      <w:tr w:rsidR="001F00FC" w14:paraId="3404F170" w14:textId="77777777">
        <w:tblPrEx>
          <w:tblCellMar>
            <w:top w:w="0" w:type="dxa"/>
            <w:bottom w:w="0" w:type="dxa"/>
          </w:tblCellMar>
        </w:tblPrEx>
        <w:tc>
          <w:tcPr>
            <w:tcW w:w="3000" w:type="dxa"/>
            <w:shd w:val="clear" w:color="auto" w:fill="FCEBEB"/>
            <w:tcMar>
              <w:top w:w="80" w:type="dxa"/>
              <w:left w:w="100" w:type="dxa"/>
              <w:bottom w:w="80" w:type="dxa"/>
              <w:right w:w="100" w:type="dxa"/>
            </w:tcMar>
          </w:tcPr>
          <w:p w14:paraId="54130827" w14:textId="77777777" w:rsidR="001F00FC" w:rsidRDefault="00000000">
            <w:r>
              <w:rPr>
                <w:color w:val="222222"/>
              </w:rPr>
              <w:t>Outstanding AR (open orders)</w:t>
            </w:r>
          </w:p>
        </w:tc>
        <w:tc>
          <w:tcPr>
            <w:tcW w:w="2000" w:type="dxa"/>
            <w:shd w:val="clear" w:color="auto" w:fill="FCEBEB"/>
            <w:tcMar>
              <w:top w:w="80" w:type="dxa"/>
              <w:left w:w="100" w:type="dxa"/>
              <w:bottom w:w="80" w:type="dxa"/>
              <w:right w:w="100" w:type="dxa"/>
            </w:tcMar>
          </w:tcPr>
          <w:p w14:paraId="792CA9D1" w14:textId="77777777" w:rsidR="001F00FC" w:rsidRDefault="00000000">
            <w:r>
              <w:rPr>
                <w:color w:val="222222"/>
              </w:rPr>
              <w:t>~€10K</w:t>
            </w:r>
          </w:p>
        </w:tc>
        <w:tc>
          <w:tcPr>
            <w:tcW w:w="2000" w:type="dxa"/>
            <w:shd w:val="clear" w:color="auto" w:fill="FCEBEB"/>
            <w:tcMar>
              <w:top w:w="80" w:type="dxa"/>
              <w:left w:w="100" w:type="dxa"/>
              <w:bottom w:w="80" w:type="dxa"/>
              <w:right w:w="100" w:type="dxa"/>
            </w:tcMar>
          </w:tcPr>
          <w:p w14:paraId="417BA093" w14:textId="77777777" w:rsidR="001F00FC" w:rsidRDefault="00000000">
            <w:r>
              <w:rPr>
                <w:color w:val="222222"/>
              </w:rPr>
              <w:t>~€343K</w:t>
            </w:r>
          </w:p>
        </w:tc>
        <w:tc>
          <w:tcPr>
            <w:tcW w:w="2000" w:type="dxa"/>
            <w:shd w:val="clear" w:color="auto" w:fill="FCEBEB"/>
            <w:tcMar>
              <w:top w:w="80" w:type="dxa"/>
              <w:left w:w="100" w:type="dxa"/>
              <w:bottom w:w="80" w:type="dxa"/>
              <w:right w:w="100" w:type="dxa"/>
            </w:tcMar>
          </w:tcPr>
          <w:p w14:paraId="3ECC05BD" w14:textId="77777777" w:rsidR="001F00FC" w:rsidRDefault="00000000">
            <w:r>
              <w:rPr>
                <w:b/>
                <w:bCs/>
                <w:color w:val="222222"/>
              </w:rPr>
              <w:t>~€6.84M</w:t>
            </w:r>
          </w:p>
        </w:tc>
      </w:tr>
    </w:tbl>
    <w:p w14:paraId="3CAF1DFE" w14:textId="77777777" w:rsidR="001F00FC" w:rsidRDefault="00000000">
      <w:pPr>
        <w:pStyle w:val="Heading2"/>
        <w:spacing w:before="240" w:after="80"/>
      </w:pPr>
      <w:r>
        <w:rPr>
          <w:b/>
          <w:bCs/>
          <w:color w:val="B08D57"/>
          <w:sz w:val="24"/>
          <w:szCs w:val="24"/>
        </w:rPr>
        <w:t>The bottleneck: it starts before the invoice is even issued</w:t>
      </w:r>
    </w:p>
    <w:p w14:paraId="251E7DFB" w14:textId="77777777" w:rsidR="001F00FC" w:rsidRDefault="00000000">
      <w:pPr>
        <w:spacing w:after="160"/>
      </w:pPr>
      <w:r>
        <w:rPr>
          <w:sz w:val="21"/>
          <w:szCs w:val="21"/>
        </w:rPr>
        <w:t>The instinctive assumption is that government payment cycles are just slow — a fact of doing business with the public sector that can't be fixed. That's only half the story. Government orders take 12.6 days from order to invoice — 10.4 days longer than SME — due to a manual approval step exclusive to government contracts. That delay happens entirely inside the company, before the invoice is even sent, and before the government's own (unavoidably slower) payment process even starts.</w:t>
      </w:r>
    </w:p>
    <w:p w14:paraId="1DD3BE75" w14:textId="77777777" w:rsidR="001F00FC" w:rsidRDefault="00000000">
      <w:pPr>
        <w:pStyle w:val="Heading2"/>
        <w:spacing w:before="120" w:after="80"/>
      </w:pPr>
      <w:r>
        <w:rPr>
          <w:b/>
          <w:bCs/>
          <w:color w:val="B08D57"/>
          <w:sz w:val="24"/>
          <w:szCs w:val="24"/>
        </w:rPr>
        <w:t>Recommendation</w:t>
      </w:r>
    </w:p>
    <w:p w14:paraId="5F3E51CA" w14:textId="77777777" w:rsidR="001F00FC" w:rsidRDefault="00000000">
      <w:pPr>
        <w:spacing w:after="160"/>
      </w:pPr>
      <w:r>
        <w:rPr>
          <w:sz w:val="21"/>
          <w:szCs w:val="21"/>
        </w:rPr>
        <w:t>Automate invoice validation against the purchase order and contract terms for government orders, removing the manual approval step, targeting invoice issuance in under 3 days (in line with SME/Enterprise). This does not touch the external, unchangeable government payment-run timeline — it only removes internal delay the company controls.</w:t>
      </w:r>
    </w:p>
    <w:p w14:paraId="74D49091" w14:textId="77777777" w:rsidR="001F00FC" w:rsidRDefault="00000000">
      <w:pPr>
        <w:pStyle w:val="Heading2"/>
        <w:spacing w:before="120" w:after="80"/>
      </w:pPr>
      <w:r>
        <w:rPr>
          <w:b/>
          <w:bCs/>
          <w:color w:val="B08D57"/>
          <w:sz w:val="24"/>
          <w:szCs w:val="24"/>
        </w:rPr>
        <w:t>Cash-flow impact</w:t>
      </w:r>
    </w:p>
    <w:p w14:paraId="19BAF0E1" w14:textId="77777777" w:rsidR="001F00FC" w:rsidRDefault="00000000">
      <w:pPr>
        <w:spacing w:after="160"/>
      </w:pPr>
      <w:r>
        <w:rPr>
          <w:sz w:val="21"/>
          <w:szCs w:val="21"/>
        </w:rPr>
        <w:t>Government revenue over the analysis period averages approximately €157,000/day. Reducing the order-to-invoice delay by 7 days — well within reach of an automated validation step — frees an estimated €1,103,172 in working capital, without any change to government payment behavior, contract terms, or customer relationship.</w:t>
      </w:r>
    </w:p>
    <w:p w14:paraId="33B7B84A" w14:textId="77777777" w:rsidR="001F00FC" w:rsidRDefault="00000000">
      <w:pPr>
        <w:pStyle w:val="Heading2"/>
        <w:spacing w:before="120" w:after="80"/>
      </w:pPr>
      <w:r>
        <w:rPr>
          <w:b/>
          <w:bCs/>
          <w:color w:val="B08D57"/>
          <w:sz w:val="24"/>
          <w:szCs w:val="24"/>
        </w:rPr>
        <w:t>Why this matters beyond the number</w:t>
      </w:r>
    </w:p>
    <w:p w14:paraId="2A25AC7A" w14:textId="77777777" w:rsidR="001F00FC" w:rsidRDefault="00000000">
      <w:pPr>
        <w:spacing w:after="60"/>
      </w:pPr>
      <w:r>
        <w:rPr>
          <w:sz w:val="21"/>
          <w:szCs w:val="21"/>
        </w:rPr>
        <w:t>€6.84M currently sits in outstanding Government receivables — over 90% of all outstanding AR across the business, despite Government being only 15% of order volume. A process fix here has a disproportionately large effect on overall cash position relative to its scope.</w:t>
      </w:r>
    </w:p>
    <w:sectPr w:rsidR="001F00F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A4B70"/>
    <w:multiLevelType w:val="hybridMultilevel"/>
    <w:tmpl w:val="8DC8CF76"/>
    <w:lvl w:ilvl="0" w:tplc="99DE58EC">
      <w:start w:val="1"/>
      <w:numFmt w:val="bullet"/>
      <w:lvlText w:val="●"/>
      <w:lvlJc w:val="left"/>
      <w:pPr>
        <w:ind w:left="720" w:hanging="360"/>
      </w:pPr>
    </w:lvl>
    <w:lvl w:ilvl="1" w:tplc="DFA8AD7C">
      <w:start w:val="1"/>
      <w:numFmt w:val="bullet"/>
      <w:lvlText w:val="○"/>
      <w:lvlJc w:val="left"/>
      <w:pPr>
        <w:ind w:left="1440" w:hanging="360"/>
      </w:pPr>
    </w:lvl>
    <w:lvl w:ilvl="2" w:tplc="E1D2D1DC">
      <w:start w:val="1"/>
      <w:numFmt w:val="bullet"/>
      <w:lvlText w:val="■"/>
      <w:lvlJc w:val="left"/>
      <w:pPr>
        <w:ind w:left="2160" w:hanging="360"/>
      </w:pPr>
    </w:lvl>
    <w:lvl w:ilvl="3" w:tplc="A52896E6">
      <w:start w:val="1"/>
      <w:numFmt w:val="bullet"/>
      <w:lvlText w:val="●"/>
      <w:lvlJc w:val="left"/>
      <w:pPr>
        <w:ind w:left="2880" w:hanging="360"/>
      </w:pPr>
    </w:lvl>
    <w:lvl w:ilvl="4" w:tplc="648EF656">
      <w:start w:val="1"/>
      <w:numFmt w:val="bullet"/>
      <w:lvlText w:val="○"/>
      <w:lvlJc w:val="left"/>
      <w:pPr>
        <w:ind w:left="3600" w:hanging="360"/>
      </w:pPr>
    </w:lvl>
    <w:lvl w:ilvl="5" w:tplc="CCD6D0D2">
      <w:start w:val="1"/>
      <w:numFmt w:val="bullet"/>
      <w:lvlText w:val="■"/>
      <w:lvlJc w:val="left"/>
      <w:pPr>
        <w:ind w:left="4320" w:hanging="360"/>
      </w:pPr>
    </w:lvl>
    <w:lvl w:ilvl="6" w:tplc="92622E34">
      <w:start w:val="1"/>
      <w:numFmt w:val="bullet"/>
      <w:lvlText w:val="●"/>
      <w:lvlJc w:val="left"/>
      <w:pPr>
        <w:ind w:left="5040" w:hanging="360"/>
      </w:pPr>
    </w:lvl>
    <w:lvl w:ilvl="7" w:tplc="E954D2E2">
      <w:start w:val="1"/>
      <w:numFmt w:val="bullet"/>
      <w:lvlText w:val="●"/>
      <w:lvlJc w:val="left"/>
      <w:pPr>
        <w:ind w:left="5760" w:hanging="360"/>
      </w:pPr>
    </w:lvl>
    <w:lvl w:ilvl="8" w:tplc="BB2C26F4">
      <w:start w:val="1"/>
      <w:numFmt w:val="bullet"/>
      <w:lvlText w:val="●"/>
      <w:lvlJc w:val="left"/>
      <w:pPr>
        <w:ind w:left="6480" w:hanging="360"/>
      </w:pPr>
    </w:lvl>
  </w:abstractNum>
  <w:num w:numId="1" w16cid:durableId="10114928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0FC"/>
    <w:rsid w:val="0012470A"/>
    <w:rsid w:val="001F00FC"/>
    <w:rsid w:val="00F57C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289A0"/>
  <w15:docId w15:val="{10BD93B1-DABB-4611-8ACF-4FF228813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307</Words>
  <Characters>1755</Characters>
  <Application>Microsoft Office Word</Application>
  <DocSecurity>0</DocSecurity>
  <Lines>14</Lines>
  <Paragraphs>4</Paragraphs>
  <ScaleCrop>false</ScaleCrop>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Adham Kadri AlHers</cp:lastModifiedBy>
  <cp:revision>2</cp:revision>
  <cp:lastPrinted>2026-08-10T18:56:00Z</cp:lastPrinted>
  <dcterms:created xsi:type="dcterms:W3CDTF">2026-08-10T18:13:00Z</dcterms:created>
  <dcterms:modified xsi:type="dcterms:W3CDTF">2026-08-10T18:56:00Z</dcterms:modified>
</cp:coreProperties>
</file>