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Taniya</w:t>
      </w:r>
      <w:r>
        <w:t xml:space="preserve"> </w:t>
      </w:r>
      <w:r>
        <w:t xml:space="preserve">Adhikari</w:t>
      </w:r>
    </w:p>
    <w:p>
      <w:pPr>
        <w:pStyle w:val="Date"/>
      </w:pPr>
      <w:r>
        <w:t xml:space="preserve">2020-09-26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Korean BBQ</w:t>
      </w:r>
    </w:p>
    <w:p>
      <w:pPr>
        <w:pStyle w:val="Compact"/>
        <w:numPr>
          <w:numId w:val="1001"/>
          <w:ilvl w:val="0"/>
        </w:numPr>
      </w:pPr>
      <w:r>
        <w:t xml:space="preserve">Japanese Ramen bowl</w:t>
      </w:r>
    </w:p>
    <w:p>
      <w:pPr>
        <w:pStyle w:val="Compact"/>
        <w:numPr>
          <w:numId w:val="1001"/>
          <w:ilvl w:val="0"/>
        </w:numPr>
      </w:pPr>
      <w:r>
        <w:t xml:space="preserve">Nepalese Momos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You came her empty-handed, and you will leave empty-handed.What is yours today belonged to someone else yesterday, and will belong to someone else tomorrow.</w:t>
      </w:r>
      <w:r>
        <w:t xml:space="preserve">”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w:r>
        <w:t xml:space="preserve">We say that the limit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approaches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write this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a</m:t>
              </m:r>
            </m:lim>
          </m:limLow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L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provided we can make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as close to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 we want for all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sufficiently close to</w:t>
      </w:r>
      <w:r>
        <w:t xml:space="preserve"> </w:t>
      </w:r>
      <m:oMath>
        <m:r>
          <m:t>a</m:t>
        </m:r>
      </m:oMath>
      <w:r>
        <w:t xml:space="preserve">, both sides, without letting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7_AdhikariTaniy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7_AdhikariTaniy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TableCaption"/>
      </w:pPr>
      <w:r>
        <w:t xml:space="preserve">Pandoc Table</w:t>
      </w:r>
    </w:p>
    <w:tbl>
      <w:tblPr>
        <w:tblStyle w:val="Table"/>
        <w:tblW w:type="pct" w:w="0.0"/>
        <w:tblLook w:firstRow="1"/>
        <w:tblCaption w:val="Pandoc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Definition of limit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>Taniya Adhikari</dc:creator>
  <cp:keywords/>
  <dcterms:created xsi:type="dcterms:W3CDTF">2020-09-28T03:04:55Z</dcterms:created>
  <dcterms:modified xsi:type="dcterms:W3CDTF">2020-09-28T03:04:55Z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2020-09-26</vt:lpwstr>
  </property>
  <property fmtid="{D5CDD505-2E9C-101B-9397-08002B2CF9AE}" pid="4" name="output">
    <vt:lpwstr/>
  </property>
</Properties>
</file>