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Calibri" w:hAnsi="Calibri"/>
          <w:b/>
          <w:i w:val="0"/>
          <w:sz w:val="22"/>
        </w:rPr>
        <w:t>2026 S.T. Yau High School Science Award (Asia)</w:t>
      </w:r>
    </w:p>
    <w:p>
      <w:pPr>
        <w:spacing w:before="0" w:after="80" w:line="360" w:lineRule="auto"/>
        <w:jc w:val="center"/>
      </w:pPr>
      <w:r>
        <w:rPr>
          <w:rFonts w:ascii="Calibri" w:hAnsi="Calibri"/>
          <w:b/>
          <w:i w:val="0"/>
          <w:sz w:val="22"/>
        </w:rPr>
        <w:t>Research Outline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vAlign w:val="center"/>
          </w:tcPr>
          <w:p>
            <w:pPr>
              <w:spacing w:before="20" w:after="20" w:line="240" w:lineRule="auto"/>
              <w:jc w:val="left"/>
            </w:pPr>
          </w:p>
        </w:tc>
        <w:tc>
          <w:tcPr>
            <w:tcW w:type="dxa" w:w="2364"/>
            <w:vAlign w:val="center"/>
          </w:tcPr>
          <w:p>
            <w:pPr>
              <w:spacing w:before="20" w:after="20" w:line="240" w:lineRule="auto"/>
              <w:jc w:val="center"/>
            </w:pPr>
            <w:r>
              <w:rPr>
                <w:rFonts w:ascii="Calibri" w:hAnsi="Calibri"/>
                <w:b w:val="0"/>
                <w:sz w:val="22"/>
              </w:rPr>
              <w:t>Team Member</w:t>
            </w:r>
          </w:p>
        </w:tc>
        <w:tc>
          <w:tcPr>
            <w:tcW w:type="dxa" w:w="2364"/>
            <w:vAlign w:val="center"/>
          </w:tcPr>
          <w:p>
            <w:pPr>
              <w:spacing w:before="20" w:after="20" w:line="240" w:lineRule="auto"/>
              <w:jc w:val="center"/>
            </w:pPr>
            <w:r>
              <w:rPr>
                <w:rFonts w:ascii="Calibri" w:hAnsi="Calibri"/>
                <w:b w:val="0"/>
                <w:sz w:val="22"/>
              </w:rPr>
              <w:t>Team Member</w:t>
            </w:r>
          </w:p>
        </w:tc>
        <w:tc>
          <w:tcPr>
            <w:tcW w:type="dxa" w:w="2358"/>
            <w:vAlign w:val="center"/>
          </w:tcPr>
          <w:p>
            <w:pPr>
              <w:spacing w:before="20" w:after="20" w:line="240" w:lineRule="auto"/>
              <w:jc w:val="center"/>
            </w:pPr>
            <w:r>
              <w:rPr>
                <w:rFonts w:ascii="Calibri" w:hAnsi="Calibri"/>
                <w:b w:val="0"/>
                <w:sz w:val="22"/>
              </w:rPr>
              <w:t>Team Member</w:t>
            </w:r>
          </w:p>
        </w:tc>
      </w:tr>
      <w:tr>
        <w:tc>
          <w:tcPr>
            <w:tcW w:type="dxa" w:w="1984"/>
            <w:vAlign w:val="center"/>
          </w:tcPr>
          <w:p>
            <w:pPr>
              <w:spacing w:before="20" w:after="20" w:line="240" w:lineRule="auto"/>
              <w:jc w:val="left"/>
            </w:pPr>
            <w:r>
              <w:rPr>
                <w:rFonts w:ascii="Calibri" w:hAnsi="Calibri"/>
                <w:b w:val="0"/>
                <w:sz w:val="22"/>
              </w:rPr>
              <w:t>Name</w:t>
            </w:r>
          </w:p>
        </w:tc>
        <w:tc>
          <w:tcPr>
            <w:tcW w:type="dxa" w:w="2364"/>
            <w:vAlign w:val="center"/>
          </w:tcPr>
          <w:p>
            <w:pPr>
              <w:spacing w:before="20" w:after="20" w:line="240" w:lineRule="auto"/>
              <w:jc w:val="left"/>
            </w:pPr>
            <w:r>
              <w:rPr>
                <w:rFonts w:ascii="Calibri" w:hAnsi="Calibri"/>
                <w:b w:val="0"/>
                <w:sz w:val="22"/>
              </w:rPr>
              <w:t>Aarush Gupta</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School</w:t>
            </w:r>
          </w:p>
        </w:tc>
        <w:tc>
          <w:tcPr>
            <w:tcW w:type="dxa" w:w="2364"/>
            <w:vAlign w:val="center"/>
          </w:tcPr>
          <w:p>
            <w:pPr>
              <w:spacing w:before="20" w:after="20" w:line="240" w:lineRule="auto"/>
              <w:jc w:val="left"/>
            </w:pPr>
            <w:r>
              <w:rPr>
                <w:rFonts w:ascii="Calibri" w:hAnsi="Calibri"/>
                <w:b w:val="0"/>
                <w:sz w:val="22"/>
              </w:rPr>
              <w:t>UWCSEA, East</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City, Country</w:t>
            </w:r>
          </w:p>
        </w:tc>
        <w:tc>
          <w:tcPr>
            <w:tcW w:type="dxa" w:w="2364"/>
            <w:vAlign w:val="center"/>
          </w:tcPr>
          <w:p>
            <w:pPr>
              <w:spacing w:before="20" w:after="20" w:line="240" w:lineRule="auto"/>
              <w:jc w:val="left"/>
            </w:pPr>
            <w:r>
              <w:rPr>
                <w:rFonts w:ascii="Calibri" w:hAnsi="Calibri"/>
                <w:b w:val="0"/>
                <w:sz w:val="22"/>
              </w:rPr>
              <w:t>Singapore</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Registration No.</w:t>
            </w:r>
          </w:p>
        </w:tc>
        <w:tc>
          <w:tcPr>
            <w:tcW w:type="dxa" w:w="7086"/>
            <w:gridSpan w:val="3"/>
            <w:vAlign w:val="center"/>
          </w:tcPr>
          <w:p>
            <w:pPr>
              <w:spacing w:before="20" w:after="20" w:line="240" w:lineRule="auto"/>
              <w:jc w:val="left"/>
            </w:pPr>
            <w:r>
              <w:rPr>
                <w:rFonts w:ascii="Calibri" w:hAnsi="Calibri"/>
                <w:b w:val="0"/>
                <w:sz w:val="22"/>
              </w:rPr>
              <w:t>[Physics-0XX — assigned at registration]</w:t>
            </w:r>
          </w:p>
        </w:tc>
      </w:tr>
    </w:tbl>
    <w:p>
      <w:pPr>
        <w:spacing w:after="80"/>
      </w:pPr>
    </w:p>
    <w:tbl>
      <w:tblPr>
        <w:tblStyle w:val="TableGrid"/>
        <w:tblW w:type="auto" w:w="0"/>
        <w:jc w:val="center"/>
        <w:tblLook w:firstColumn="1" w:firstRow="1" w:lastColumn="0" w:lastRow="0" w:noHBand="0" w:noVBand="1" w:val="04A0"/>
      </w:tblPr>
      <w:tblGrid>
        <w:gridCol w:w="1984"/>
        <w:gridCol w:w="7087"/>
      </w:tblGrid>
      <w:tr>
        <w:tc>
          <w:tcPr>
            <w:tcW w:type="dxa" w:w="9071"/>
            <w:gridSpan w:val="2"/>
            <w:vAlign w:val="center"/>
          </w:tcPr>
          <w:p>
            <w:pPr>
              <w:spacing w:before="20" w:after="20" w:line="240" w:lineRule="auto"/>
              <w:jc w:val="center"/>
            </w:pPr>
            <w:r>
              <w:rPr>
                <w:rFonts w:ascii="Calibri" w:hAnsi="Calibri"/>
                <w:b w:val="0"/>
                <w:sz w:val="22"/>
              </w:rPr>
              <w:t>Supervising Teacher</w:t>
            </w:r>
          </w:p>
        </w:tc>
      </w:tr>
      <w:tr>
        <w:tc>
          <w:tcPr>
            <w:tcW w:type="dxa" w:w="1984"/>
            <w:vAlign w:val="center"/>
          </w:tcPr>
          <w:p>
            <w:pPr>
              <w:spacing w:before="20" w:after="20" w:line="240" w:lineRule="auto"/>
              <w:jc w:val="left"/>
            </w:pPr>
            <w:r>
              <w:rPr>
                <w:rFonts w:ascii="Calibri" w:hAnsi="Calibri"/>
                <w:b w:val="0"/>
                <w:sz w:val="22"/>
              </w:rPr>
              <w:t>Name</w:t>
            </w:r>
          </w:p>
        </w:tc>
        <w:tc>
          <w:tcPr>
            <w:tcW w:type="dxa" w:w="7087"/>
            <w:vAlign w:val="center"/>
          </w:tcPr>
          <w:p>
            <w:pPr>
              <w:spacing w:before="20" w:after="20" w:line="240" w:lineRule="auto"/>
              <w:jc w:val="left"/>
            </w:pPr>
            <w:r>
              <w:rPr>
                <w:rFonts w:ascii="Calibri" w:hAnsi="Calibri"/>
                <w:b w:val="0"/>
                <w:sz w:val="22"/>
              </w:rPr>
              <w:t>[Name]</w:t>
            </w:r>
          </w:p>
        </w:tc>
      </w:tr>
      <w:tr>
        <w:tc>
          <w:tcPr>
            <w:tcW w:type="dxa" w:w="1984"/>
            <w:vAlign w:val="center"/>
          </w:tcPr>
          <w:p>
            <w:pPr>
              <w:spacing w:before="20" w:after="20" w:line="240" w:lineRule="auto"/>
              <w:jc w:val="left"/>
            </w:pPr>
            <w:r>
              <w:rPr>
                <w:rFonts w:ascii="Calibri" w:hAnsi="Calibri"/>
                <w:b w:val="0"/>
                <w:sz w:val="22"/>
              </w:rPr>
              <w:t>Position</w:t>
            </w:r>
          </w:p>
        </w:tc>
        <w:tc>
          <w:tcPr>
            <w:tcW w:type="dxa" w:w="7087"/>
            <w:vAlign w:val="center"/>
          </w:tcPr>
          <w:p>
            <w:pPr>
              <w:spacing w:before="20" w:after="20" w:line="240" w:lineRule="auto"/>
              <w:jc w:val="left"/>
            </w:pPr>
            <w:r>
              <w:rPr>
                <w:rFonts w:ascii="Calibri" w:hAnsi="Calibri"/>
                <w:b w:val="0"/>
                <w:sz w:val="22"/>
              </w:rPr>
              <w:t>[Position]</w:t>
            </w:r>
          </w:p>
        </w:tc>
      </w:tr>
      <w:tr>
        <w:tc>
          <w:tcPr>
            <w:tcW w:type="dxa" w:w="1984"/>
            <w:vAlign w:val="center"/>
          </w:tcPr>
          <w:p>
            <w:pPr>
              <w:spacing w:before="20" w:after="20" w:line="240" w:lineRule="auto"/>
              <w:jc w:val="left"/>
            </w:pPr>
            <w:r>
              <w:rPr>
                <w:rFonts w:ascii="Calibri" w:hAnsi="Calibri"/>
                <w:b w:val="0"/>
                <w:sz w:val="22"/>
              </w:rPr>
              <w:t>School/Institution</w:t>
            </w:r>
          </w:p>
        </w:tc>
        <w:tc>
          <w:tcPr>
            <w:tcW w:type="dxa" w:w="7087"/>
            <w:vAlign w:val="center"/>
          </w:tcPr>
          <w:p>
            <w:pPr>
              <w:spacing w:before="20" w:after="20" w:line="240" w:lineRule="auto"/>
              <w:jc w:val="left"/>
            </w:pPr>
            <w:r>
              <w:rPr>
                <w:rFonts w:ascii="Calibri" w:hAnsi="Calibri"/>
                <w:b w:val="0"/>
                <w:sz w:val="22"/>
              </w:rPr>
              <w:t>[School / College]</w:t>
            </w:r>
          </w:p>
        </w:tc>
      </w:tr>
      <w:tr>
        <w:tc>
          <w:tcPr>
            <w:tcW w:type="dxa" w:w="1984"/>
            <w:vAlign w:val="center"/>
          </w:tcPr>
          <w:p>
            <w:pPr>
              <w:spacing w:before="20" w:after="20" w:line="240" w:lineRule="auto"/>
              <w:jc w:val="left"/>
            </w:pPr>
            <w:r>
              <w:rPr>
                <w:rFonts w:ascii="Calibri" w:hAnsi="Calibri"/>
                <w:b w:val="0"/>
                <w:sz w:val="22"/>
              </w:rPr>
              <w:t>City, Country</w:t>
            </w:r>
          </w:p>
        </w:tc>
        <w:tc>
          <w:tcPr>
            <w:tcW w:type="dxa" w:w="7087"/>
            <w:vAlign w:val="center"/>
          </w:tcPr>
          <w:p>
            <w:pPr>
              <w:spacing w:before="20" w:after="20" w:line="240" w:lineRule="auto"/>
              <w:jc w:val="left"/>
            </w:pPr>
            <w:r>
              <w:rPr>
                <w:rFonts w:ascii="Calibri" w:hAnsi="Calibri"/>
                <w:b w:val="0"/>
                <w:sz w:val="22"/>
              </w:rPr>
              <w:t>[City, Country]</w:t>
            </w:r>
          </w:p>
        </w:tc>
      </w:tr>
    </w:tbl>
    <w:p>
      <w:pPr>
        <w:spacing w:after="80"/>
      </w:pPr>
    </w:p>
    <w:p>
      <w:pPr>
        <w:spacing w:before="0" w:after="80" w:line="360" w:lineRule="auto"/>
        <w:jc w:val="center"/>
      </w:pPr>
      <w:r>
        <w:rPr>
          <w:rFonts w:ascii="Calibri" w:hAnsi="Calibri"/>
          <w:b/>
          <w:i w:val="0"/>
          <w:sz w:val="22"/>
        </w:rPr>
        <w:t>Structure over Resolution: an Operating Envelope for Stable Integration of the Chaotic Three-Body Problem</w:t>
      </w:r>
    </w:p>
    <w:p>
      <w:pPr>
        <w:spacing w:before="0" w:after="0" w:line="360" w:lineRule="auto"/>
        <w:jc w:val="center"/>
      </w:pPr>
      <w:r>
        <w:rPr>
          <w:rFonts w:ascii="Calibri" w:hAnsi="Calibri"/>
          <w:b/>
          <w:i w:val="0"/>
          <w:sz w:val="22"/>
        </w:rPr>
        <w:t>Abstract</w:t>
      </w:r>
    </w:p>
    <w:p>
      <w:pPr>
        <w:spacing w:before="0" w:after="0" w:line="360" w:lineRule="auto"/>
        <w:jc w:val="left"/>
      </w:pPr>
      <w:r>
        <w:rPr>
          <w:rFonts w:ascii="Calibri" w:hAnsi="Calibri"/>
          <w:b w:val="0"/>
          <w:i w:val="0"/>
          <w:sz w:val="22"/>
        </w:rPr>
        <w:t>The Newtonian three-body problem has no general closed-form solution and is the canonical prototype of deterministic chaos: every quantitative statement about such a system rests on a numerical integrator and on the yardstick by which it is judged. Two difficulties are usually left implicit. Because neighbouring trajectories diverge exponentially, global position error against a reference saturates within a few Lyapunov times and cannot rank methods over long time scales. And neural network models proposed to accelerate integration are rarely benchmarked at equal computational cost against the obvious alternative of a finer classical step.</w:t>
      </w:r>
    </w:p>
    <w:p>
      <w:pPr>
        <w:spacing w:before="0" w:after="0" w:line="360" w:lineRule="auto"/>
        <w:jc w:val="left"/>
      </w:pPr>
      <w:r>
        <w:rPr>
          <w:rFonts w:ascii="Calibri" w:hAnsi="Calibri"/>
          <w:b w:val="0"/>
          <w:i w:val="0"/>
          <w:sz w:val="22"/>
        </w:rPr>
        <w:t>I compare five integrator methods and two neural network correctors across analytic three-body configurations, binary–single scattering encounters, and the real Sun–Earth–Moon system initialised from JPL Horizons ephemerides, using chaos-appropriate diagnostics: maximum relative energy drift, short-horizon position RMS within one Lyapunov time, bounded/ejected status, and the preserved separation of bound pairs.</w:t>
      </w:r>
    </w:p>
    <w:p>
      <w:pPr>
        <w:spacing w:before="0" w:after="0" w:line="360" w:lineRule="auto"/>
        <w:jc w:val="left"/>
      </w:pPr>
      <w:r>
        <w:rPr>
          <w:rFonts w:ascii="Calibri" w:hAnsi="Calibri"/>
          <w:b w:val="0"/>
          <w:i w:val="0"/>
          <w:sz w:val="22"/>
        </w:rPr>
        <w:t xml:space="preserve">First, </w:t>
      </w:r>
      <w:r>
        <w:rPr>
          <w:rFonts w:ascii="Calibri" w:hAnsi="Calibri"/>
          <w:b w:val="0"/>
          <w:i/>
          <w:sz w:val="22"/>
        </w:rPr>
        <w:t>time-symmetry, not brute-force resolution, governs long-term energy drift</w:t>
      </w:r>
      <w:r>
        <w:rPr>
          <w:rFonts w:ascii="Calibri" w:hAnsi="Calibri"/>
          <w:b w:val="0"/>
          <w:i w:val="0"/>
          <w:sz w:val="22"/>
        </w:rPr>
        <w:t>: the reversible adaptive leapfrog (η = 0.05) stays energy-bounded across every dynamical regime at a single control setting, and reaches the accuracy of a much finer fixed step at lower cost on close-encounter and under-resolved systems, with no advantage on near-regular orbits — an operating map of where adaptivity pays, not a universal speedup.</w:t>
      </w:r>
    </w:p>
    <w:p>
      <w:pPr>
        <w:spacing w:before="0" w:after="0" w:line="360" w:lineRule="auto"/>
        <w:jc w:val="left"/>
      </w:pPr>
      <w:r>
        <w:rPr>
          <w:rFonts w:ascii="Calibri" w:hAnsi="Calibri"/>
          <w:b w:val="0"/>
          <w:i w:val="0"/>
          <w:sz w:val="22"/>
        </w:rPr>
        <w:t xml:space="preserve">Second, </w:t>
      </w:r>
      <w:r>
        <w:rPr>
          <w:rFonts w:ascii="Calibri" w:hAnsi="Calibri"/>
          <w:b w:val="0"/>
          <w:i/>
          <w:sz w:val="22"/>
        </w:rPr>
        <w:t>energy conservation can actively mislead</w:t>
      </w:r>
      <w:r>
        <w:rPr>
          <w:rFonts w:ascii="Calibri" w:hAnsi="Calibri"/>
          <w:b w:val="0"/>
          <w:i w:val="0"/>
          <w:sz w:val="22"/>
        </w:rPr>
        <w:t>: a fixed-step integration conserves total energy to 0.008% and reports the Sun–Earth–Moon system as bound, yet the Earth–Moon separation grows to 774× its true value — a destroyed hierarchy detectable only by a pair-separation metric.</w:t>
      </w:r>
    </w:p>
    <w:p>
      <w:pPr>
        <w:spacing w:before="0" w:after="0" w:line="360" w:lineRule="auto"/>
        <w:jc w:val="left"/>
      </w:pPr>
      <w:r>
        <w:rPr>
          <w:rFonts w:ascii="Calibri" w:hAnsi="Calibri"/>
          <w:b w:val="0"/>
          <w:i w:val="0"/>
          <w:sz w:val="22"/>
        </w:rPr>
        <w:t xml:space="preserve">Third, </w:t>
      </w:r>
      <w:r>
        <w:rPr>
          <w:rFonts w:ascii="Calibri" w:hAnsi="Calibri"/>
          <w:b w:val="0"/>
          <w:i/>
          <w:sz w:val="22"/>
        </w:rPr>
        <w:t>neural network force and state corrections do not beat equal-cost classical refinement</w:t>
      </w:r>
      <w:r>
        <w:rPr>
          <w:rFonts w:ascii="Calibri" w:hAnsi="Calibri"/>
          <w:b w:val="0"/>
          <w:i w:val="0"/>
          <w:sz w:val="22"/>
        </w:rPr>
        <w:t>: under a pre-registered equal-compute protocol on 27 held-out configurations, a per-step scalar corrector wins just 1 of 25 bounded cases (and a state corrector at most 2 of 24) on short-horizon position RMS even when charged no computational cost; a perfect oracle correction yields 0% improvement on under-resolved binaries, localising the failure to temporal resolution rather than force accuracy.</w:t>
      </w:r>
    </w:p>
    <w:p>
      <w:pPr>
        <w:spacing w:before="0" w:after="0" w:line="360" w:lineRule="auto"/>
        <w:jc w:val="left"/>
      </w:pPr>
      <w:r>
        <w:rPr>
          <w:rFonts w:ascii="Calibri" w:hAnsi="Calibri"/>
          <w:b w:val="0"/>
          <w:i w:val="0"/>
          <w:sz w:val="22"/>
        </w:rPr>
        <w:t xml:space="preserve">Together these results define an </w:t>
      </w:r>
      <w:r>
        <w:rPr>
          <w:rFonts w:ascii="Calibri" w:hAnsi="Calibri"/>
          <w:b w:val="0"/>
          <w:i/>
          <w:sz w:val="22"/>
        </w:rPr>
        <w:t>operating envelope</w:t>
      </w:r>
      <w:r>
        <w:rPr>
          <w:rFonts w:ascii="Calibri" w:hAnsi="Calibri"/>
          <w:b w:val="0"/>
          <w:i w:val="0"/>
          <w:sz w:val="22"/>
        </w:rPr>
        <w:t xml:space="preserve"> — which integrator is necessary and sufficient in each dynamical regime — and establish which stability diagnostics are required for chaotic three-body work.</w:t>
      </w:r>
    </w:p>
    <w:p>
      <w:pPr>
        <w:spacing w:before="120" w:after="0" w:line="360" w:lineRule="auto"/>
        <w:jc w:val="left"/>
      </w:pPr>
      <w:r>
        <w:rPr>
          <w:rFonts w:ascii="Calibri" w:hAnsi="Calibri"/>
          <w:b/>
          <w:i w:val="0"/>
          <w:sz w:val="22"/>
        </w:rPr>
        <w:t>Keywords</w:t>
      </w:r>
      <w:r>
        <w:rPr>
          <w:rFonts w:ascii="Calibri" w:hAnsi="Calibri"/>
          <w:b w:val="0"/>
          <w:i w:val="0"/>
          <w:sz w:val="22"/>
        </w:rPr>
        <w:t>: three-body problem; symplectic and time-symmetric integration; deterministic chaos; computational celestial mechanics; neural network force corrections; operating envelope.</w:t>
      </w:r>
    </w:p>
    <w:p>
      <w:pPr>
        <w:spacing w:before="120" w:after="0" w:line="360" w:lineRule="auto"/>
        <w:jc w:val="left"/>
      </w:pPr>
      <w:r>
        <w:rPr>
          <w:rFonts w:ascii="Calibri" w:hAnsi="Calibri"/>
          <w:b/>
          <w:i w:val="0"/>
          <w:sz w:val="22"/>
        </w:rPr>
        <w:t>References</w:t>
      </w:r>
    </w:p>
    <w:p>
      <w:pPr>
        <w:spacing w:before="0" w:after="0" w:line="360" w:lineRule="auto"/>
        <w:jc w:val="left"/>
      </w:pPr>
      <w:r>
        <w:rPr>
          <w:rFonts w:ascii="Calibri" w:hAnsi="Calibri"/>
          <w:b w:val="0"/>
          <w:i w:val="0"/>
          <w:sz w:val="22"/>
        </w:rPr>
        <w:t>[1] H. Poincaré (1890). Sur le problème des trois corps et les équations de la dynamique. Acta Mathematica, 13, 1–270.</w:t>
      </w:r>
    </w:p>
    <w:p>
      <w:pPr>
        <w:spacing w:before="0" w:after="0" w:line="360" w:lineRule="auto"/>
        <w:jc w:val="left"/>
      </w:pPr>
      <w:r>
        <w:rPr>
          <w:rFonts w:ascii="Calibri" w:hAnsi="Calibri"/>
          <w:b w:val="0"/>
          <w:i w:val="0"/>
          <w:sz w:val="22"/>
        </w:rPr>
        <w:t>[2] H. Hut, J. Makino &amp; S. McMillan (1995). Building a better leapfrog. ApJ Letters, 443, L93–L96.</w:t>
      </w:r>
    </w:p>
    <w:p>
      <w:pPr>
        <w:spacing w:before="0" w:after="0" w:line="360" w:lineRule="auto"/>
        <w:jc w:val="left"/>
      </w:pPr>
      <w:r>
        <w:rPr>
          <w:rFonts w:ascii="Calibri" w:hAnsi="Calibri"/>
          <w:b w:val="0"/>
          <w:i w:val="0"/>
          <w:sz w:val="22"/>
        </w:rPr>
        <w:t>[3] H. Yoshida (1990). Construction of higher order symplectic integrators. Physics Letters A, 150, 262–268.</w:t>
      </w:r>
    </w:p>
    <w:p>
      <w:pPr>
        <w:spacing w:before="0" w:after="0" w:line="360" w:lineRule="auto"/>
        <w:jc w:val="left"/>
      </w:pPr>
      <w:r>
        <w:rPr>
          <w:rFonts w:ascii="Calibri" w:hAnsi="Calibri"/>
          <w:b w:val="0"/>
          <w:i w:val="0"/>
          <w:sz w:val="22"/>
        </w:rPr>
        <w:t>[4] H. Rein &amp; S.-F. Liu (2012). REBOUND: an open-source multi-purpose N-body code for collisional dynamics. A&amp;A, 537, A128.</w:t>
      </w:r>
    </w:p>
    <w:p>
      <w:pPr>
        <w:spacing w:before="0" w:after="0" w:line="360" w:lineRule="auto"/>
        <w:jc w:val="left"/>
      </w:pPr>
      <w:r>
        <w:rPr>
          <w:rFonts w:ascii="Calibri" w:hAnsi="Calibri"/>
          <w:b w:val="0"/>
          <w:i w:val="0"/>
          <w:sz w:val="22"/>
        </w:rPr>
        <w:t>[5] H. Rein &amp; D. S. Spiegel (2015). IAS15: a fast, adaptive, high-order integrator for gravitational dynamics. MNRAS, 446, 1424–1437.</w:t>
      </w:r>
    </w:p>
    <w:p>
      <w:pPr>
        <w:spacing w:before="0" w:after="0" w:line="360" w:lineRule="auto"/>
        <w:jc w:val="left"/>
      </w:pPr>
      <w:r>
        <w:rPr>
          <w:rFonts w:ascii="Calibri" w:hAnsi="Calibri"/>
          <w:b w:val="0"/>
          <w:i w:val="0"/>
          <w:sz w:val="22"/>
        </w:rPr>
        <w:t>[6] P. G. Breen et al. (2020). Newton versus the machine: solving the chaotic three-body problem using deep neural networks. MNRAS, 494, 2465–2470.</w:t>
      </w:r>
    </w:p>
    <w:p>
      <w:pPr>
        <w:spacing w:before="0" w:after="0" w:line="360" w:lineRule="auto"/>
        <w:jc w:val="left"/>
      </w:pPr>
      <w:r>
        <w:rPr>
          <w:rFonts w:ascii="Calibri" w:hAnsi="Calibri"/>
          <w:b w:val="0"/>
          <w:i w:val="0"/>
          <w:sz w:val="22"/>
        </w:rPr>
        <w:t>[7] J. D. Giorgini et al. (1996). JPL’s on-line Solar System data service (HORIZONS). BAAS, 28, 1158.</w:t>
      </w:r>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val="0"/>
        <w:sz w:val="20"/>
      </w:rPr>
      <w:t xml:space="preserve">Page </w:t>
    </w:r>
    <w:r>
      <w:fldChar w:fldCharType="begin"/>
      <w:instrText xml:space="preserve">PAGE</w:instrText>
      <w:fldChar w:fldCharType="end"/>
    </w:r>
    <w:r>
      <w:rPr>
        <w:rFonts w:ascii="Calibri" w:hAnsi="Calibri"/>
        <w:b w:val="0"/>
        <w:sz w:val="20"/>
      </w:rPr>
      <w:t xml:space="preserve"> of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070"/>
      </w:tabs>
    </w:pPr>
    <w:r>
      <w:rPr>
        <w:rFonts w:ascii="Calibri" w:hAnsi="Calibri"/>
        <w:sz w:val="20"/>
      </w:rPr>
      <w:t>Research Outline</w:t>
    </w:r>
    <w:r>
      <w:rPr>
        <w:rFonts w:ascii="Calibri" w:hAnsi="Calibri"/>
        <w:sz w:val="20"/>
      </w:rPr>
      <w:tab/>
      <w:t>2026 S.T. Yau High School Science Award (Asia)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