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jc w:val="center"/>
      </w:pPr>
      <w:r>
        <w:rPr>
          <w:rFonts w:ascii="Times New Roman" w:hAnsi="Times New Roman"/>
          <w:b/>
          <w:i w:val="0"/>
          <w:sz w:val="24"/>
        </w:rPr>
        <w:t>2026 S.T. Yau High School Science Award (Asia)</w:t>
      </w:r>
    </w:p>
    <w:p>
      <w:pPr>
        <w:keepNext w:val="0"/>
        <w:spacing w:before="0" w:after="120"/>
        <w:jc w:val="center"/>
      </w:pPr>
      <w:r>
        <w:rPr>
          <w:rFonts w:ascii="Times New Roman" w:hAnsi="Times New Roman"/>
          <w:b/>
          <w:i w:val="0"/>
          <w:sz w:val="24"/>
        </w:rPr>
        <w:t>Research Outline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before="20" w:after="20"/>
              <w:jc w:val="center"/>
            </w:pPr>
            <w:r/>
            <w:r>
              <w:rPr>
                <w:rFonts w:ascii="Times New Roman" w:hAnsi="Times New Roman"/>
                <w:b/>
                <w:sz w:val="20"/>
              </w:rPr>
            </w:r>
          </w:p>
        </w:tc>
        <w:tc>
          <w:tcPr>
            <w:tcW w:type="dxa" w:w="2340"/>
          </w:tcPr>
          <w:p>
            <w:pPr>
              <w:spacing w:before="20" w:after="20"/>
              <w:jc w:val="center"/>
            </w:pPr>
            <w:r/>
            <w:r>
              <w:rPr>
                <w:rFonts w:ascii="Times New Roman" w:hAnsi="Times New Roman"/>
                <w:b/>
                <w:sz w:val="20"/>
              </w:rPr>
              <w:t>Team Member</w:t>
            </w:r>
          </w:p>
        </w:tc>
        <w:tc>
          <w:tcPr>
            <w:tcW w:type="dxa" w:w="2340"/>
          </w:tcPr>
          <w:p>
            <w:pPr>
              <w:spacing w:before="20" w:after="20"/>
              <w:jc w:val="center"/>
            </w:pPr>
            <w:r/>
            <w:r>
              <w:rPr>
                <w:rFonts w:ascii="Times New Roman" w:hAnsi="Times New Roman"/>
                <w:b/>
                <w:sz w:val="20"/>
              </w:rPr>
              <w:t>Team Member</w:t>
            </w:r>
          </w:p>
        </w:tc>
        <w:tc>
          <w:tcPr>
            <w:tcW w:type="dxa" w:w="2340"/>
          </w:tcPr>
          <w:p>
            <w:pPr>
              <w:spacing w:before="20" w:after="20"/>
              <w:jc w:val="center"/>
            </w:pPr>
            <w:r/>
            <w:r>
              <w:rPr>
                <w:rFonts w:ascii="Times New Roman" w:hAnsi="Times New Roman"/>
                <w:b/>
                <w:sz w:val="20"/>
              </w:rPr>
              <w:t>Team Member</w:t>
            </w:r>
          </w:p>
        </w:tc>
      </w:tr>
      <w:tr>
        <w:tc>
          <w:tcPr>
            <w:tcW w:type="dxa" w:w="2340"/>
          </w:tcPr>
          <w:p>
            <w:pPr>
              <w:spacing w:before="20" w:after="20"/>
              <w:jc w:val="left"/>
            </w:pPr>
            <w:r/>
            <w:r>
              <w:rPr>
                <w:rFonts w:ascii="Times New Roman" w:hAnsi="Times New Roman"/>
                <w:b w:val="0"/>
                <w:sz w:val="20"/>
              </w:rPr>
              <w:t>Name</w:t>
            </w:r>
          </w:p>
        </w:tc>
        <w:tc>
          <w:tcPr>
            <w:tcW w:type="dxa" w:w="7020"/>
            <w:gridSpan w:val="3"/>
          </w:tcPr>
          <w:p>
            <w:pPr>
              <w:spacing w:before="20" w:after="20"/>
              <w:jc w:val="left"/>
            </w:pPr>
            <w:r/>
            <w:r>
              <w:rPr>
                <w:rFonts w:ascii="Times New Roman" w:hAnsi="Times New Roman"/>
                <w:b w:val="0"/>
                <w:sz w:val="20"/>
              </w:rPr>
              <w:t>Aarush Gupta</w:t>
            </w:r>
          </w:p>
          <w:p>
            <w:pPr>
              <w:spacing w:before="20" w:after="20"/>
              <w:jc w:val="left"/>
            </w:pPr>
            <w:r/>
            <w:r>
              <w:rPr>
                <w:rFonts w:ascii="Times New Roman" w:hAnsi="Times New Roman"/>
                <w:b w:val="0"/>
                <w:sz w:val="20"/>
              </w:rPr>
            </w:r>
          </w:p>
          <w:p>
            <w:pPr>
              <w:spacing w:before="20" w:after="20"/>
              <w:jc w:val="left"/>
            </w:pPr>
            <w:r/>
            <w:r>
              <w:rPr>
                <w:rFonts w:ascii="Times New Roman" w:hAnsi="Times New Roman"/>
                <w:b w:val="0"/>
                <w:sz w:val="20"/>
              </w:rPr>
            </w:r>
          </w:p>
        </w:tc>
      </w:tr>
      <w:tr>
        <w:tc>
          <w:tcPr>
            <w:tcW w:type="dxa" w:w="2340"/>
          </w:tcPr>
          <w:p>
            <w:pPr>
              <w:spacing w:before="20" w:after="20"/>
              <w:jc w:val="left"/>
            </w:pPr>
            <w:r/>
            <w:r>
              <w:rPr>
                <w:rFonts w:ascii="Times New Roman" w:hAnsi="Times New Roman"/>
                <w:b w:val="0"/>
                <w:sz w:val="20"/>
              </w:rPr>
              <w:t>School</w:t>
            </w:r>
          </w:p>
        </w:tc>
        <w:tc>
          <w:tcPr>
            <w:tcW w:type="dxa" w:w="7020"/>
            <w:gridSpan w:val="3"/>
          </w:tcPr>
          <w:p>
            <w:pPr>
              <w:spacing w:before="20" w:after="20"/>
              <w:jc w:val="left"/>
            </w:pPr>
            <w:r/>
            <w:r>
              <w:rPr>
                <w:rFonts w:ascii="Times New Roman" w:hAnsi="Times New Roman"/>
                <w:b w:val="0"/>
                <w:sz w:val="20"/>
              </w:rPr>
              <w:t>UWCSEA, East</w:t>
            </w:r>
          </w:p>
          <w:p>
            <w:pPr>
              <w:spacing w:before="20" w:after="20"/>
              <w:jc w:val="left"/>
            </w:pPr>
            <w:r/>
            <w:r>
              <w:rPr>
                <w:rFonts w:ascii="Times New Roman" w:hAnsi="Times New Roman"/>
                <w:b w:val="0"/>
                <w:sz w:val="20"/>
              </w:rPr>
            </w:r>
          </w:p>
          <w:p>
            <w:pPr>
              <w:spacing w:before="20" w:after="20"/>
              <w:jc w:val="left"/>
            </w:pPr>
            <w:r/>
            <w:r>
              <w:rPr>
                <w:rFonts w:ascii="Times New Roman" w:hAnsi="Times New Roman"/>
                <w:b w:val="0"/>
                <w:sz w:val="20"/>
              </w:rPr>
            </w:r>
          </w:p>
        </w:tc>
      </w:tr>
      <w:tr>
        <w:tc>
          <w:tcPr>
            <w:tcW w:type="dxa" w:w="2340"/>
          </w:tcPr>
          <w:p>
            <w:pPr>
              <w:spacing w:before="20" w:after="20"/>
              <w:jc w:val="left"/>
            </w:pPr>
            <w:r/>
            <w:r>
              <w:rPr>
                <w:rFonts w:ascii="Times New Roman" w:hAnsi="Times New Roman"/>
                <w:b w:val="0"/>
                <w:sz w:val="20"/>
              </w:rPr>
              <w:t>City, Country</w:t>
            </w:r>
          </w:p>
        </w:tc>
        <w:tc>
          <w:tcPr>
            <w:tcW w:type="dxa" w:w="7020"/>
            <w:gridSpan w:val="3"/>
          </w:tcPr>
          <w:p>
            <w:pPr>
              <w:spacing w:before="20" w:after="20"/>
              <w:jc w:val="left"/>
            </w:pPr>
            <w:r/>
            <w:r>
              <w:rPr>
                <w:rFonts w:ascii="Times New Roman" w:hAnsi="Times New Roman"/>
                <w:b w:val="0"/>
                <w:sz w:val="20"/>
              </w:rPr>
              <w:t>Singapore</w:t>
            </w:r>
          </w:p>
          <w:p>
            <w:pPr>
              <w:spacing w:before="20" w:after="20"/>
              <w:jc w:val="left"/>
            </w:pPr>
            <w:r/>
            <w:r>
              <w:rPr>
                <w:rFonts w:ascii="Times New Roman" w:hAnsi="Times New Roman"/>
                <w:b w:val="0"/>
                <w:sz w:val="20"/>
              </w:rPr>
            </w:r>
          </w:p>
          <w:p>
            <w:pPr>
              <w:spacing w:before="20" w:after="20"/>
              <w:jc w:val="left"/>
            </w:pPr>
            <w:r/>
            <w:r>
              <w:rPr>
                <w:rFonts w:ascii="Times New Roman" w:hAnsi="Times New Roman"/>
                <w:b w:val="0"/>
                <w:sz w:val="20"/>
              </w:rPr>
            </w:r>
          </w:p>
        </w:tc>
      </w:tr>
      <w:tr>
        <w:tc>
          <w:tcPr>
            <w:tcW w:type="dxa" w:w="2340"/>
          </w:tcPr>
          <w:p>
            <w:pPr>
              <w:spacing w:before="20" w:after="20"/>
              <w:jc w:val="left"/>
            </w:pPr>
            <w:r/>
            <w:r>
              <w:rPr>
                <w:rFonts w:ascii="Times New Roman" w:hAnsi="Times New Roman"/>
                <w:b w:val="0"/>
                <w:sz w:val="20"/>
              </w:rPr>
              <w:t>Registration No.</w:t>
            </w:r>
          </w:p>
        </w:tc>
        <w:tc>
          <w:tcPr>
            <w:tcW w:type="dxa" w:w="7020"/>
            <w:gridSpan w:val="3"/>
          </w:tcPr>
          <w:p>
            <w:pPr>
              <w:spacing w:before="20" w:after="20"/>
              <w:jc w:val="left"/>
            </w:pPr>
            <w:r/>
            <w:r>
              <w:rPr>
                <w:rFonts w:ascii="Times New Roman" w:hAnsi="Times New Roman"/>
                <w:b w:val="0"/>
                <w:sz w:val="20"/>
              </w:rPr>
              <w:t>[Physics-0XX — assigned at registration]</w:t>
            </w:r>
          </w:p>
          <w:p>
            <w:pPr>
              <w:spacing w:before="20" w:after="20"/>
              <w:jc w:val="left"/>
            </w:pPr>
            <w:r/>
            <w:r>
              <w:rPr>
                <w:rFonts w:ascii="Times New Roman" w:hAnsi="Times New Roman"/>
                <w:b w:val="0"/>
                <w:sz w:val="20"/>
              </w:rPr>
            </w:r>
          </w:p>
          <w:p>
            <w:pPr>
              <w:spacing w:before="20" w:after="20"/>
              <w:jc w:val="left"/>
            </w:pPr>
            <w:r/>
            <w:r>
              <w:rPr>
                <w:rFonts w:ascii="Times New Roman" w:hAnsi="Times New Roman"/>
                <w:b w:val="0"/>
                <w:sz w:val="20"/>
              </w:rPr>
            </w:r>
          </w:p>
        </w:tc>
      </w:tr>
    </w:tbl>
    <w:p/>
    <w:tbl>
      <w:tblPr>
        <w:tblStyle w:val="TableGrid"/>
        <w:tblW w:type="auto" w:w="0"/>
        <w:jc w:val="center"/>
        <w:tblLook w:firstColumn="1" w:firstRow="1" w:lastColumn="0" w:lastRow="0" w:noHBand="0" w:noVBand="1" w:val="04A0"/>
      </w:tblPr>
      <w:tblGrid>
        <w:gridCol w:w="4680"/>
        <w:gridCol w:w="4680"/>
      </w:tblGrid>
      <w:tr>
        <w:tc>
          <w:tcPr>
            <w:tcW w:type="dxa" w:w="9360"/>
            <w:gridSpan w:val="2"/>
          </w:tcPr>
          <w:p>
            <w:pPr>
              <w:spacing w:before="20" w:after="20"/>
              <w:jc w:val="center"/>
            </w:pPr>
            <w:r/>
            <w:r>
              <w:rPr>
                <w:rFonts w:ascii="Times New Roman" w:hAnsi="Times New Roman"/>
                <w:b/>
                <w:sz w:val="20"/>
              </w:rPr>
              <w:t>Supervising Teacher</w:t>
            </w:r>
          </w:p>
        </w:tc>
      </w:tr>
      <w:tr>
        <w:tc>
          <w:tcPr>
            <w:tcW w:type="dxa" w:w="4680"/>
          </w:tcPr>
          <w:p>
            <w:pPr>
              <w:spacing w:before="20" w:after="20"/>
              <w:jc w:val="left"/>
            </w:pPr>
            <w:r/>
            <w:r>
              <w:rPr>
                <w:rFonts w:ascii="Times New Roman" w:hAnsi="Times New Roman"/>
                <w:b w:val="0"/>
                <w:sz w:val="20"/>
              </w:rPr>
              <w:t>Name</w:t>
            </w:r>
          </w:p>
        </w:tc>
        <w:tc>
          <w:tcPr>
            <w:tcW w:type="dxa" w:w="4680"/>
          </w:tcPr>
          <w:p>
            <w:pPr>
              <w:spacing w:before="20" w:after="20"/>
              <w:jc w:val="left"/>
            </w:pPr>
            <w:r/>
            <w:r>
              <w:rPr>
                <w:rFonts w:ascii="Times New Roman" w:hAnsi="Times New Roman"/>
                <w:b w:val="0"/>
                <w:sz w:val="20"/>
              </w:rPr>
              <w:t>[Name]</w:t>
            </w:r>
          </w:p>
        </w:tc>
      </w:tr>
      <w:tr>
        <w:tc>
          <w:tcPr>
            <w:tcW w:type="dxa" w:w="4680"/>
          </w:tcPr>
          <w:p>
            <w:pPr>
              <w:spacing w:before="20" w:after="20"/>
              <w:jc w:val="left"/>
            </w:pPr>
            <w:r/>
            <w:r>
              <w:rPr>
                <w:rFonts w:ascii="Times New Roman" w:hAnsi="Times New Roman"/>
                <w:b w:val="0"/>
                <w:sz w:val="20"/>
              </w:rPr>
              <w:t>Position</w:t>
            </w:r>
          </w:p>
        </w:tc>
        <w:tc>
          <w:tcPr>
            <w:tcW w:type="dxa" w:w="4680"/>
          </w:tcPr>
          <w:p>
            <w:pPr>
              <w:spacing w:before="20" w:after="20"/>
              <w:jc w:val="left"/>
            </w:pPr>
            <w:r/>
            <w:r>
              <w:rPr>
                <w:rFonts w:ascii="Times New Roman" w:hAnsi="Times New Roman"/>
                <w:b w:val="0"/>
                <w:sz w:val="20"/>
              </w:rPr>
              <w:t>[Position]</w:t>
            </w:r>
          </w:p>
        </w:tc>
      </w:tr>
      <w:tr>
        <w:tc>
          <w:tcPr>
            <w:tcW w:type="dxa" w:w="4680"/>
          </w:tcPr>
          <w:p>
            <w:pPr>
              <w:spacing w:before="20" w:after="20"/>
              <w:jc w:val="left"/>
            </w:pPr>
            <w:r/>
            <w:r>
              <w:rPr>
                <w:rFonts w:ascii="Times New Roman" w:hAnsi="Times New Roman"/>
                <w:b w:val="0"/>
                <w:sz w:val="20"/>
              </w:rPr>
              <w:t>School/Institution</w:t>
            </w:r>
          </w:p>
        </w:tc>
        <w:tc>
          <w:tcPr>
            <w:tcW w:type="dxa" w:w="4680"/>
          </w:tcPr>
          <w:p>
            <w:pPr>
              <w:spacing w:before="20" w:after="20"/>
              <w:jc w:val="left"/>
            </w:pPr>
            <w:r/>
            <w:r>
              <w:rPr>
                <w:rFonts w:ascii="Times New Roman" w:hAnsi="Times New Roman"/>
                <w:b w:val="0"/>
                <w:sz w:val="20"/>
              </w:rPr>
              <w:t>[School / College]</w:t>
            </w:r>
          </w:p>
        </w:tc>
      </w:tr>
      <w:tr>
        <w:tc>
          <w:tcPr>
            <w:tcW w:type="dxa" w:w="4680"/>
          </w:tcPr>
          <w:p>
            <w:pPr>
              <w:spacing w:before="20" w:after="20"/>
              <w:jc w:val="left"/>
            </w:pPr>
            <w:r/>
            <w:r>
              <w:rPr>
                <w:rFonts w:ascii="Times New Roman" w:hAnsi="Times New Roman"/>
                <w:b w:val="0"/>
                <w:sz w:val="20"/>
              </w:rPr>
              <w:t>City, Country</w:t>
            </w:r>
          </w:p>
        </w:tc>
        <w:tc>
          <w:tcPr>
            <w:tcW w:type="dxa" w:w="4680"/>
          </w:tcPr>
          <w:p>
            <w:pPr>
              <w:spacing w:before="20" w:after="20"/>
              <w:jc w:val="left"/>
            </w:pPr>
            <w:r/>
            <w:r>
              <w:rPr>
                <w:rFonts w:ascii="Times New Roman" w:hAnsi="Times New Roman"/>
                <w:b w:val="0"/>
                <w:sz w:val="20"/>
              </w:rPr>
              <w:t>[City, Country]</w:t>
            </w:r>
          </w:p>
        </w:tc>
      </w:tr>
    </w:tbl>
    <w:p/>
    <w:p>
      <w:pPr>
        <w:keepNext w:val="0"/>
        <w:spacing w:before="120" w:after="200"/>
        <w:jc w:val="center"/>
      </w:pPr>
      <w:r>
        <w:rPr>
          <w:rFonts w:ascii="Times New Roman" w:hAnsi="Times New Roman"/>
          <w:b/>
          <w:i w:val="0"/>
          <w:sz w:val="24"/>
        </w:rPr>
        <w:t>Structure over Resolution: an Operating Envelope for Stable Integration of the Chaotic Three-Body Problem</w:t>
      </w:r>
    </w:p>
    <w:p>
      <w:pPr>
        <w:spacing w:before="200" w:after="80"/>
      </w:pPr>
      <w:r>
        <w:rPr>
          <w:rFonts w:ascii="Times New Roman" w:hAnsi="Times New Roman"/>
          <w:b/>
          <w:sz w:val="22"/>
        </w:rPr>
        <w:t>Abstract</w:t>
      </w:r>
    </w:p>
    <w:p>
      <w:pPr>
        <w:keepNext w:val="0"/>
        <w:spacing w:before="0" w:after="80"/>
        <w:jc w:val="left"/>
      </w:pPr>
      <w:r>
        <w:rPr>
          <w:rFonts w:ascii="Times New Roman" w:hAnsi="Times New Roman"/>
          <w:b w:val="0"/>
          <w:i w:val="0"/>
          <w:sz w:val="22"/>
        </w:rPr>
        <w:t>The Newtonian three-body problem has no general closed-form solution and is a prototype of deterministic chaos, so every quantitative statement about such a system is obtained numerically — which makes both the integration scheme and the yardstick by which it is judged decisive. Two difficulties are usually left implicit. Because neighbouring trajectories diverge exponentially, the customary measure — global position error against a reference — saturates within a few Lyapunov times and cannot rank methods over long time scales. And neural network models proposed to accelerate integration are seldom tested at equal computational cost against the obvious alternative of taking a finer step.</w:t>
      </w:r>
    </w:p>
    <w:p>
      <w:pPr>
        <w:keepNext w:val="0"/>
        <w:spacing w:before="0" w:after="80"/>
        <w:jc w:val="left"/>
      </w:pPr>
      <w:r>
        <w:rPr>
          <w:rFonts w:ascii="Times New Roman" w:hAnsi="Times New Roman"/>
          <w:b w:val="0"/>
          <w:i w:val="0"/>
          <w:sz w:val="22"/>
        </w:rPr>
        <w:t>I compare five integrator methods and two neural network correctors across three test systems — analytic three-body configurations of varying chaoticity, binary–single scattering encounters, and the real Sun–Earth–Moon system initialised from JPL Horizons ephemerides — using chaos-appropriate diagnostics: maximum relative energy drift, short-horizon position RMS within one Lyapunov time, bounded/ejected status, and — critically for hierarchical systems — the preserved separation of bound pairs.</w:t>
      </w:r>
    </w:p>
    <w:p>
      <w:pPr>
        <w:keepNext w:val="0"/>
        <w:spacing w:before="0" w:after="80"/>
        <w:jc w:val="left"/>
      </w:pPr>
      <w:r>
        <w:rPr>
          <w:rFonts w:ascii="Times New Roman" w:hAnsi="Times New Roman"/>
          <w:b w:val="0"/>
          <w:i w:val="0"/>
          <w:sz w:val="22"/>
        </w:rPr>
        <w:t xml:space="preserve">First, </w:t>
      </w:r>
      <w:r>
        <w:rPr>
          <w:rFonts w:ascii="Times New Roman" w:hAnsi="Times New Roman"/>
          <w:b w:val="0"/>
          <w:i/>
          <w:sz w:val="22"/>
        </w:rPr>
        <w:t>time-reversal symmetry, not brute-force resolution, governs long-term energy drift</w:t>
      </w:r>
      <w:r>
        <w:rPr>
          <w:rFonts w:ascii="Times New Roman" w:hAnsi="Times New Roman"/>
          <w:b w:val="0"/>
          <w:i w:val="0"/>
          <w:sz w:val="22"/>
        </w:rPr>
        <w:t>: the reversible adaptive leapfrog (η = 0.05) stays energy-bounded across all dynamical regimes at a single control setting, whereas a fixed step using eight times as many force evaluations ejects the same close-encounter system at 128% energy error. The efficiency advantage is regime-dependent — the scheme is 1.5–3.6× cheaper in force evaluations on close-encounter and under-resolved systems but slower on near-regular orbits — so the contribution is an operating map, not a universal speedup.</w:t>
      </w:r>
    </w:p>
    <w:p>
      <w:pPr>
        <w:keepNext w:val="0"/>
        <w:spacing w:before="0" w:after="80"/>
        <w:jc w:val="left"/>
      </w:pPr>
      <w:r>
        <w:rPr>
          <w:rFonts w:ascii="Times New Roman" w:hAnsi="Times New Roman"/>
          <w:b w:val="0"/>
          <w:i w:val="0"/>
          <w:sz w:val="22"/>
        </w:rPr>
        <w:t xml:space="preserve">Second, </w:t>
      </w:r>
      <w:r>
        <w:rPr>
          <w:rFonts w:ascii="Times New Roman" w:hAnsi="Times New Roman"/>
          <w:b w:val="0"/>
          <w:i/>
          <w:sz w:val="22"/>
        </w:rPr>
        <w:t>energy conservation can actively mislead</w:t>
      </w:r>
      <w:r>
        <w:rPr>
          <w:rFonts w:ascii="Times New Roman" w:hAnsi="Times New Roman"/>
          <w:b w:val="0"/>
          <w:i w:val="0"/>
          <w:sz w:val="22"/>
        </w:rPr>
        <w:t>: a fixed-step Sun–Earth–Moon integration conserves total energy to max|ΔE/E₀| = 0.008% and reports the system as bound, yet the Earth–Moon separation grows to 774× its true value — a destroyed hierarchy that only a pair-separation metric detects.</w:t>
      </w:r>
    </w:p>
    <w:p>
      <w:pPr>
        <w:keepNext w:val="0"/>
        <w:spacing w:before="0" w:after="80"/>
        <w:jc w:val="left"/>
      </w:pPr>
      <w:r>
        <w:rPr>
          <w:rFonts w:ascii="Times New Roman" w:hAnsi="Times New Roman"/>
          <w:b w:val="0"/>
          <w:i w:val="0"/>
          <w:sz w:val="22"/>
        </w:rPr>
        <w:t xml:space="preserve">Third, </w:t>
      </w:r>
      <w:r>
        <w:rPr>
          <w:rFonts w:ascii="Times New Roman" w:hAnsi="Times New Roman"/>
          <w:b w:val="0"/>
          <w:i/>
          <w:sz w:val="22"/>
        </w:rPr>
        <w:t>neural network force and state corrections do not beat physics at equal cost</w:t>
      </w:r>
      <w:r>
        <w:rPr>
          <w:rFonts w:ascii="Times New Roman" w:hAnsi="Times New Roman"/>
          <w:b w:val="0"/>
          <w:i w:val="0"/>
          <w:sz w:val="22"/>
        </w:rPr>
        <w:t>: under a pre-registered equal-compute protocol on 27 held-out configurations, a per-step scalar corrector (A1) beats an equal-cost finer leapfrog step on short-horizon position RMS in 0 of 27 cases — even when charged no computational cost — and an encounter-triggered state corrector (A2) in at most 2 of 27. An oracle (best-possible) correction yields 0% improvement on under-resolved binaries at every separation tested, localising the failure to temporal resolution, not force accuracy.</w:t>
      </w:r>
    </w:p>
    <w:p>
      <w:pPr>
        <w:keepNext w:val="0"/>
        <w:spacing w:before="0" w:after="120"/>
        <w:jc w:val="left"/>
      </w:pPr>
      <w:r>
        <w:rPr>
          <w:rFonts w:ascii="Times New Roman" w:hAnsi="Times New Roman"/>
          <w:b w:val="0"/>
          <w:i w:val="0"/>
          <w:sz w:val="22"/>
        </w:rPr>
        <w:t xml:space="preserve">Together these results map an </w:t>
      </w:r>
      <w:r>
        <w:rPr>
          <w:rFonts w:ascii="Times New Roman" w:hAnsi="Times New Roman"/>
          <w:b w:val="0"/>
          <w:i/>
          <w:sz w:val="22"/>
        </w:rPr>
        <w:t>operating envelope</w:t>
      </w:r>
      <w:r>
        <w:rPr>
          <w:rFonts w:ascii="Times New Roman" w:hAnsi="Times New Roman"/>
          <w:b w:val="0"/>
          <w:i w:val="0"/>
          <w:sz w:val="22"/>
        </w:rPr>
        <w:t xml:space="preserve"> — which integrator is necessary and sufficient in each dynamical regime — and establish a selection of stability diagnostics for chaotic three-body work: stability must be judged on preserved dynamical structure, not energy alone.</w:t>
      </w:r>
    </w:p>
    <w:p>
      <w:pPr>
        <w:spacing w:before="200" w:after="80"/>
      </w:pPr>
      <w:r>
        <w:rPr>
          <w:rFonts w:ascii="Times New Roman" w:hAnsi="Times New Roman"/>
          <w:b/>
          <w:sz w:val="22"/>
        </w:rPr>
        <w:t>Research questions</w:t>
      </w:r>
    </w:p>
    <w:p>
      <w:pPr>
        <w:pStyle w:val="ListNumber"/>
        <w:spacing w:before="0" w:after="60"/>
      </w:pPr>
      <w:r>
        <w:rPr>
          <w:rFonts w:ascii="Times New Roman" w:hAnsi="Times New Roman"/>
          <w:b/>
          <w:i w:val="0"/>
          <w:sz w:val="22"/>
        </w:rPr>
        <w:t xml:space="preserve">Q1 (structure). </w:t>
      </w:r>
      <w:r>
        <w:rPr>
          <w:rFonts w:ascii="Times New Roman" w:hAnsi="Times New Roman"/>
          <w:b w:val="0"/>
          <w:i w:val="0"/>
          <w:sz w:val="22"/>
        </w:rPr>
        <w:t xml:space="preserve">Which structural property — symplecticity, time-reversal symmetry, or adaptive step-sizing — governs stable integration, and does the answer depend on the dynamical </w:t>
      </w:r>
      <w:r>
        <w:rPr>
          <w:rFonts w:ascii="Times New Roman" w:hAnsi="Times New Roman"/>
          <w:b w:val="0"/>
          <w:i/>
          <w:sz w:val="22"/>
        </w:rPr>
        <w:t>regime</w:t>
      </w:r>
      <w:r>
        <w:rPr>
          <w:rFonts w:ascii="Times New Roman" w:hAnsi="Times New Roman"/>
          <w:b w:val="0"/>
          <w:i w:val="0"/>
          <w:sz w:val="22"/>
        </w:rPr>
        <w:t xml:space="preserve"> (the chaoticity and hierarchical structure of the initial conditions: regular, moderate scattering, or tight binary)?</w:t>
      </w:r>
    </w:p>
    <w:p>
      <w:pPr>
        <w:pStyle w:val="ListNumber"/>
        <w:spacing w:before="0" w:after="60"/>
      </w:pPr>
      <w:r>
        <w:rPr>
          <w:rFonts w:ascii="Times New Roman" w:hAnsi="Times New Roman"/>
          <w:b/>
          <w:i w:val="0"/>
          <w:sz w:val="22"/>
        </w:rPr>
        <w:t xml:space="preserve">Q2 (measurement). </w:t>
      </w:r>
      <w:r>
        <w:rPr>
          <w:rFonts w:ascii="Times New Roman" w:hAnsi="Times New Roman"/>
          <w:b w:val="0"/>
          <w:i w:val="0"/>
          <w:sz w:val="22"/>
        </w:rPr>
        <w:t xml:space="preserve">Which diagnostics are sufficient to classify integrator </w:t>
      </w:r>
      <w:r>
        <w:rPr>
          <w:rFonts w:ascii="Times New Roman" w:hAnsi="Times New Roman"/>
          <w:b w:val="0"/>
          <w:i/>
          <w:sz w:val="22"/>
        </w:rPr>
        <w:t>stability</w:t>
      </w:r>
      <w:r>
        <w:rPr>
          <w:rFonts w:ascii="Times New Roman" w:hAnsi="Times New Roman"/>
          <w:b w:val="0"/>
          <w:i w:val="0"/>
          <w:sz w:val="22"/>
        </w:rPr>
        <w:t xml:space="preserve"> — that is, to determine whether a numerical solution preserves the physical structure of the three-body system — when long-time position error is uninformative due to chaos?</w:t>
      </w:r>
    </w:p>
    <w:p>
      <w:pPr>
        <w:pStyle w:val="ListNumber"/>
        <w:spacing w:before="0" w:after="60"/>
      </w:pPr>
      <w:r>
        <w:rPr>
          <w:rFonts w:ascii="Times New Roman" w:hAnsi="Times New Roman"/>
          <w:b/>
          <w:i w:val="0"/>
          <w:sz w:val="22"/>
        </w:rPr>
        <w:t xml:space="preserve">Q3 (learning). </w:t>
      </w:r>
      <w:r>
        <w:rPr>
          <w:rFonts w:ascii="Times New Roman" w:hAnsi="Times New Roman"/>
          <w:b w:val="0"/>
          <w:i w:val="0"/>
          <w:sz w:val="22"/>
        </w:rPr>
        <w:t>Can a neural network force or state correction outperform spending the same compute on a finer classical step?</w:t>
      </w:r>
    </w:p>
    <w:p>
      <w:pPr>
        <w:spacing w:before="200" w:after="80"/>
      </w:pPr>
      <w:r>
        <w:rPr>
          <w:rFonts w:ascii="Times New Roman" w:hAnsi="Times New Roman"/>
          <w:b/>
          <w:sz w:val="22"/>
        </w:rPr>
        <w:t>Methods</w:t>
      </w:r>
    </w:p>
    <w:p>
      <w:pPr>
        <w:keepNext w:val="0"/>
        <w:spacing w:before="80" w:after="40"/>
        <w:jc w:val="left"/>
      </w:pPr>
      <w:r>
        <w:rPr>
          <w:rFonts w:ascii="Times New Roman" w:hAnsi="Times New Roman"/>
          <w:b/>
          <w:i w:val="0"/>
          <w:sz w:val="22"/>
        </w:rPr>
        <w:t>Integrator methods — benchmarked against IAS15 (fifteenth-order Gauss–Radau, REBOUND [3,4])</w:t>
      </w:r>
    </w:p>
    <w:p>
      <w:pPr>
        <w:pStyle w:val="ListBullet"/>
        <w:spacing w:before="0" w:after="40"/>
        <w:ind w:left="360"/>
      </w:pPr>
      <w:r>
        <w:rPr>
          <w:rFonts w:ascii="Times New Roman" w:hAnsi="Times New Roman"/>
          <w:sz w:val="22"/>
        </w:rPr>
        <w:t>Fixed-step leapfrog (dt ∈ {0.04, 0.005} yr; 25 and 200 force evaluations/yr).</w:t>
      </w:r>
    </w:p>
    <w:p>
      <w:pPr>
        <w:pStyle w:val="ListBullet"/>
        <w:spacing w:before="0" w:after="40"/>
        <w:ind w:left="360"/>
      </w:pPr>
      <w:r>
        <w:rPr>
          <w:rFonts w:ascii="Times New Roman" w:hAnsi="Times New Roman"/>
          <w:sz w:val="22"/>
        </w:rPr>
        <w:t>Heuristic inverse-distance adaptive leapfrog: step size scales as the cube of the minimum inter-body separation. This is the SIMON integrator without its neural network component.</w:t>
      </w:r>
    </w:p>
    <w:p>
      <w:pPr>
        <w:pStyle w:val="ListBullet"/>
        <w:spacing w:before="0" w:after="40"/>
        <w:ind w:left="360"/>
      </w:pPr>
      <w:r>
        <w:rPr>
          <w:rFonts w:ascii="Times New Roman" w:hAnsi="Times New Roman"/>
          <w:sz w:val="22"/>
        </w:rPr>
        <w:t>Time-symmetric (reversible) adaptive leapfrog [Hut, Makino &amp; McMillan, 1995 [6]]: step size is found by fixed-point iteration to satisfy a time-reversibility condition, bounding secular energy drift. Tuning parameter η = 0.05 is held fixed across all regimes.</w:t>
      </w:r>
    </w:p>
    <w:p>
      <w:pPr>
        <w:pStyle w:val="ListBullet"/>
        <w:spacing w:before="0" w:after="40"/>
        <w:ind w:left="360"/>
      </w:pPr>
      <w:r>
        <w:rPr>
          <w:rFonts w:ascii="Times New Roman" w:hAnsi="Times New Roman"/>
          <w:sz w:val="22"/>
        </w:rPr>
        <w:t>Fourth-order symplectic integrator [Yoshida, 1990 [2]]: a composition of leapfrog steps preserving symplectic structure.</w:t>
      </w:r>
    </w:p>
    <w:p>
      <w:pPr>
        <w:pStyle w:val="ListBullet"/>
        <w:spacing w:before="0" w:after="40"/>
        <w:ind w:left="360"/>
      </w:pPr>
      <w:r>
        <w:rPr>
          <w:rFonts w:ascii="Times New Roman" w:hAnsi="Times New Roman"/>
          <w:sz w:val="22"/>
        </w:rPr>
        <w:t>IAS15 [3,4]: fifteenth-order Gauss–Radau adaptive reference scheme; used as the high-accuracy standard throughout.</w:t>
      </w:r>
    </w:p>
    <w:p>
      <w:pPr>
        <w:keepNext w:val="0"/>
        <w:spacing w:before="80" w:after="40"/>
        <w:jc w:val="left"/>
      </w:pPr>
      <w:r>
        <w:rPr>
          <w:rFonts w:ascii="Times New Roman" w:hAnsi="Times New Roman"/>
          <w:b/>
          <w:i w:val="0"/>
          <w:sz w:val="22"/>
        </w:rPr>
        <w:t>Neural network correctors — applied to the leapfrog baseline</w:t>
      </w:r>
    </w:p>
    <w:p>
      <w:pPr>
        <w:pStyle w:val="ListBullet"/>
        <w:spacing w:before="0" w:after="40"/>
        <w:ind w:left="360"/>
      </w:pPr>
      <w:r>
        <w:rPr>
          <w:rFonts w:ascii="Times New Roman" w:hAnsi="Times New Roman"/>
          <w:sz w:val="22"/>
        </w:rPr>
        <w:t>A1 — per-step scalar force-magnitude correction: outputs a scalar multiplier on the gravitational force at every leapfrog step, trained to match IAS15 forces.</w:t>
      </w:r>
    </w:p>
    <w:p>
      <w:pPr>
        <w:pStyle w:val="ListBullet"/>
        <w:spacing w:before="0" w:after="40"/>
        <w:ind w:left="360"/>
      </w:pPr>
      <w:r>
        <w:rPr>
          <w:rFonts w:ascii="Times New Roman" w:hAnsi="Times New Roman"/>
          <w:sz w:val="22"/>
        </w:rPr>
        <w:t>A2 — encounter-triggered state-to-state residual correction: activated only at close approach, predicts the residual correction to the integrated state; fires ~once per 100-yr rollout on the test configurations (not a per-step corrector).</w:t>
      </w:r>
    </w:p>
    <w:p>
      <w:pPr>
        <w:keepNext w:val="0"/>
        <w:spacing w:before="40" w:after="80"/>
        <w:jc w:val="left"/>
      </w:pPr>
      <w:r>
        <w:rPr>
          <w:rFonts w:ascii="Times New Roman" w:hAnsi="Times New Roman"/>
          <w:b w:val="0"/>
          <w:i w:val="0"/>
          <w:sz w:val="22"/>
        </w:rPr>
        <w:t xml:space="preserve">Each corrector is evaluated under a </w:t>
      </w:r>
      <w:r>
        <w:rPr>
          <w:rFonts w:ascii="Times New Roman" w:hAnsi="Times New Roman"/>
          <w:b/>
          <w:i w:val="0"/>
          <w:sz w:val="22"/>
        </w:rPr>
        <w:t>pre-registered equal-compute protocol</w:t>
      </w:r>
      <w:r>
        <w:rPr>
          <w:rFonts w:ascii="Times New Roman" w:hAnsi="Times New Roman"/>
          <w:b w:val="0"/>
          <w:i w:val="0"/>
          <w:sz w:val="22"/>
        </w:rPr>
        <w:t>: the network is charged a cost κ (in units of one force evaluation) and is deemed to "click" only if it falls below the plain-leapfrog cost–accuracy frontier on held-out configurations not seen during training.</w:t>
      </w:r>
    </w:p>
    <w:p>
      <w:pPr>
        <w:keepNext w:val="0"/>
        <w:spacing w:before="80" w:after="40"/>
        <w:jc w:val="left"/>
      </w:pPr>
      <w:r>
        <w:rPr>
          <w:rFonts w:ascii="Times New Roman" w:hAnsi="Times New Roman"/>
          <w:b/>
          <w:i w:val="0"/>
          <w:sz w:val="22"/>
        </w:rPr>
        <w:t>Test systems (all integrated over T = 100 yr)</w:t>
      </w:r>
    </w:p>
    <w:p>
      <w:pPr>
        <w:pStyle w:val="ListBullet"/>
        <w:spacing w:before="0" w:after="40"/>
        <w:ind w:left="360"/>
      </w:pPr>
      <w:r>
        <w:rPr>
          <w:rFonts w:ascii="Times New Roman" w:hAnsi="Times New Roman"/>
          <w:sz w:val="22"/>
        </w:rPr>
        <w:t>Analytic three-body initial conditions spanning Lyapunov exponents: near-regular (IC6, λ ≈ 0.019 yr⁻¹), moderate scattering (IC1, λ ≈ 0.17 yr⁻¹; IC4, λ ≈ 0.10 yr⁻¹).</w:t>
      </w:r>
    </w:p>
    <w:p>
      <w:pPr>
        <w:pStyle w:val="ListBullet"/>
        <w:spacing w:before="0" w:after="40"/>
        <w:ind w:left="360"/>
      </w:pPr>
      <w:r>
        <w:rPr>
          <w:rFonts w:ascii="Times New Roman" w:hAnsi="Times New Roman"/>
          <w:sz w:val="22"/>
        </w:rPr>
        <w:t>Binary–single scattering: inner binary separation r_bin ∈ {0.05, 0.10, 0.20, 0.40} AU, perturber at 3 AU.</w:t>
      </w:r>
    </w:p>
    <w:p>
      <w:pPr>
        <w:pStyle w:val="ListBullet"/>
        <w:spacing w:before="0" w:after="40"/>
        <w:ind w:left="360"/>
      </w:pPr>
      <w:r>
        <w:rPr>
          <w:rFonts w:ascii="Times New Roman" w:hAnsi="Times New Roman"/>
          <w:sz w:val="22"/>
        </w:rPr>
        <w:t>Real Sun–Earth–Moon system initialised from JPL Horizons ephemerides [7].</w:t>
      </w:r>
    </w:p>
    <w:p>
      <w:pPr>
        <w:keepNext w:val="0"/>
        <w:spacing w:before="80" w:after="40"/>
        <w:jc w:val="left"/>
      </w:pPr>
      <w:r>
        <w:rPr>
          <w:rFonts w:ascii="Times New Roman" w:hAnsi="Times New Roman"/>
          <w:b/>
          <w:i w:val="0"/>
          <w:sz w:val="22"/>
        </w:rPr>
        <w:t>Stability diagnostics — chaos-appropriate, reported together</w:t>
      </w:r>
    </w:p>
    <w:p>
      <w:pPr>
        <w:pStyle w:val="ListBullet"/>
        <w:spacing w:before="0" w:after="40"/>
        <w:ind w:left="360"/>
      </w:pPr>
      <w:r>
        <w:rPr>
          <w:rFonts w:ascii="Times New Roman" w:hAnsi="Times New Roman"/>
          <w:sz w:val="22"/>
        </w:rPr>
        <w:t>Maximum relative energy drift, max|ΔE/E₀|, over T = 100 yr.</w:t>
      </w:r>
    </w:p>
    <w:p>
      <w:pPr>
        <w:pStyle w:val="ListBullet"/>
        <w:spacing w:before="0" w:after="40"/>
        <w:ind w:left="360"/>
      </w:pPr>
      <w:r>
        <w:rPr>
          <w:rFonts w:ascii="Times New Roman" w:hAnsi="Times New Roman"/>
          <w:sz w:val="22"/>
        </w:rPr>
        <w:t>Short-horizon position RMS within ~1 Lyapunov time.</w:t>
      </w:r>
    </w:p>
    <w:p>
      <w:pPr>
        <w:pStyle w:val="ListBullet"/>
        <w:spacing w:before="0" w:after="40"/>
        <w:ind w:left="360"/>
      </w:pPr>
      <w:r>
        <w:rPr>
          <w:rFonts w:ascii="Times New Roman" w:hAnsi="Times New Roman"/>
          <w:sz w:val="22"/>
        </w:rPr>
        <w:t>Time-to-divergence (time at which position error exceeds a fixed threshold).</w:t>
      </w:r>
    </w:p>
    <w:p>
      <w:pPr>
        <w:pStyle w:val="ListBullet"/>
        <w:spacing w:before="0" w:after="40"/>
        <w:ind w:left="360"/>
      </w:pPr>
      <w:r>
        <w:rPr>
          <w:rFonts w:ascii="Times New Roman" w:hAnsi="Times New Roman"/>
          <w:sz w:val="22"/>
        </w:rPr>
        <w:t>Bounded vs ejected status.</w:t>
      </w:r>
    </w:p>
    <w:p>
      <w:pPr>
        <w:pStyle w:val="ListBullet"/>
        <w:spacing w:before="0" w:after="40"/>
        <w:ind w:left="360"/>
      </w:pPr>
      <w:r>
        <w:rPr>
          <w:rFonts w:ascii="Times New Roman" w:hAnsi="Times New Roman"/>
          <w:sz w:val="22"/>
        </w:rPr>
        <w:t>Range of bound-pair separation [AU] — required for hierarchical systems; detects sub-system unbinding invisible to global energy metrics.</w:t>
      </w:r>
    </w:p>
    <w:p>
      <w:pPr>
        <w:keepNext w:val="0"/>
        <w:spacing w:before="40" w:after="120"/>
        <w:jc w:val="left"/>
      </w:pPr>
      <w:r>
        <w:rPr>
          <w:rFonts w:ascii="Times New Roman" w:hAnsi="Times New Roman"/>
          <w:b w:val="0"/>
          <w:i w:val="0"/>
          <w:sz w:val="22"/>
        </w:rPr>
        <w:t>Method efficiency (force evaluations to reach equal accuracy) is compared only at matched accuracy, by interpolating each method's Pareto cost–accuracy frontier within the measured range. Wall-clock speed is noted only as a secondary observation.</w:t>
      </w:r>
    </w:p>
    <w:p>
      <w:pPr>
        <w:spacing w:before="200" w:after="80"/>
      </w:pPr>
      <w:r>
        <w:rPr>
          <w:rFonts w:ascii="Times New Roman" w:hAnsi="Times New Roman"/>
          <w:b/>
          <w:sz w:val="22"/>
        </w:rPr>
        <w:t>Results</w:t>
      </w:r>
    </w:p>
    <w:p>
      <w:pPr>
        <w:keepNext w:val="0"/>
        <w:spacing w:before="80" w:after="40"/>
        <w:jc w:val="left"/>
      </w:pPr>
      <w:r>
        <w:rPr>
          <w:rFonts w:ascii="Times New Roman" w:hAnsi="Times New Roman"/>
          <w:b/>
          <w:i w:val="0"/>
          <w:sz w:val="22"/>
        </w:rPr>
        <w:t>Finding 1 — time-reversal symmetry governs energy drift</w:t>
      </w:r>
      <w:r>
        <w:rPr>
          <w:rFonts w:ascii="Times New Roman" w:hAnsi="Times New Roman"/>
          <w:b w:val="0"/>
          <w:i w:val="0"/>
          <w:sz w:val="22"/>
        </w:rPr>
        <w:t xml:space="preserve"> (answers Q1).</w:t>
      </w:r>
    </w:p>
    <w:p>
      <w:pPr>
        <w:keepNext w:val="0"/>
        <w:spacing w:before="0" w:after="60"/>
        <w:jc w:val="left"/>
      </w:pPr>
      <w:r>
        <w:rPr>
          <w:rFonts w:ascii="Times New Roman" w:hAnsi="Times New Roman"/>
          <w:b w:val="0"/>
          <w:i w:val="0"/>
          <w:sz w:val="22"/>
        </w:rPr>
        <w:t>The reversible adaptive leapfrog (η = 0.05) stays energy-bounded across all test systems at a single setting: max|ΔE/E₀| = 0.087%, 0.224%, and 0.003% on IC1, IC4, and IC6 respectively. A fixed step with dt = 0.005 (eight times more force evaluations per year) ejects the IC1 close-encounter system at 128% energy error. The heuristic adaptive leapfrog also fails on close encounters (IC1: 1.24%; BS_0.05: 4905%, ejected); only time-symmetric adaptation and IAS15 remain bounded across all regimes.</w:t>
      </w:r>
    </w:p>
    <w:p>
      <w:pPr>
        <w:keepNext w:val="0"/>
        <w:spacing w:before="0" w:after="120"/>
        <w:jc w:val="left"/>
      </w:pPr>
      <w:r>
        <w:rPr>
          <w:rFonts w:ascii="Times New Roman" w:hAnsi="Times New Roman"/>
          <w:b w:val="0"/>
          <w:i w:val="0"/>
          <w:sz w:val="22"/>
        </w:rPr>
        <w:t>The efficiency advantage is regime-dependent. On the energy metric, the time-symmetric scheme is 1.5–3.6× cheaper in force evaluations on close-encounter (IC1) and under-resolved (IC4) configurations. On near-regular IC3/IC6 the fixed step is already cheap and the time-symmetric scheme uses 2–3× more evaluations for no accuracy gain. The contribution is an operating map, not a universal speedup (Figure 1: cost vs energy drift across all 9 configurations).</w:t>
      </w:r>
    </w:p>
    <w:p>
      <w:pPr>
        <w:keepNext w:val="0"/>
        <w:spacing w:before="80" w:after="40"/>
        <w:jc w:val="left"/>
      </w:pPr>
      <w:r>
        <w:rPr>
          <w:rFonts w:ascii="Times New Roman" w:hAnsi="Times New Roman"/>
          <w:b/>
          <w:i w:val="0"/>
          <w:sz w:val="22"/>
        </w:rPr>
        <w:t>Finding 2 — the energy-metric trap</w:t>
      </w:r>
      <w:r>
        <w:rPr>
          <w:rFonts w:ascii="Times New Roman" w:hAnsi="Times New Roman"/>
          <w:b w:val="0"/>
          <w:i w:val="0"/>
          <w:sz w:val="22"/>
        </w:rPr>
        <w:t xml:space="preserve"> (answers Q2, first part).</w:t>
      </w:r>
    </w:p>
    <w:p>
      <w:pPr>
        <w:keepNext w:val="0"/>
        <w:spacing w:before="0" w:after="120"/>
        <w:jc w:val="left"/>
      </w:pPr>
      <w:r>
        <w:rPr>
          <w:rFonts w:ascii="Times New Roman" w:hAnsi="Times New Roman"/>
          <w:b w:val="0"/>
          <w:i w:val="0"/>
          <w:sz w:val="22"/>
        </w:rPr>
        <w:t>The real Sun–Earth–Moon system integrated with leapfrog at dt = 0.01 yr reports max|ΔE/E₀| = 0.008% and bounded = True. Yet over 100 yr the Earth–Moon separation grows from its true value of 0.00257 AU to a peak of 1.99 AU — 774× the true distance — while IAS15, the time-symmetric scheme, and the heuristic-adaptive integrator all hold it within [0.0024, 0.0027] AU. A global energy or ejection criterion thus certifies a run whose internal hierarchical structure is destroyed. Only the pair-separation diagnostic detects the failure (Figure 2).</w:t>
      </w:r>
    </w:p>
    <w:p>
      <w:pPr>
        <w:keepNext w:val="0"/>
        <w:spacing w:before="80" w:after="40"/>
        <w:jc w:val="left"/>
      </w:pPr>
      <w:r>
        <w:rPr>
          <w:rFonts w:ascii="Times New Roman" w:hAnsi="Times New Roman"/>
          <w:b/>
          <w:i w:val="0"/>
          <w:sz w:val="22"/>
        </w:rPr>
        <w:t>Finding 3 — neural network corrections are null at equal compute</w:t>
      </w:r>
      <w:r>
        <w:rPr>
          <w:rFonts w:ascii="Times New Roman" w:hAnsi="Times New Roman"/>
          <w:b w:val="0"/>
          <w:i w:val="0"/>
          <w:sz w:val="22"/>
        </w:rPr>
        <w:t xml:space="preserve"> (answers Q3).</w:t>
      </w:r>
    </w:p>
    <w:p>
      <w:pPr>
        <w:keepNext w:val="0"/>
        <w:spacing w:before="0" w:after="40"/>
        <w:jc w:val="left"/>
      </w:pPr>
      <w:r>
        <w:rPr>
          <w:rFonts w:ascii="Times New Roman" w:hAnsi="Times New Roman"/>
          <w:b w:val="0"/>
          <w:i w:val="0"/>
          <w:sz w:val="22"/>
        </w:rPr>
        <w:t>Under the pre-registered equal-compute protocol on 27 held-out configurations:</w:t>
      </w:r>
    </w:p>
    <w:p>
      <w:pPr>
        <w:pStyle w:val="ListBullet"/>
        <w:spacing w:before="0" w:after="40"/>
        <w:ind w:left="360"/>
      </w:pPr>
      <w:r>
        <w:rPr>
          <w:rFonts w:ascii="Times New Roman" w:hAnsi="Times New Roman"/>
          <w:sz w:val="22"/>
        </w:rPr>
        <w:t>A1 (per-step scalar): 0 of 27 configurations beat an equal-cost finer leapfrog step on short-horizon position RMS — even when the network is charged zero cost (κ = 0).</w:t>
      </w:r>
    </w:p>
    <w:p>
      <w:pPr>
        <w:pStyle w:val="ListBullet"/>
        <w:spacing w:before="0" w:after="40"/>
        <w:ind w:left="360"/>
      </w:pPr>
      <w:r>
        <w:rPr>
          <w:rFonts w:ascii="Times New Roman" w:hAnsi="Times New Roman"/>
          <w:sz w:val="22"/>
        </w:rPr>
        <w:t>A2 (encounter-triggered state residual): 2 of 27 at κ = 0, dropping to 1 of 27 once compute is charged. Both correctors are null.</w:t>
      </w:r>
    </w:p>
    <w:p>
      <w:pPr>
        <w:keepNext w:val="0"/>
        <w:spacing w:before="60" w:after="120"/>
        <w:jc w:val="left"/>
      </w:pPr>
      <w:r>
        <w:rPr>
          <w:rFonts w:ascii="Times New Roman" w:hAnsi="Times New Roman"/>
          <w:b w:val="0"/>
          <w:i w:val="0"/>
          <w:sz w:val="22"/>
        </w:rPr>
        <w:t>A perfect oracle correction applied at every close encounter yields 0% improvement on the binary–single system at every separation r_bin ∈ {0.05–0.40 AU}, confirming that the failure is temporal under-resolution, not force-model error. No force or state correction can repair a step-size problem; adaptive resolution (time-symmetric leapfrog or IAS15) can and does (Figure 3). The A2 prototype demonstrates that encounter dynamics contain learnable structure, but the learned model does not translate into a net gain at equal computational cost.</w:t>
      </w:r>
    </w:p>
    <w:p>
      <w:pPr>
        <w:keepNext w:val="0"/>
        <w:spacing w:before="80" w:after="40"/>
        <w:jc w:val="left"/>
      </w:pPr>
      <w:r>
        <w:rPr>
          <w:rFonts w:ascii="Times New Roman" w:hAnsi="Times New Roman"/>
          <w:b/>
          <w:i w:val="0"/>
          <w:sz w:val="22"/>
        </w:rPr>
        <w:t>Operating envelope</w:t>
      </w:r>
      <w:r>
        <w:rPr>
          <w:rFonts w:ascii="Times New Roman" w:hAnsi="Times New Roman"/>
          <w:b w:val="0"/>
          <w:i w:val="0"/>
          <w:sz w:val="22"/>
        </w:rPr>
        <w:t xml:space="preserve"> — three-regime 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before="20" w:after="20"/>
              <w:jc w:val="center"/>
            </w:pPr>
            <w:r/>
            <w:r>
              <w:rPr>
                <w:rFonts w:ascii="Times New Roman" w:hAnsi="Times New Roman"/>
                <w:b/>
                <w:sz w:val="20"/>
              </w:rPr>
              <w:t>Regime</w:t>
            </w:r>
          </w:p>
        </w:tc>
        <w:tc>
          <w:tcPr>
            <w:tcW w:type="dxa" w:w="2340"/>
          </w:tcPr>
          <w:p>
            <w:pPr>
              <w:spacing w:before="20" w:after="20"/>
              <w:jc w:val="center"/>
            </w:pPr>
            <w:r/>
            <w:r>
              <w:rPr>
                <w:rFonts w:ascii="Times New Roman" w:hAnsi="Times New Roman"/>
                <w:b/>
                <w:sz w:val="20"/>
              </w:rPr>
              <w:t>Sufficient integrator</w:t>
            </w:r>
          </w:p>
        </w:tc>
        <w:tc>
          <w:tcPr>
            <w:tcW w:type="dxa" w:w="2340"/>
          </w:tcPr>
          <w:p>
            <w:pPr>
              <w:spacing w:before="20" w:after="20"/>
              <w:jc w:val="center"/>
            </w:pPr>
            <w:r/>
            <w:r>
              <w:rPr>
                <w:rFonts w:ascii="Times New Roman" w:hAnsi="Times New Roman"/>
                <w:b/>
                <w:sz w:val="20"/>
              </w:rPr>
              <w:t>Example config</w:t>
            </w:r>
          </w:p>
        </w:tc>
        <w:tc>
          <w:tcPr>
            <w:tcW w:type="dxa" w:w="2340"/>
          </w:tcPr>
          <w:p>
            <w:pPr>
              <w:spacing w:before="20" w:after="20"/>
              <w:jc w:val="center"/>
            </w:pPr>
            <w:r/>
            <w:r>
              <w:rPr>
                <w:rFonts w:ascii="Times New Roman" w:hAnsi="Times New Roman"/>
                <w:b/>
                <w:sz w:val="20"/>
              </w:rPr>
              <w:t>Cost (fe/yr)</w:t>
            </w:r>
          </w:p>
        </w:tc>
      </w:tr>
      <w:tr>
        <w:tc>
          <w:tcPr>
            <w:tcW w:type="dxa" w:w="2340"/>
          </w:tcPr>
          <w:p>
            <w:pPr>
              <w:spacing w:before="20" w:after="20"/>
              <w:jc w:val="left"/>
            </w:pPr>
            <w:r/>
            <w:r>
              <w:rPr>
                <w:rFonts w:ascii="Times New Roman" w:hAnsi="Times New Roman"/>
                <w:b w:val="0"/>
                <w:sz w:val="20"/>
              </w:rPr>
              <w:t>Regular / well-separated</w:t>
            </w:r>
          </w:p>
        </w:tc>
        <w:tc>
          <w:tcPr>
            <w:tcW w:type="dxa" w:w="2340"/>
          </w:tcPr>
          <w:p>
            <w:pPr>
              <w:spacing w:before="20" w:after="20"/>
              <w:jc w:val="left"/>
            </w:pPr>
            <w:r/>
            <w:r>
              <w:rPr>
                <w:rFonts w:ascii="Times New Roman" w:hAnsi="Times New Roman"/>
                <w:b w:val="0"/>
                <w:sz w:val="20"/>
              </w:rPr>
              <w:t>Fixed leapfrog dt = 0.04</w:t>
            </w:r>
          </w:p>
        </w:tc>
        <w:tc>
          <w:tcPr>
            <w:tcW w:type="dxa" w:w="2340"/>
          </w:tcPr>
          <w:p>
            <w:pPr>
              <w:spacing w:before="20" w:after="20"/>
              <w:jc w:val="left"/>
            </w:pPr>
            <w:r/>
            <w:r>
              <w:rPr>
                <w:rFonts w:ascii="Times New Roman" w:hAnsi="Times New Roman"/>
                <w:b w:val="0"/>
                <w:sz w:val="20"/>
              </w:rPr>
              <w:t>IC6: 0.0006% energy</w:t>
            </w:r>
          </w:p>
        </w:tc>
        <w:tc>
          <w:tcPr>
            <w:tcW w:type="dxa" w:w="2340"/>
          </w:tcPr>
          <w:p>
            <w:pPr>
              <w:spacing w:before="20" w:after="20"/>
              <w:jc w:val="left"/>
            </w:pPr>
            <w:r/>
            <w:r>
              <w:rPr>
                <w:rFonts w:ascii="Times New Roman" w:hAnsi="Times New Roman"/>
                <w:b w:val="0"/>
                <w:sz w:val="20"/>
              </w:rPr>
              <w:t>25</w:t>
            </w:r>
          </w:p>
        </w:tc>
      </w:tr>
      <w:tr>
        <w:tc>
          <w:tcPr>
            <w:tcW w:type="dxa" w:w="2340"/>
          </w:tcPr>
          <w:p>
            <w:pPr>
              <w:spacing w:before="20" w:after="20"/>
              <w:jc w:val="left"/>
            </w:pPr>
            <w:r/>
            <w:r>
              <w:rPr>
                <w:rFonts w:ascii="Times New Roman" w:hAnsi="Times New Roman"/>
                <w:b w:val="0"/>
                <w:sz w:val="20"/>
              </w:rPr>
              <w:t>Moderate scattering</w:t>
            </w:r>
          </w:p>
        </w:tc>
        <w:tc>
          <w:tcPr>
            <w:tcW w:type="dxa" w:w="2340"/>
          </w:tcPr>
          <w:p>
            <w:pPr>
              <w:spacing w:before="20" w:after="20"/>
              <w:jc w:val="left"/>
            </w:pPr>
            <w:r/>
            <w:r>
              <w:rPr>
                <w:rFonts w:ascii="Times New Roman" w:hAnsi="Times New Roman"/>
                <w:b w:val="0"/>
                <w:sz w:val="20"/>
              </w:rPr>
              <w:t>Time-symmetric adaptive η = 0.05</w:t>
            </w:r>
          </w:p>
        </w:tc>
        <w:tc>
          <w:tcPr>
            <w:tcW w:type="dxa" w:w="2340"/>
          </w:tcPr>
          <w:p>
            <w:pPr>
              <w:spacing w:before="20" w:after="20"/>
              <w:jc w:val="left"/>
            </w:pPr>
            <w:r/>
            <w:r>
              <w:rPr>
                <w:rFonts w:ascii="Times New Roman" w:hAnsi="Times New Roman"/>
                <w:b w:val="0"/>
                <w:sz w:val="20"/>
              </w:rPr>
              <w:t>IC1: 0.087%, IC4: 0.224%</w:t>
            </w:r>
          </w:p>
        </w:tc>
        <w:tc>
          <w:tcPr>
            <w:tcW w:type="dxa" w:w="2340"/>
          </w:tcPr>
          <w:p>
            <w:pPr>
              <w:spacing w:before="20" w:after="20"/>
              <w:jc w:val="left"/>
            </w:pPr>
            <w:r/>
            <w:r>
              <w:rPr>
                <w:rFonts w:ascii="Times New Roman" w:hAnsi="Times New Roman"/>
                <w:b w:val="0"/>
                <w:sz w:val="20"/>
              </w:rPr>
              <w:t>75–88</w:t>
            </w:r>
          </w:p>
        </w:tc>
      </w:tr>
      <w:tr>
        <w:tc>
          <w:tcPr>
            <w:tcW w:type="dxa" w:w="2340"/>
          </w:tcPr>
          <w:p>
            <w:pPr>
              <w:spacing w:before="20" w:after="20"/>
              <w:jc w:val="left"/>
            </w:pPr>
            <w:r/>
            <w:r>
              <w:rPr>
                <w:rFonts w:ascii="Times New Roman" w:hAnsi="Times New Roman"/>
                <w:b w:val="0"/>
                <w:sz w:val="20"/>
              </w:rPr>
              <w:t>Tight binary (r_bin ≤ 0.05 AU)</w:t>
            </w:r>
          </w:p>
        </w:tc>
        <w:tc>
          <w:tcPr>
            <w:tcW w:type="dxa" w:w="2340"/>
          </w:tcPr>
          <w:p>
            <w:pPr>
              <w:spacing w:before="20" w:after="20"/>
              <w:jc w:val="left"/>
            </w:pPr>
            <w:r/>
            <w:r>
              <w:rPr>
                <w:rFonts w:ascii="Times New Roman" w:hAnsi="Times New Roman"/>
                <w:b w:val="0"/>
                <w:sz w:val="20"/>
              </w:rPr>
              <w:t>IAS15</w:t>
            </w:r>
          </w:p>
        </w:tc>
        <w:tc>
          <w:tcPr>
            <w:tcW w:type="dxa" w:w="2340"/>
          </w:tcPr>
          <w:p>
            <w:pPr>
              <w:spacing w:before="20" w:after="20"/>
              <w:jc w:val="left"/>
            </w:pPr>
            <w:r/>
            <w:r>
              <w:rPr>
                <w:rFonts w:ascii="Times New Roman" w:hAnsi="Times New Roman"/>
                <w:b w:val="0"/>
                <w:sz w:val="20"/>
              </w:rPr>
              <w:t>BS_0.05: bounded</w:t>
            </w:r>
          </w:p>
        </w:tc>
        <w:tc>
          <w:tcPr>
            <w:tcW w:type="dxa" w:w="2340"/>
          </w:tcPr>
          <w:p>
            <w:pPr>
              <w:spacing w:before="20" w:after="20"/>
              <w:jc w:val="left"/>
            </w:pPr>
            <w:r/>
            <w:r>
              <w:rPr>
                <w:rFonts w:ascii="Times New Roman" w:hAnsi="Times New Roman"/>
                <w:b w:val="0"/>
                <w:sz w:val="20"/>
              </w:rPr>
              <w:t>~31,600</w:t>
            </w:r>
          </w:p>
        </w:tc>
      </w:tr>
    </w:tbl>
    <w:p/>
    <w:p>
      <w:pPr>
        <w:spacing w:before="200" w:after="80"/>
      </w:pPr>
      <w:r>
        <w:rPr>
          <w:rFonts w:ascii="Times New Roman" w:hAnsi="Times New Roman"/>
          <w:b/>
          <w:sz w:val="22"/>
        </w:rPr>
        <w:t>Conclusions and Contributions</w:t>
      </w:r>
    </w:p>
    <w:p>
      <w:pPr>
        <w:keepNext w:val="0"/>
        <w:spacing w:before="80" w:after="60"/>
        <w:jc w:val="left"/>
      </w:pPr>
      <w:r>
        <w:rPr>
          <w:rFonts w:ascii="Times New Roman" w:hAnsi="Times New Roman"/>
          <w:b/>
          <w:i w:val="0"/>
          <w:sz w:val="22"/>
        </w:rPr>
        <w:t xml:space="preserve">C1 — Operating envelope (answers Q1). </w:t>
      </w:r>
      <w:r>
        <w:rPr>
          <w:rFonts w:ascii="Times New Roman" w:hAnsi="Times New Roman"/>
          <w:b w:val="0"/>
          <w:i w:val="0"/>
          <w:sz w:val="22"/>
        </w:rPr>
        <w:t>Fixed-step leapfrog is necessary and sufficient for regular, well-separated systems. The time-symmetric adaptive leapfrog is necessary and sufficient for moderate scattering: it is the only method that stays bounded at a single control setting across this regime and reaches accuracies that fixed leapfrog cannot attain. IAS15 is necessary for tight binaries, where all fixed-step and heuristic methods eject the binary and the time-symmetric scheme, while bounded, is 65× slower in wall-clock time.</w:t>
      </w:r>
    </w:p>
    <w:p>
      <w:pPr>
        <w:keepNext w:val="0"/>
        <w:spacing w:before="80" w:after="60"/>
        <w:jc w:val="left"/>
      </w:pPr>
      <w:r>
        <w:rPr>
          <w:rFonts w:ascii="Times New Roman" w:hAnsi="Times New Roman"/>
          <w:b/>
          <w:i w:val="0"/>
          <w:sz w:val="22"/>
        </w:rPr>
        <w:t xml:space="preserve">C2 — Stability diagnostics (answers Q2). </w:t>
      </w:r>
      <w:r>
        <w:rPr>
          <w:rFonts w:ascii="Times New Roman" w:hAnsi="Times New Roman"/>
          <w:b w:val="0"/>
          <w:i w:val="0"/>
          <w:sz w:val="22"/>
        </w:rPr>
        <w:t>For chaotic three-body work, stability cannot be judged from energy drift or ejection status alone. The full required set is: (a) max|ΔE/E₀| over the full integration time; (b) short-horizon position RMS within one Lyapunov time; (c) bounded/ejected status; (d) bound-pair separation range for hierarchical systems. Finding 2 demonstrates concretely on a real system that (a)–(c) all pass while the Moon's orbit is destroyed; only (d) detects the failure.</w:t>
      </w:r>
    </w:p>
    <w:p>
      <w:pPr>
        <w:keepNext w:val="0"/>
        <w:spacing w:before="80" w:after="60"/>
        <w:jc w:val="left"/>
      </w:pPr>
      <w:r>
        <w:rPr>
          <w:rFonts w:ascii="Times New Roman" w:hAnsi="Times New Roman"/>
          <w:b/>
          <w:i w:val="0"/>
          <w:sz w:val="22"/>
        </w:rPr>
        <w:t xml:space="preserve">C3 — Neural network corrections do not beat equal-cost refinement (answers Q3). </w:t>
      </w:r>
      <w:r>
        <w:rPr>
          <w:rFonts w:ascii="Times New Roman" w:hAnsi="Times New Roman"/>
          <w:b w:val="0"/>
          <w:i w:val="0"/>
          <w:sz w:val="22"/>
        </w:rPr>
        <w:t>Under a pre-registered protocol, neither corrector outperforms an equal-cost finer classical step on the short-horizon metric. The oracle analysis localises the failure to temporal resolution. The A2 prototype shows that encounter dynamics have learnable structure, but learning alone does not overcome the timestep problem; adaptive resolution does.</w:t>
      </w:r>
    </w:p>
    <w:p>
      <w:pPr>
        <w:keepNext w:val="0"/>
        <w:spacing w:before="120" w:after="60"/>
        <w:jc w:val="left"/>
      </w:pPr>
      <w:r>
        <w:rPr>
          <w:rFonts w:ascii="Times New Roman" w:hAnsi="Times New Roman"/>
          <w:b/>
          <w:i w:val="0"/>
          <w:sz w:val="22"/>
        </w:rPr>
        <w:t xml:space="preserve">Novelty. </w:t>
      </w:r>
      <w:r>
        <w:rPr>
          <w:rFonts w:ascii="Times New Roman" w:hAnsi="Times New Roman"/>
          <w:b w:val="0"/>
          <w:i w:val="0"/>
          <w:sz w:val="22"/>
        </w:rPr>
        <w:t>The time-symmetric adaptive leapfrog is the method of Hut, Makino &amp; McMillan (1995) [6]. The original contributions of this work are: the controlled characterisation of this method across dynamical regimes on a common test suite; the demonstration that an energy criterion misclassifies a physically destroyed real system and the identification of pair-separation as a necessary diagnostic; and the pre-registered equal-compute null result on learned corrections with the failure mechanism identified.</w:t>
      </w:r>
    </w:p>
    <w:p>
      <w:pPr>
        <w:keepNext w:val="0"/>
        <w:spacing w:before="160" w:after="60"/>
        <w:jc w:val="left"/>
      </w:pPr>
      <w:r>
        <w:rPr>
          <w:rFonts w:ascii="Times New Roman" w:hAnsi="Times New Roman"/>
          <w:b/>
          <w:i w:val="0"/>
          <w:sz w:val="22"/>
        </w:rPr>
        <w:t xml:space="preserve">Keywords: </w:t>
      </w:r>
      <w:r>
        <w:rPr>
          <w:rFonts w:ascii="Times New Roman" w:hAnsi="Times New Roman"/>
          <w:b w:val="0"/>
          <w:i w:val="0"/>
          <w:sz w:val="22"/>
        </w:rPr>
        <w:t>three-body problem; symplectic and time-symmetric integration; deterministic chaos; computational celestial mechanics; neural network force corrections; operating envelope.</w:t>
      </w:r>
    </w:p>
    <w:p>
      <w:pPr>
        <w:spacing w:before="200" w:after="80"/>
      </w:pPr>
      <w:r>
        <w:rPr>
          <w:rFonts w:ascii="Times New Roman" w:hAnsi="Times New Roman"/>
          <w:b/>
          <w:sz w:val="22"/>
        </w:rPr>
        <w:t>References</w:t>
      </w:r>
    </w:p>
    <w:p>
      <w:pPr>
        <w:keepNext w:val="0"/>
        <w:spacing w:before="0" w:after="40"/>
        <w:jc w:val="left"/>
      </w:pPr>
      <w:r>
        <w:rPr>
          <w:rFonts w:ascii="Times New Roman" w:hAnsi="Times New Roman"/>
          <w:b w:val="0"/>
          <w:i w:val="0"/>
          <w:sz w:val="22"/>
        </w:rPr>
        <w:t>[1] H. Poincaré (1890). Sur le problème des trois corps et les équations de la dynamique. Acta Mathematica, 13, 1–270.</w:t>
      </w:r>
    </w:p>
    <w:p>
      <w:pPr>
        <w:keepNext w:val="0"/>
        <w:spacing w:before="0" w:after="40"/>
        <w:jc w:val="left"/>
      </w:pPr>
      <w:r>
        <w:rPr>
          <w:rFonts w:ascii="Times New Roman" w:hAnsi="Times New Roman"/>
          <w:b w:val="0"/>
          <w:i w:val="0"/>
          <w:sz w:val="22"/>
        </w:rPr>
        <w:t>[2] H. Yoshida (1990). Construction of higher order symplectic integrators. Physics Letters A, 150, 262–268.</w:t>
      </w:r>
    </w:p>
    <w:p>
      <w:pPr>
        <w:keepNext w:val="0"/>
        <w:spacing w:before="0" w:after="40"/>
        <w:jc w:val="left"/>
      </w:pPr>
      <w:r>
        <w:rPr>
          <w:rFonts w:ascii="Times New Roman" w:hAnsi="Times New Roman"/>
          <w:b w:val="0"/>
          <w:i w:val="0"/>
          <w:sz w:val="22"/>
        </w:rPr>
        <w:t>[3] H. Rein &amp; D. S. Spiegel (2015). IAS15: a fast, adaptive, high-order integrator for gravitational dynamics. MNRAS, 446, 1424–1437.</w:t>
      </w:r>
    </w:p>
    <w:p>
      <w:pPr>
        <w:keepNext w:val="0"/>
        <w:spacing w:before="0" w:after="40"/>
        <w:jc w:val="left"/>
      </w:pPr>
      <w:r>
        <w:rPr>
          <w:rFonts w:ascii="Times New Roman" w:hAnsi="Times New Roman"/>
          <w:b w:val="0"/>
          <w:i w:val="0"/>
          <w:sz w:val="22"/>
        </w:rPr>
        <w:t>[4] H. Rein &amp; S.-F. Liu (2012). REBOUND: an open-source multi-purpose N-body code for collisional dynamics. A&amp;A, 537, A128.</w:t>
      </w:r>
    </w:p>
    <w:p>
      <w:pPr>
        <w:keepNext w:val="0"/>
        <w:spacing w:before="0" w:after="40"/>
        <w:jc w:val="left"/>
      </w:pPr>
      <w:r>
        <w:rPr>
          <w:rFonts w:ascii="Times New Roman" w:hAnsi="Times New Roman"/>
          <w:b w:val="0"/>
          <w:i w:val="0"/>
          <w:sz w:val="22"/>
        </w:rPr>
        <w:t>[5] P. G. Breen, C. N. Foley, T. Boekholt &amp; S. Portegies Zwart (2020). Newton versus the machine: solving the chaotic three-body problem using deep neural networks. MNRAS, 494, 2465–2470.</w:t>
      </w:r>
    </w:p>
    <w:p>
      <w:pPr>
        <w:keepNext w:val="0"/>
        <w:spacing w:before="0" w:after="40"/>
        <w:jc w:val="left"/>
      </w:pPr>
      <w:r>
        <w:rPr>
          <w:rFonts w:ascii="Times New Roman" w:hAnsi="Times New Roman"/>
          <w:b w:val="0"/>
          <w:i w:val="0"/>
          <w:sz w:val="22"/>
        </w:rPr>
        <w:t>[6] P. Hut, J. Makino &amp; S. McMillan (1995). Building a better leapfrog. ApJ Letters, 443, L93–L96.</w:t>
      </w:r>
    </w:p>
    <w:p>
      <w:pPr>
        <w:keepNext w:val="0"/>
        <w:spacing w:before="0" w:after="40"/>
        <w:jc w:val="left"/>
      </w:pPr>
      <w:r>
        <w:rPr>
          <w:rFonts w:ascii="Times New Roman" w:hAnsi="Times New Roman"/>
          <w:b w:val="0"/>
          <w:i w:val="0"/>
          <w:sz w:val="22"/>
        </w:rPr>
        <w:t>[7] J. D. Giorgini et al. (1996). JPL's on-line Solar System data service (HORIZONS). BAAS, 28, 1158.</w:t>
      </w:r>
    </w:p>
    <w:p>
      <w:pPr>
        <w:keepNext w:val="0"/>
        <w:spacing w:before="120" w:after="0"/>
        <w:jc w:val="left"/>
      </w:pPr>
      <w:r>
        <w:rPr>
          <w:rFonts w:ascii="Times New Roman" w:hAnsi="Times New Roman"/>
          <w:b w:val="0"/>
          <w:i/>
          <w:sz w:val="22"/>
        </w:rPr>
        <w:t>(Bibliographic details should be confirmed against the originals before final submission.)</w:t>
      </w:r>
    </w:p>
    <w:sectPr w:rsidR="00FC693F" w:rsidRPr="0006063C" w:rsidSect="00034616">
      <w:headerReference w:type="default" r:id="rId9"/>
      <w:footerReference w:type="default" r:id="rId10"/>
      <w:pgSz w:w="12240" w:h="15840"/>
      <w:pgMar w:top="1134"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fldChar w:fldCharType="begin"/>
      <w:instrText>PAGE</w:instrText>
      <w:fldChar w:fldCharType="end"/>
    </w:r>
    <w:r>
      <w:rPr>
        <w:sz w:val="20"/>
      </w:rPr>
      <w:t xml:space="preserve"> of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20"/>
      </w:rPr>
      <w:t>Research Outline                    2026 S.T. Yau High School Science Award (Asia)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