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EA0CC" w14:textId="54147BAC" w:rsidR="00613F1E" w:rsidRPr="00453FC1" w:rsidRDefault="00613F1E" w:rsidP="00613F1E">
      <w:pPr>
        <w:rPr>
          <w:rFonts w:ascii="Frutiger LT Std 45 Light" w:hAnsi="Frutiger LT Std 45 Light"/>
          <w:szCs w:val="22"/>
        </w:rPr>
      </w:pPr>
    </w:p>
    <w:p w14:paraId="464D6E87" w14:textId="77777777" w:rsidR="00613F1E" w:rsidRPr="00453FC1" w:rsidRDefault="00613F1E" w:rsidP="003D504D">
      <w:pPr>
        <w:rPr>
          <w:rFonts w:ascii="Frutiger LT Std 45 Light" w:hAnsi="Frutiger LT Std 45 Light"/>
          <w:szCs w:val="22"/>
        </w:rPr>
      </w:pPr>
    </w:p>
    <w:p w14:paraId="23960D5B" w14:textId="77777777" w:rsidR="00613F1E" w:rsidRPr="00453FC1" w:rsidRDefault="00613F1E" w:rsidP="003D504D">
      <w:pPr>
        <w:rPr>
          <w:rFonts w:ascii="Frutiger LT Std 45 Light" w:hAnsi="Frutiger LT Std 45 Light"/>
          <w:szCs w:val="22"/>
        </w:rPr>
      </w:pPr>
    </w:p>
    <w:p w14:paraId="1F8711E6" w14:textId="6BED05EA" w:rsidR="00613F1E" w:rsidRDefault="002F08E5" w:rsidP="002F08E5">
      <w:pPr>
        <w:pStyle w:val="Title"/>
      </w:pPr>
      <w:r>
        <w:t>Memorandum of Understanding</w:t>
      </w:r>
    </w:p>
    <w:p w14:paraId="7F08C5E2" w14:textId="00982D46" w:rsidR="002F08E5" w:rsidRPr="00526A61" w:rsidRDefault="002F08E5" w:rsidP="002F08E5">
      <w:pPr>
        <w:pStyle w:val="Title"/>
        <w:rPr>
          <w:color w:val="595959" w:themeColor="text1" w:themeTint="A6"/>
        </w:rPr>
      </w:pPr>
      <w:r w:rsidRPr="00526A61">
        <w:rPr>
          <w:color w:val="595959" w:themeColor="text1" w:themeTint="A6"/>
        </w:rPr>
        <w:t>Digital Innovation Group</w:t>
      </w:r>
    </w:p>
    <w:p w14:paraId="690D9644" w14:textId="494AA59E" w:rsidR="002F08E5" w:rsidRDefault="002F08E5" w:rsidP="002F08E5"/>
    <w:p w14:paraId="4FC06774" w14:textId="4EF23649" w:rsidR="002F08E5" w:rsidRDefault="002F08E5" w:rsidP="002F08E5">
      <w:pPr>
        <w:pStyle w:val="Heading1"/>
      </w:pPr>
      <w:r>
        <w:t>Executive Summary</w:t>
      </w:r>
    </w:p>
    <w:p w14:paraId="2BFD08D2" w14:textId="335018BF" w:rsidR="006E6B40" w:rsidRDefault="006E6B40" w:rsidP="002F08E5">
      <w:r>
        <w:t>This Memorandum of Understanding (MoU) details how third parties can work with and use the services of the Digital Innovation Group (</w:t>
      </w:r>
      <w:proofErr w:type="spellStart"/>
      <w:r>
        <w:t>DigInG</w:t>
      </w:r>
      <w:proofErr w:type="spellEnd"/>
      <w:r>
        <w:t xml:space="preserve">). The term “third party” refers to anyone who is not a direct member of the Digital Innovation Group such as student workers or staff members working for </w:t>
      </w:r>
      <w:proofErr w:type="spellStart"/>
      <w:r>
        <w:t>DigInG</w:t>
      </w:r>
      <w:proofErr w:type="spellEnd"/>
      <w:r>
        <w:t>. The intention of this MoU is to create a common understanding of expectations and to avoid frustrations on either side.</w:t>
      </w:r>
    </w:p>
    <w:p w14:paraId="48665438" w14:textId="6EE3C6D7" w:rsidR="00FF6A70" w:rsidRDefault="00FF6A70" w:rsidP="006E6B40">
      <w:pPr>
        <w:pStyle w:val="Heading1"/>
      </w:pPr>
      <w:r>
        <w:t xml:space="preserve">The </w:t>
      </w:r>
      <w:proofErr w:type="spellStart"/>
      <w:r>
        <w:t>DigInG</w:t>
      </w:r>
      <w:proofErr w:type="spellEnd"/>
      <w:r>
        <w:t xml:space="preserve"> Concept</w:t>
      </w:r>
    </w:p>
    <w:p w14:paraId="12B6A836" w14:textId="2519D827" w:rsidR="00FF6A70" w:rsidRDefault="00FF6A70" w:rsidP="00FF6A70">
      <w:proofErr w:type="spellStart"/>
      <w:r>
        <w:t>DigInG</w:t>
      </w:r>
      <w:proofErr w:type="spellEnd"/>
      <w:r>
        <w:t xml:space="preserve"> has three main goals:</w:t>
      </w:r>
    </w:p>
    <w:p w14:paraId="4760027D" w14:textId="1DDD6A0A" w:rsidR="00FF6A70" w:rsidRDefault="00921634" w:rsidP="00FF6A70">
      <w:pPr>
        <w:pStyle w:val="ListParagraph"/>
        <w:numPr>
          <w:ilvl w:val="0"/>
          <w:numId w:val="12"/>
        </w:numPr>
      </w:pPr>
      <w:r>
        <w:t>t</w:t>
      </w:r>
      <w:r w:rsidR="00FF6A70">
        <w:t>o develop</w:t>
      </w:r>
      <w:r w:rsidR="00FF6A70" w:rsidRPr="00FF6A70">
        <w:t xml:space="preserve"> new tools to support </w:t>
      </w:r>
      <w:r w:rsidR="009E124D">
        <w:t>humanities</w:t>
      </w:r>
      <w:r w:rsidR="00FF6A70" w:rsidRPr="00FF6A70">
        <w:t xml:space="preserve"> researchers in processing and analyzing their data, </w:t>
      </w:r>
    </w:p>
    <w:p w14:paraId="4EDCEF39" w14:textId="326F6243" w:rsidR="00FF6A70" w:rsidRDefault="00921634" w:rsidP="00FF6A70">
      <w:pPr>
        <w:pStyle w:val="ListParagraph"/>
        <w:numPr>
          <w:ilvl w:val="0"/>
          <w:numId w:val="12"/>
        </w:numPr>
      </w:pPr>
      <w:r>
        <w:t>t</w:t>
      </w:r>
      <w:r w:rsidR="00FF6A70">
        <w:t>o contribute to the</w:t>
      </w:r>
      <w:r w:rsidR="00FF6A70" w:rsidRPr="00FF6A70">
        <w:t xml:space="preserve"> development of a computational </w:t>
      </w:r>
      <w:r w:rsidR="009E124D">
        <w:t>infrastructure for the humanities</w:t>
      </w:r>
      <w:r w:rsidR="00FF6A70" w:rsidRPr="00FF6A70">
        <w:t xml:space="preserve">, </w:t>
      </w:r>
    </w:p>
    <w:p w14:paraId="2CDA5E71" w14:textId="4723EAB3" w:rsidR="00FF6A70" w:rsidRDefault="00FF6A70" w:rsidP="00FF6A70">
      <w:pPr>
        <w:pStyle w:val="ListParagraph"/>
        <w:numPr>
          <w:ilvl w:val="0"/>
          <w:numId w:val="12"/>
        </w:numPr>
      </w:pPr>
      <w:r w:rsidRPr="00FF6A70">
        <w:t xml:space="preserve">and to create new educational resources, opportunities, and experiences for students in computer science and the </w:t>
      </w:r>
      <w:r w:rsidR="009E124D">
        <w:t>humanities</w:t>
      </w:r>
      <w:r w:rsidRPr="00FF6A70">
        <w:t>.</w:t>
      </w:r>
    </w:p>
    <w:p w14:paraId="7A6CE7B7" w14:textId="5623BF18" w:rsidR="00FF6A70" w:rsidRPr="00FF6A70" w:rsidRDefault="00921634" w:rsidP="00FF6A70">
      <w:proofErr w:type="gramStart"/>
      <w:r>
        <w:t>One way</w:t>
      </w:r>
      <w:proofErr w:type="gramEnd"/>
      <w:r>
        <w:t xml:space="preserve"> </w:t>
      </w:r>
      <w:proofErr w:type="spellStart"/>
      <w:r>
        <w:t>DigInG</w:t>
      </w:r>
      <w:proofErr w:type="spellEnd"/>
      <w:r>
        <w:t xml:space="preserve"> realize</w:t>
      </w:r>
      <w:r w:rsidR="00B00EF3">
        <w:t>s</w:t>
      </w:r>
      <w:r>
        <w:t xml:space="preserve"> the third goal is to employ student workers that help developing software and working on other research related tasks. Students are mentored by staff members to improve skills and foster an understanding of employed methods and research software. This means, however, that progress on projects is often slower than would be expected of a full-time professional software developer or data professional. </w:t>
      </w:r>
      <w:proofErr w:type="spellStart"/>
      <w:r>
        <w:t>DigInG</w:t>
      </w:r>
      <w:proofErr w:type="spellEnd"/>
      <w:r>
        <w:t xml:space="preserve"> will always try to meet deadlines and fulfil its promises, but this structure needs to be taken into account when working with </w:t>
      </w:r>
      <w:proofErr w:type="spellStart"/>
      <w:r>
        <w:t>DigInG</w:t>
      </w:r>
      <w:proofErr w:type="spellEnd"/>
      <w:r>
        <w:t>.</w:t>
      </w:r>
    </w:p>
    <w:p w14:paraId="5ECE16F4" w14:textId="12230855" w:rsidR="006E6B40" w:rsidRDefault="006E6B40" w:rsidP="006E6B40">
      <w:pPr>
        <w:pStyle w:val="Heading1"/>
      </w:pPr>
      <w:r>
        <w:t xml:space="preserve">Scope of Expertise </w:t>
      </w:r>
      <w:r w:rsidR="005125D1">
        <w:t>and Services</w:t>
      </w:r>
    </w:p>
    <w:p w14:paraId="257BD227" w14:textId="356CF7C1" w:rsidR="006E6B40" w:rsidRDefault="005125D1" w:rsidP="006E6B40">
      <w:r>
        <w:t xml:space="preserve">There are several ways third parties can work with </w:t>
      </w:r>
      <w:proofErr w:type="spellStart"/>
      <w:r>
        <w:t>DigInG</w:t>
      </w:r>
      <w:proofErr w:type="spellEnd"/>
      <w:r>
        <w:t xml:space="preserve">. In the simplest case, </w:t>
      </w:r>
      <w:proofErr w:type="spellStart"/>
      <w:r>
        <w:t>DigInG’s</w:t>
      </w:r>
      <w:proofErr w:type="spellEnd"/>
      <w:r>
        <w:t xml:space="preserve"> cyber infrastructure can be used for projects. The different elements of the infrastructure will not be listed here and instead we refer to the </w:t>
      </w:r>
      <w:proofErr w:type="spellStart"/>
      <w:r>
        <w:t>DigInG</w:t>
      </w:r>
      <w:proofErr w:type="spellEnd"/>
      <w:r>
        <w:t xml:space="preserve"> website (</w:t>
      </w:r>
      <w:hyperlink r:id="rId8" w:history="1">
        <w:r w:rsidR="006746FF" w:rsidRPr="006906C0">
          <w:rPr>
            <w:rStyle w:val="Hyperlink"/>
          </w:rPr>
          <w:t>http://diging.asu.edu/</w:t>
        </w:r>
      </w:hyperlink>
      <w:r>
        <w:t>).</w:t>
      </w:r>
      <w:r w:rsidR="008C21D3">
        <w:t xml:space="preserve"> We will provide training in the different applications we host and users </w:t>
      </w:r>
      <w:r w:rsidR="009E124D">
        <w:t>are invited to</w:t>
      </w:r>
      <w:r w:rsidR="008C21D3">
        <w:t xml:space="preserve"> submit feature requests for applications to better address their research needs.</w:t>
      </w:r>
    </w:p>
    <w:p w14:paraId="623D1B5A" w14:textId="5D4F43BB" w:rsidR="008C21D3" w:rsidRDefault="008C21D3" w:rsidP="006E6B40"/>
    <w:p w14:paraId="44E63653" w14:textId="7042B4D0" w:rsidR="008C21D3" w:rsidRDefault="008C21D3" w:rsidP="006E6B40">
      <w:r>
        <w:t xml:space="preserve">Beyond that, we also offer consultation for computational and digital research projects. When using </w:t>
      </w:r>
      <w:proofErr w:type="spellStart"/>
      <w:r>
        <w:t>DigInG’s</w:t>
      </w:r>
      <w:proofErr w:type="spellEnd"/>
      <w:r>
        <w:t xml:space="preserve"> consulting services, we can make recommendations regarding tool and method usage, data collection and cleaning processes, and staffing requirements. We recommend using our consulting services as early as the planning stage of new computational research projects to ensure grant proposals include all necessary considerations regarding computational work.</w:t>
      </w:r>
    </w:p>
    <w:p w14:paraId="4A1F819A" w14:textId="35BBDC78" w:rsidR="00486108" w:rsidRDefault="00486108" w:rsidP="006E6B40"/>
    <w:p w14:paraId="4CC2A53C" w14:textId="5550ECA3" w:rsidR="006746FF" w:rsidRDefault="00486108" w:rsidP="006E6B40">
      <w:r>
        <w:t xml:space="preserve">If additional services are required beyond consultation, it is possible to contract with </w:t>
      </w:r>
      <w:proofErr w:type="spellStart"/>
      <w:r>
        <w:t>DigInG</w:t>
      </w:r>
      <w:proofErr w:type="spellEnd"/>
      <w:r>
        <w:t xml:space="preserve"> for certain implementation, development, or data processing services. This includes but is not limited to buying the time of one of our student workers to help with a computational project or paying for some of our staff developer’s time to implement certain software components. The details of this kind of arrangement vary case-by-case and we recommend to first make use of our consulting services to determine the needs of a project to then discuss further services.</w:t>
      </w:r>
    </w:p>
    <w:p w14:paraId="7BBDFD95" w14:textId="1C9319AF" w:rsidR="006746FF" w:rsidRDefault="006746FF" w:rsidP="006746FF">
      <w:pPr>
        <w:pStyle w:val="Heading1"/>
      </w:pPr>
      <w:r>
        <w:lastRenderedPageBreak/>
        <w:t>Expectations and Trainings</w:t>
      </w:r>
    </w:p>
    <w:p w14:paraId="524D1AB3" w14:textId="63076FB6" w:rsidR="00962501" w:rsidRDefault="00962501" w:rsidP="00962501">
      <w:r>
        <w:t xml:space="preserve">When working with </w:t>
      </w:r>
      <w:proofErr w:type="spellStart"/>
      <w:r>
        <w:t>DigInG</w:t>
      </w:r>
      <w:proofErr w:type="spellEnd"/>
      <w:r>
        <w:t xml:space="preserve">, there are certain expectations from our side. While we provide trainings and introductions to the applications we offer, we cannot provide in-depths </w:t>
      </w:r>
      <w:r w:rsidR="004926DE">
        <w:t>teaching</w:t>
      </w:r>
      <w:r>
        <w:t xml:space="preserve"> </w:t>
      </w:r>
      <w:r w:rsidR="004926DE">
        <w:t>of</w:t>
      </w:r>
      <w:r>
        <w:t xml:space="preserve"> skills required to use some of our services.</w:t>
      </w:r>
      <w:r w:rsidR="004926DE">
        <w:t xml:space="preserve"> For example, if one of our applications provides an API to download data, we cannot</w:t>
      </w:r>
      <w:r w:rsidR="00CD360A">
        <w:t xml:space="preserve"> provide training for a project’s student worker </w:t>
      </w:r>
      <w:r w:rsidR="004926DE">
        <w:t>in how to write programs that use APIs</w:t>
      </w:r>
      <w:r w:rsidR="00CD360A">
        <w:t xml:space="preserve"> (although we will make sure our APIs are either well documented or example code is provided)</w:t>
      </w:r>
      <w:r w:rsidR="004926DE">
        <w:t>. Similarly, if our Elasticsearch servers are used to index a set of documents, we cannot provide training in how to use Elasticsearch. If we see a need for certain skills, we might start offering workshop</w:t>
      </w:r>
      <w:r w:rsidR="00CF3DD7">
        <w:t>s</w:t>
      </w:r>
      <w:r w:rsidR="004926DE">
        <w:t xml:space="preserve"> to address those needs, but we can’t provide individual </w:t>
      </w:r>
      <w:r w:rsidR="00543100">
        <w:t>guidance</w:t>
      </w:r>
      <w:r w:rsidR="004926DE">
        <w:t>.</w:t>
      </w:r>
    </w:p>
    <w:p w14:paraId="3219FA11" w14:textId="299B1EFE" w:rsidR="00CF3DD7" w:rsidRDefault="00CF3DD7" w:rsidP="00962501"/>
    <w:p w14:paraId="7B679DBC" w14:textId="302B6A4A" w:rsidR="006746FF" w:rsidRDefault="00CF3DD7" w:rsidP="006746FF">
      <w:r>
        <w:t xml:space="preserve">If specific expertise is needed to implement a project, we do, however, offer our support for finding suitable student workers by for example participating in creating job descriptions and in the interview process. We also offer to embed students employed </w:t>
      </w:r>
      <w:r w:rsidR="00B00EF3">
        <w:t>from</w:t>
      </w:r>
      <w:r>
        <w:t xml:space="preserve"> external projects in </w:t>
      </w:r>
      <w:proofErr w:type="spellStart"/>
      <w:r>
        <w:t>DigInG</w:t>
      </w:r>
      <w:proofErr w:type="spellEnd"/>
      <w:r>
        <w:t xml:space="preserve"> by working one or more days a week in the </w:t>
      </w:r>
      <w:proofErr w:type="spellStart"/>
      <w:r>
        <w:t>DigInG</w:t>
      </w:r>
      <w:proofErr w:type="spellEnd"/>
      <w:r>
        <w:t xml:space="preserve"> lab space and participating in standup meetings and other processes employed by </w:t>
      </w:r>
      <w:proofErr w:type="spellStart"/>
      <w:r>
        <w:t>DigInG</w:t>
      </w:r>
      <w:proofErr w:type="spellEnd"/>
      <w:r>
        <w:t xml:space="preserve">. </w:t>
      </w:r>
      <w:r w:rsidR="00096D72">
        <w:t xml:space="preserve">We </w:t>
      </w:r>
      <w:r w:rsidR="00876D43">
        <w:t xml:space="preserve">also </w:t>
      </w:r>
      <w:r w:rsidR="00096D72">
        <w:t>provide guidelines for proper code and release management.</w:t>
      </w:r>
    </w:p>
    <w:p w14:paraId="085DA477" w14:textId="4A5343DA" w:rsidR="00CF3DD7" w:rsidRDefault="00CF3DD7" w:rsidP="00CF3DD7">
      <w:pPr>
        <w:pStyle w:val="Heading1"/>
      </w:pPr>
      <w:r>
        <w:t>Recognition</w:t>
      </w:r>
    </w:p>
    <w:p w14:paraId="775EF13C" w14:textId="6B84BAA0" w:rsidR="00CF3DD7" w:rsidRPr="00CF3DD7" w:rsidRDefault="00CF3DD7" w:rsidP="00CF3DD7">
      <w:r>
        <w:t xml:space="preserve">Working with </w:t>
      </w:r>
      <w:proofErr w:type="spellStart"/>
      <w:r>
        <w:t>DigInG</w:t>
      </w:r>
      <w:proofErr w:type="spellEnd"/>
      <w:r>
        <w:t xml:space="preserve"> should first of all be understood as a collaboration rather than a service. This means that when appropriate, individual </w:t>
      </w:r>
      <w:proofErr w:type="spellStart"/>
      <w:r>
        <w:t>DigInG</w:t>
      </w:r>
      <w:proofErr w:type="spellEnd"/>
      <w:r>
        <w:t xml:space="preserve"> members should have the choice to become co-authors</w:t>
      </w:r>
      <w:r w:rsidR="004D0B6E">
        <w:t xml:space="preserve">, and when co-authorship is not justified, </w:t>
      </w:r>
      <w:proofErr w:type="spellStart"/>
      <w:r w:rsidR="004D0B6E">
        <w:t>DigInG</w:t>
      </w:r>
      <w:proofErr w:type="spellEnd"/>
      <w:r w:rsidR="004D0B6E">
        <w:t xml:space="preserve"> should be acknowledged. Software developed by </w:t>
      </w:r>
      <w:proofErr w:type="spellStart"/>
      <w:r w:rsidR="004D0B6E">
        <w:t>DigInG</w:t>
      </w:r>
      <w:proofErr w:type="spellEnd"/>
      <w:r w:rsidR="004D0B6E">
        <w:t xml:space="preserve"> should be referenced in any publications that is based on the use of that software.</w:t>
      </w:r>
    </w:p>
    <w:p w14:paraId="6A241BCA" w14:textId="77777777" w:rsidR="00CF3DD7" w:rsidRDefault="00CF3DD7" w:rsidP="00CF3DD7">
      <w:pPr>
        <w:pStyle w:val="Heading1"/>
      </w:pPr>
      <w:r>
        <w:t>Financial contributions</w:t>
      </w:r>
    </w:p>
    <w:p w14:paraId="35BC41DD" w14:textId="35335CDA" w:rsidR="009F4E3F" w:rsidRPr="009F4E3F" w:rsidRDefault="00213C60" w:rsidP="009F4E3F">
      <w:r>
        <w:t xml:space="preserve">While </w:t>
      </w:r>
      <w:proofErr w:type="spellStart"/>
      <w:r>
        <w:t>DigInG</w:t>
      </w:r>
      <w:proofErr w:type="spellEnd"/>
      <w:r>
        <w:t xml:space="preserve"> provides some services free of charge, especially in cases of close collaboration between </w:t>
      </w:r>
      <w:r w:rsidR="00543100">
        <w:t>external projects</w:t>
      </w:r>
      <w:r>
        <w:t xml:space="preserve"> and </w:t>
      </w:r>
      <w:proofErr w:type="spellStart"/>
      <w:r>
        <w:t>DigInG</w:t>
      </w:r>
      <w:proofErr w:type="spellEnd"/>
      <w:r>
        <w:t xml:space="preserve">, we will require some financial contributions in certain cases such as “buying” time of a developer or student worker. We welcome joint grant proposals and generally recommend consulting with us before and during the grant writing phase if </w:t>
      </w:r>
      <w:r w:rsidR="008003DB">
        <w:t xml:space="preserve">a collaboration with </w:t>
      </w:r>
      <w:proofErr w:type="spellStart"/>
      <w:r w:rsidR="008003DB">
        <w:t>DigInG</w:t>
      </w:r>
      <w:proofErr w:type="spellEnd"/>
      <w:r w:rsidR="008003DB">
        <w:t xml:space="preserve"> is being considered. Since requirements, expectations, and scope of work vary on a case-by-case basis, please contact us to discuss this matter in detail.</w:t>
      </w:r>
      <w:r w:rsidR="00CE3B6B">
        <w:t xml:space="preserve"> </w:t>
      </w:r>
      <w:r w:rsidR="009F4E3F">
        <w:t xml:space="preserve">We welcome students interested in computational humanities work </w:t>
      </w:r>
      <w:r w:rsidR="00CE3B6B">
        <w:t xml:space="preserve">to contact us for guidance and consultation free of charge. </w:t>
      </w:r>
      <w:r w:rsidR="009F4E3F">
        <w:t xml:space="preserve"> </w:t>
      </w:r>
    </w:p>
    <w:sectPr w:rsidR="009F4E3F" w:rsidRPr="009F4E3F" w:rsidSect="00731109">
      <w:headerReference w:type="default" r:id="rId9"/>
      <w:footerReference w:type="default" r:id="rId10"/>
      <w:headerReference w:type="first" r:id="rId11"/>
      <w:footerReference w:type="first" r:id="rId12"/>
      <w:pgSz w:w="12240" w:h="15840"/>
      <w:pgMar w:top="1224" w:right="1080" w:bottom="1080" w:left="1080" w:header="738" w:footer="16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41DA7" w14:textId="77777777" w:rsidR="009D579D" w:rsidRDefault="009D579D">
      <w:r>
        <w:separator/>
      </w:r>
    </w:p>
  </w:endnote>
  <w:endnote w:type="continuationSeparator" w:id="0">
    <w:p w14:paraId="1C0889D6" w14:textId="77777777" w:rsidR="009D579D" w:rsidRDefault="009D5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Frutiger LT Std 45 Light">
    <w:altName w:val="Arial"/>
    <w:panose1 w:val="020B0604020202020204"/>
    <w:charset w:val="00"/>
    <w:family w:val="auto"/>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9314" w14:textId="77777777" w:rsidR="00574843" w:rsidRPr="002F08E5" w:rsidRDefault="00574843" w:rsidP="00574843">
    <w:pPr>
      <w:pStyle w:val="Footer"/>
      <w:ind w:left="4320" w:right="360" w:hanging="4320"/>
      <w:jc w:val="center"/>
      <w:rPr>
        <w:b/>
        <w:bCs/>
        <w:color w:val="00A4E1"/>
        <w:sz w:val="18"/>
        <w:szCs w:val="18"/>
      </w:rPr>
    </w:pPr>
  </w:p>
  <w:p w14:paraId="140B4BCC" w14:textId="77777777" w:rsidR="00574843" w:rsidRDefault="00574843" w:rsidP="00574843">
    <w:pPr>
      <w:pStyle w:val="Footer"/>
      <w:framePr w:wrap="none" w:vAnchor="text" w:hAnchor="page" w:x="10912" w:y="49"/>
      <w:rPr>
        <w:rStyle w:val="PageNumber"/>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70"/>
      <w:gridCol w:w="4510"/>
    </w:tblGrid>
    <w:tr w:rsidR="00574843" w14:paraId="213C73C3" w14:textId="77777777" w:rsidTr="00574843">
      <w:tc>
        <w:tcPr>
          <w:tcW w:w="2763" w:type="pct"/>
        </w:tcPr>
        <w:p w14:paraId="1067894F" w14:textId="77777777" w:rsidR="00574843" w:rsidRPr="00A76F5F" w:rsidRDefault="00574843" w:rsidP="00574843">
          <w:pPr>
            <w:pStyle w:val="Footer"/>
            <w:rPr>
              <w:color w:val="595959" w:themeColor="text1" w:themeTint="A6"/>
              <w:sz w:val="18"/>
              <w:szCs w:val="18"/>
            </w:rPr>
          </w:pPr>
          <w:r>
            <w:rPr>
              <w:color w:val="595959" w:themeColor="text1" w:themeTint="A6"/>
              <w:sz w:val="18"/>
              <w:szCs w:val="18"/>
            </w:rPr>
            <w:t>web: http://diging.asu.edu/, email: diging@asu.edu</w:t>
          </w:r>
        </w:p>
      </w:tc>
      <w:tc>
        <w:tcPr>
          <w:tcW w:w="2237" w:type="pct"/>
        </w:tcPr>
        <w:p w14:paraId="6F0B5804" w14:textId="5D579305" w:rsidR="00574843" w:rsidRPr="00371580" w:rsidRDefault="00574843" w:rsidP="00574843">
          <w:pPr>
            <w:pStyle w:val="Footer"/>
            <w:tabs>
              <w:tab w:val="center" w:pos="2147"/>
              <w:tab w:val="right" w:pos="4294"/>
            </w:tabs>
            <w:jc w:val="right"/>
            <w:rPr>
              <w:color w:val="595959" w:themeColor="text1" w:themeTint="A6"/>
              <w:sz w:val="18"/>
              <w:szCs w:val="18"/>
            </w:rPr>
          </w:pPr>
          <w:r>
            <w:rPr>
              <w:color w:val="595959" w:themeColor="text1" w:themeTint="A6"/>
              <w:sz w:val="18"/>
              <w:szCs w:val="18"/>
            </w:rPr>
            <w:tab/>
          </w:r>
          <w:r>
            <w:rPr>
              <w:color w:val="595959" w:themeColor="text1" w:themeTint="A6"/>
              <w:sz w:val="18"/>
              <w:szCs w:val="18"/>
            </w:rPr>
            <w:tab/>
          </w:r>
          <w:r w:rsidRPr="00371580">
            <w:rPr>
              <w:color w:val="595959" w:themeColor="text1" w:themeTint="A6"/>
              <w:sz w:val="18"/>
              <w:szCs w:val="18"/>
            </w:rPr>
            <w:t xml:space="preserve">Page </w:t>
          </w:r>
          <w:r w:rsidRPr="00371580">
            <w:rPr>
              <w:color w:val="595959" w:themeColor="text1" w:themeTint="A6"/>
              <w:sz w:val="18"/>
              <w:szCs w:val="18"/>
            </w:rPr>
            <w:fldChar w:fldCharType="begin"/>
          </w:r>
          <w:r w:rsidRPr="00371580">
            <w:rPr>
              <w:color w:val="595959" w:themeColor="text1" w:themeTint="A6"/>
              <w:sz w:val="18"/>
              <w:szCs w:val="18"/>
            </w:rPr>
            <w:instrText xml:space="preserve"> PAGE  \* MERGEFORMAT </w:instrText>
          </w:r>
          <w:r w:rsidRPr="00371580">
            <w:rPr>
              <w:color w:val="595959" w:themeColor="text1" w:themeTint="A6"/>
              <w:sz w:val="18"/>
              <w:szCs w:val="18"/>
            </w:rPr>
            <w:fldChar w:fldCharType="separate"/>
          </w:r>
          <w:r>
            <w:rPr>
              <w:color w:val="595959" w:themeColor="text1" w:themeTint="A6"/>
              <w:sz w:val="18"/>
              <w:szCs w:val="18"/>
            </w:rPr>
            <w:t>1</w:t>
          </w:r>
          <w:r w:rsidRPr="00371580">
            <w:rPr>
              <w:color w:val="595959" w:themeColor="text1" w:themeTint="A6"/>
              <w:sz w:val="18"/>
              <w:szCs w:val="18"/>
            </w:rPr>
            <w:fldChar w:fldCharType="end"/>
          </w:r>
        </w:p>
      </w:tc>
    </w:tr>
  </w:tbl>
  <w:p w14:paraId="37AE4428" w14:textId="77777777" w:rsidR="00574843" w:rsidRDefault="005748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9A43A" w14:textId="791FD690" w:rsidR="00526A61" w:rsidRPr="002F08E5" w:rsidRDefault="00526A61" w:rsidP="00526A61">
    <w:pPr>
      <w:pStyle w:val="Footer"/>
      <w:ind w:left="4320" w:right="360" w:hanging="4320"/>
      <w:jc w:val="center"/>
      <w:rPr>
        <w:b/>
        <w:bCs/>
        <w:color w:val="00A4E1"/>
        <w:sz w:val="18"/>
        <w:szCs w:val="18"/>
      </w:rPr>
    </w:pPr>
  </w:p>
  <w:p w14:paraId="4651EAFB" w14:textId="6965F37B" w:rsidR="00526A61" w:rsidRDefault="00526A61" w:rsidP="00526A61">
    <w:pPr>
      <w:pStyle w:val="Footer"/>
      <w:framePr w:wrap="none" w:vAnchor="text" w:hAnchor="page" w:x="10912" w:y="49"/>
      <w:rPr>
        <w:rStyle w:val="PageNumber"/>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70"/>
      <w:gridCol w:w="4510"/>
    </w:tblGrid>
    <w:tr w:rsidR="00526A61" w14:paraId="5EF63DB4" w14:textId="77777777" w:rsidTr="00574843">
      <w:tc>
        <w:tcPr>
          <w:tcW w:w="2763" w:type="pct"/>
        </w:tcPr>
        <w:p w14:paraId="693D5B78" w14:textId="4E3558E8" w:rsidR="00526A61" w:rsidRPr="00A76F5F" w:rsidRDefault="00A76F5F" w:rsidP="00A76F5F">
          <w:pPr>
            <w:pStyle w:val="Footer"/>
            <w:rPr>
              <w:color w:val="595959" w:themeColor="text1" w:themeTint="A6"/>
              <w:sz w:val="18"/>
              <w:szCs w:val="18"/>
            </w:rPr>
          </w:pPr>
          <w:r>
            <w:rPr>
              <w:color w:val="595959" w:themeColor="text1" w:themeTint="A6"/>
              <w:sz w:val="18"/>
              <w:szCs w:val="18"/>
            </w:rPr>
            <w:t>web: http://diging.asu.edu/, email: diging@asu.edu</w:t>
          </w:r>
        </w:p>
      </w:tc>
      <w:tc>
        <w:tcPr>
          <w:tcW w:w="2237" w:type="pct"/>
        </w:tcPr>
        <w:p w14:paraId="71EAFCEE" w14:textId="42693B51" w:rsidR="00526A61" w:rsidRPr="00371580" w:rsidRDefault="00526A61" w:rsidP="00526A61">
          <w:pPr>
            <w:pStyle w:val="Footer"/>
            <w:jc w:val="right"/>
            <w:rPr>
              <w:color w:val="595959" w:themeColor="text1" w:themeTint="A6"/>
              <w:sz w:val="18"/>
              <w:szCs w:val="18"/>
            </w:rPr>
          </w:pPr>
          <w:r w:rsidRPr="00371580">
            <w:rPr>
              <w:color w:val="595959" w:themeColor="text1" w:themeTint="A6"/>
              <w:sz w:val="18"/>
              <w:szCs w:val="18"/>
            </w:rPr>
            <w:t xml:space="preserve">Page </w:t>
          </w:r>
          <w:r w:rsidRPr="00371580">
            <w:rPr>
              <w:color w:val="595959" w:themeColor="text1" w:themeTint="A6"/>
              <w:sz w:val="18"/>
              <w:szCs w:val="18"/>
            </w:rPr>
            <w:fldChar w:fldCharType="begin"/>
          </w:r>
          <w:r w:rsidRPr="00371580">
            <w:rPr>
              <w:color w:val="595959" w:themeColor="text1" w:themeTint="A6"/>
              <w:sz w:val="18"/>
              <w:szCs w:val="18"/>
            </w:rPr>
            <w:instrText xml:space="preserve"> PAGE  \* MERGEFORMAT </w:instrText>
          </w:r>
          <w:r w:rsidRPr="00371580">
            <w:rPr>
              <w:color w:val="595959" w:themeColor="text1" w:themeTint="A6"/>
              <w:sz w:val="18"/>
              <w:szCs w:val="18"/>
            </w:rPr>
            <w:fldChar w:fldCharType="separate"/>
          </w:r>
          <w:r w:rsidRPr="00371580">
            <w:rPr>
              <w:noProof/>
              <w:color w:val="595959" w:themeColor="text1" w:themeTint="A6"/>
              <w:sz w:val="18"/>
              <w:szCs w:val="18"/>
            </w:rPr>
            <w:t>1</w:t>
          </w:r>
          <w:r w:rsidRPr="00371580">
            <w:rPr>
              <w:color w:val="595959" w:themeColor="text1" w:themeTint="A6"/>
              <w:sz w:val="18"/>
              <w:szCs w:val="18"/>
            </w:rPr>
            <w:fldChar w:fldCharType="end"/>
          </w:r>
        </w:p>
      </w:tc>
    </w:tr>
  </w:tbl>
  <w:p w14:paraId="68733A3E" w14:textId="1DF817E6" w:rsidR="00E90AB4" w:rsidRPr="002F08E5" w:rsidRDefault="00E90AB4" w:rsidP="002F08E5">
    <w:pPr>
      <w:pStyle w:val="Footer"/>
      <w:ind w:left="4320" w:hanging="4320"/>
      <w:jc w:val="center"/>
      <w:rPr>
        <w:b/>
        <w:bCs/>
        <w:color w:val="00A4E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7FDFC" w14:textId="77777777" w:rsidR="009D579D" w:rsidRDefault="009D579D">
      <w:r>
        <w:separator/>
      </w:r>
    </w:p>
  </w:footnote>
  <w:footnote w:type="continuationSeparator" w:id="0">
    <w:p w14:paraId="64B7F963" w14:textId="77777777" w:rsidR="009D579D" w:rsidRDefault="009D5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8E7EE" w14:textId="7DEBEBA5" w:rsidR="006C58EF" w:rsidRDefault="006C58EF" w:rsidP="006C58EF">
    <w:pPr>
      <w:pStyle w:val="Header"/>
      <w:ind w:hanging="360"/>
      <w:rPr>
        <w:color w:val="404040" w:themeColor="text1" w:themeTint="BF"/>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35"/>
      <w:gridCol w:w="5035"/>
    </w:tblGrid>
    <w:tr w:rsidR="006C58EF" w14:paraId="7F3AFC39" w14:textId="77777777" w:rsidTr="00574843">
      <w:tc>
        <w:tcPr>
          <w:tcW w:w="5035" w:type="dxa"/>
        </w:tcPr>
        <w:p w14:paraId="14EE4EB7" w14:textId="7BE57D54" w:rsidR="006C58EF" w:rsidRDefault="006C58EF" w:rsidP="00A76F5F">
          <w:pPr>
            <w:pStyle w:val="Footer"/>
            <w:rPr>
              <w:color w:val="404040" w:themeColor="text1" w:themeTint="BF"/>
              <w:sz w:val="18"/>
              <w:szCs w:val="18"/>
            </w:rPr>
          </w:pPr>
          <w:r w:rsidRPr="00371580">
            <w:rPr>
              <w:color w:val="404040" w:themeColor="text1" w:themeTint="BF"/>
              <w:sz w:val="18"/>
              <w:szCs w:val="18"/>
            </w:rPr>
            <w:t>Digital Innovation Group</w:t>
          </w:r>
        </w:p>
      </w:tc>
      <w:tc>
        <w:tcPr>
          <w:tcW w:w="5035" w:type="dxa"/>
        </w:tcPr>
        <w:p w14:paraId="154E7DC0" w14:textId="5EBC164B" w:rsidR="006C58EF" w:rsidRDefault="006C58EF" w:rsidP="00A76F5F">
          <w:pPr>
            <w:pStyle w:val="Footer"/>
            <w:rPr>
              <w:color w:val="404040" w:themeColor="text1" w:themeTint="BF"/>
              <w:sz w:val="18"/>
              <w:szCs w:val="18"/>
            </w:rPr>
          </w:pPr>
          <w:r>
            <w:rPr>
              <w:color w:val="404040" w:themeColor="text1" w:themeTint="BF"/>
              <w:sz w:val="18"/>
              <w:szCs w:val="18"/>
            </w:rPr>
            <w:tab/>
          </w:r>
          <w:r w:rsidRPr="00371580">
            <w:rPr>
              <w:color w:val="404040" w:themeColor="text1" w:themeTint="BF"/>
              <w:sz w:val="18"/>
              <w:szCs w:val="18"/>
            </w:rPr>
            <w:t>Memorandum of Understanding</w:t>
          </w:r>
        </w:p>
      </w:tc>
    </w:tr>
  </w:tbl>
  <w:p w14:paraId="0824917C" w14:textId="0B9652E8" w:rsidR="00A76F5F" w:rsidRDefault="00A76F5F" w:rsidP="00A76F5F">
    <w:pPr>
      <w:pStyle w:val="Footer"/>
      <w:rPr>
        <w:color w:val="404040" w:themeColor="text1" w:themeTint="BF"/>
        <w:sz w:val="18"/>
        <w:szCs w:val="18"/>
      </w:rPr>
    </w:pPr>
  </w:p>
  <w:p w14:paraId="7317321C" w14:textId="77777777" w:rsidR="00A76F5F" w:rsidRDefault="00A76F5F" w:rsidP="00A76F5F">
    <w:pPr>
      <w:pStyle w:val="Header"/>
      <w:ind w:hanging="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EF756" w14:textId="7E1E295B" w:rsidR="003D504D" w:rsidRDefault="0079277C" w:rsidP="00613F1E">
    <w:pPr>
      <w:pStyle w:val="Header"/>
      <w:ind w:left="-360"/>
    </w:pPr>
    <w:r>
      <w:rPr>
        <w:noProof/>
      </w:rPr>
      <w:drawing>
        <wp:anchor distT="0" distB="0" distL="114300" distR="114300" simplePos="0" relativeHeight="251661312" behindDoc="0" locked="0" layoutInCell="1" allowOverlap="1" wp14:anchorId="28276B7C" wp14:editId="04FE5786">
          <wp:simplePos x="0" y="0"/>
          <wp:positionH relativeFrom="column">
            <wp:posOffset>-299545</wp:posOffset>
          </wp:positionH>
          <wp:positionV relativeFrom="paragraph">
            <wp:posOffset>-449317</wp:posOffset>
          </wp:positionV>
          <wp:extent cx="874395" cy="874395"/>
          <wp:effectExtent l="0" t="0" r="1905" b="0"/>
          <wp:wrapNone/>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nG logo_final-05.png"/>
                  <pic:cNvPicPr/>
                </pic:nvPicPr>
                <pic:blipFill>
                  <a:blip r:embed="rId1"/>
                  <a:stretch>
                    <a:fillRect/>
                  </a:stretch>
                </pic:blipFill>
                <pic:spPr>
                  <a:xfrm>
                    <a:off x="0" y="0"/>
                    <a:ext cx="874395" cy="874395"/>
                  </a:xfrm>
                  <a:prstGeom prst="rect">
                    <a:avLst/>
                  </a:prstGeom>
                </pic:spPr>
              </pic:pic>
            </a:graphicData>
          </a:graphic>
          <wp14:sizeRelH relativeFrom="page">
            <wp14:pctWidth>0</wp14:pctWidth>
          </wp14:sizeRelH>
          <wp14:sizeRelV relativeFrom="page">
            <wp14:pctHeight>0</wp14:pctHeight>
          </wp14:sizeRelV>
        </wp:anchor>
      </w:drawing>
    </w:r>
    <w:r w:rsidR="002F08E5">
      <w:rPr>
        <w:noProof/>
      </w:rPr>
      <w:drawing>
        <wp:anchor distT="0" distB="0" distL="114300" distR="114300" simplePos="0" relativeHeight="251660288" behindDoc="0" locked="0" layoutInCell="1" allowOverlap="1" wp14:anchorId="6382ADE5" wp14:editId="77EA5764">
          <wp:simplePos x="0" y="0"/>
          <wp:positionH relativeFrom="column">
            <wp:posOffset>3737317</wp:posOffset>
          </wp:positionH>
          <wp:positionV relativeFrom="paragraph">
            <wp:posOffset>-257468</wp:posOffset>
          </wp:positionV>
          <wp:extent cx="3126105" cy="44547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bci-letterhead-header719.png"/>
                  <pic:cNvPicPr/>
                </pic:nvPicPr>
                <pic:blipFill rotWithShape="1">
                  <a:blip r:embed="rId2"/>
                  <a:srcRect r="51160" b="36798"/>
                  <a:stretch/>
                </pic:blipFill>
                <pic:spPr bwMode="auto">
                  <a:xfrm>
                    <a:off x="0" y="0"/>
                    <a:ext cx="3126105" cy="4454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F78C1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7685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58BF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621F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5EC7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13AF9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8ED9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C474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B45C72"/>
    <w:lvl w:ilvl="0">
      <w:start w:val="1"/>
      <w:numFmt w:val="decimal"/>
      <w:lvlText w:val="%1."/>
      <w:lvlJc w:val="left"/>
      <w:pPr>
        <w:tabs>
          <w:tab w:val="num" w:pos="360"/>
        </w:tabs>
        <w:ind w:left="360" w:hanging="360"/>
      </w:pPr>
    </w:lvl>
  </w:abstractNum>
  <w:abstractNum w:abstractNumId="9" w15:restartNumberingAfterBreak="0">
    <w:nsid w:val="01B81A02"/>
    <w:multiLevelType w:val="hybridMultilevel"/>
    <w:tmpl w:val="DEBA2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B13C76"/>
    <w:multiLevelType w:val="hybridMultilevel"/>
    <w:tmpl w:val="44443B8A"/>
    <w:lvl w:ilvl="0" w:tplc="381C1BF8">
      <w:numFmt w:val="bullet"/>
      <w:lvlText w:val="-"/>
      <w:lvlJc w:val="left"/>
      <w:pPr>
        <w:ind w:left="720" w:hanging="360"/>
      </w:pPr>
      <w:rPr>
        <w:rFonts w:ascii="Palatino" w:eastAsia="Times New Roman" w:hAnsi="Palatin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283378"/>
    <w:multiLevelType w:val="hybridMultilevel"/>
    <w:tmpl w:val="8C22970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F13"/>
    <w:rsid w:val="000033B4"/>
    <w:rsid w:val="000209B0"/>
    <w:rsid w:val="00080021"/>
    <w:rsid w:val="00091365"/>
    <w:rsid w:val="00096D72"/>
    <w:rsid w:val="00126C53"/>
    <w:rsid w:val="00131AF9"/>
    <w:rsid w:val="00147DA5"/>
    <w:rsid w:val="001B3B0B"/>
    <w:rsid w:val="001B46B3"/>
    <w:rsid w:val="001C1B80"/>
    <w:rsid w:val="00213C60"/>
    <w:rsid w:val="00215728"/>
    <w:rsid w:val="00241BD4"/>
    <w:rsid w:val="002D7F0C"/>
    <w:rsid w:val="002F08E5"/>
    <w:rsid w:val="00371580"/>
    <w:rsid w:val="00373C76"/>
    <w:rsid w:val="0039718D"/>
    <w:rsid w:val="003B7B9E"/>
    <w:rsid w:val="004447CB"/>
    <w:rsid w:val="00453FC1"/>
    <w:rsid w:val="00471DAB"/>
    <w:rsid w:val="00486108"/>
    <w:rsid w:val="00487CFD"/>
    <w:rsid w:val="004926DE"/>
    <w:rsid w:val="00494CAB"/>
    <w:rsid w:val="004D0B6E"/>
    <w:rsid w:val="004F2946"/>
    <w:rsid w:val="005125D1"/>
    <w:rsid w:val="00526A61"/>
    <w:rsid w:val="005341FD"/>
    <w:rsid w:val="00537F48"/>
    <w:rsid w:val="005416E0"/>
    <w:rsid w:val="00543100"/>
    <w:rsid w:val="005467FD"/>
    <w:rsid w:val="00550582"/>
    <w:rsid w:val="00574843"/>
    <w:rsid w:val="00584A55"/>
    <w:rsid w:val="00586002"/>
    <w:rsid w:val="005B494B"/>
    <w:rsid w:val="005D0BCA"/>
    <w:rsid w:val="00613F1E"/>
    <w:rsid w:val="006552A1"/>
    <w:rsid w:val="006746FF"/>
    <w:rsid w:val="006A73A3"/>
    <w:rsid w:val="006C58EF"/>
    <w:rsid w:val="006E35F1"/>
    <w:rsid w:val="006E6B40"/>
    <w:rsid w:val="006E7C46"/>
    <w:rsid w:val="00731109"/>
    <w:rsid w:val="007474D5"/>
    <w:rsid w:val="00760AAF"/>
    <w:rsid w:val="0079277C"/>
    <w:rsid w:val="007A5F6F"/>
    <w:rsid w:val="007D3918"/>
    <w:rsid w:val="007E7447"/>
    <w:rsid w:val="008003DB"/>
    <w:rsid w:val="00846F68"/>
    <w:rsid w:val="0086373C"/>
    <w:rsid w:val="008639C0"/>
    <w:rsid w:val="00876D43"/>
    <w:rsid w:val="008C21D3"/>
    <w:rsid w:val="008F32B3"/>
    <w:rsid w:val="00921634"/>
    <w:rsid w:val="00923A43"/>
    <w:rsid w:val="00927F57"/>
    <w:rsid w:val="00962501"/>
    <w:rsid w:val="009653F1"/>
    <w:rsid w:val="00970638"/>
    <w:rsid w:val="00995B50"/>
    <w:rsid w:val="009D579D"/>
    <w:rsid w:val="009E124D"/>
    <w:rsid w:val="009F178E"/>
    <w:rsid w:val="009F4E3F"/>
    <w:rsid w:val="00A100B3"/>
    <w:rsid w:val="00A44A68"/>
    <w:rsid w:val="00A76F5F"/>
    <w:rsid w:val="00A8317B"/>
    <w:rsid w:val="00A87C8D"/>
    <w:rsid w:val="00A9491A"/>
    <w:rsid w:val="00AA7F13"/>
    <w:rsid w:val="00AC0477"/>
    <w:rsid w:val="00AD5F49"/>
    <w:rsid w:val="00AE32D3"/>
    <w:rsid w:val="00B00EF3"/>
    <w:rsid w:val="00B8450B"/>
    <w:rsid w:val="00BB1BF3"/>
    <w:rsid w:val="00BC38C3"/>
    <w:rsid w:val="00C05898"/>
    <w:rsid w:val="00C74077"/>
    <w:rsid w:val="00CA0A65"/>
    <w:rsid w:val="00CA7AA7"/>
    <w:rsid w:val="00CD360A"/>
    <w:rsid w:val="00CE3B6B"/>
    <w:rsid w:val="00CF3DD7"/>
    <w:rsid w:val="00D86DF0"/>
    <w:rsid w:val="00DC0F6A"/>
    <w:rsid w:val="00DC6D9E"/>
    <w:rsid w:val="00DF04E9"/>
    <w:rsid w:val="00E60093"/>
    <w:rsid w:val="00E60449"/>
    <w:rsid w:val="00E74B08"/>
    <w:rsid w:val="00E90AB4"/>
    <w:rsid w:val="00EC11DF"/>
    <w:rsid w:val="00EC62FA"/>
    <w:rsid w:val="00EF6B8A"/>
    <w:rsid w:val="00F53586"/>
    <w:rsid w:val="00F53B6F"/>
    <w:rsid w:val="00F67431"/>
    <w:rsid w:val="00F7391C"/>
    <w:rsid w:val="00FA36F5"/>
    <w:rsid w:val="00FB136D"/>
    <w:rsid w:val="00FB5401"/>
    <w:rsid w:val="00FF6A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32D1B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4E3F"/>
    <w:rPr>
      <w:rFonts w:ascii="Garamond" w:hAnsi="Garamond"/>
      <w:sz w:val="22"/>
      <w:szCs w:val="24"/>
    </w:rPr>
  </w:style>
  <w:style w:type="paragraph" w:styleId="Heading1">
    <w:name w:val="heading 1"/>
    <w:basedOn w:val="Normal"/>
    <w:next w:val="Normal"/>
    <w:link w:val="Heading1Char"/>
    <w:qFormat/>
    <w:rsid w:val="00FF6A70"/>
    <w:pPr>
      <w:keepNext/>
      <w:keepLines/>
      <w:spacing w:before="360" w:after="12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4922"/>
    <w:pPr>
      <w:tabs>
        <w:tab w:val="center" w:pos="4320"/>
        <w:tab w:val="right" w:pos="8640"/>
      </w:tabs>
    </w:pPr>
  </w:style>
  <w:style w:type="paragraph" w:styleId="Footer">
    <w:name w:val="footer"/>
    <w:basedOn w:val="Normal"/>
    <w:semiHidden/>
    <w:rsid w:val="00D74922"/>
    <w:pPr>
      <w:tabs>
        <w:tab w:val="center" w:pos="4320"/>
        <w:tab w:val="right" w:pos="8640"/>
      </w:tabs>
    </w:pPr>
  </w:style>
  <w:style w:type="paragraph" w:customStyle="1" w:styleId="InsideAddressName">
    <w:name w:val="Inside Address Name"/>
    <w:basedOn w:val="InsideAddress"/>
    <w:rsid w:val="00D74922"/>
    <w:pPr>
      <w:keepNext/>
    </w:pPr>
    <w:rPr>
      <w:b/>
    </w:rPr>
  </w:style>
  <w:style w:type="paragraph" w:customStyle="1" w:styleId="InsideAddress">
    <w:name w:val="Inside Address"/>
    <w:basedOn w:val="BodyText"/>
    <w:rsid w:val="00D74922"/>
    <w:pPr>
      <w:widowControl w:val="0"/>
      <w:spacing w:after="0"/>
    </w:pPr>
    <w:rPr>
      <w:rFonts w:ascii="Century Gothic"/>
      <w:kern w:val="28"/>
      <w:sz w:val="18"/>
      <w:szCs w:val="20"/>
    </w:rPr>
  </w:style>
  <w:style w:type="paragraph" w:styleId="BodyText">
    <w:name w:val="Body Text"/>
    <w:basedOn w:val="Normal"/>
    <w:rsid w:val="00D74922"/>
    <w:pPr>
      <w:spacing w:after="120"/>
    </w:pPr>
  </w:style>
  <w:style w:type="paragraph" w:styleId="Date">
    <w:name w:val="Date"/>
    <w:basedOn w:val="BodyText"/>
    <w:next w:val="BodyText"/>
    <w:rsid w:val="00D74922"/>
    <w:pPr>
      <w:spacing w:before="720" w:after="480"/>
    </w:pPr>
    <w:rPr>
      <w:rFonts w:ascii="Century Gothic" w:eastAsia="MS Mincho"/>
      <w:sz w:val="18"/>
      <w:szCs w:val="20"/>
    </w:rPr>
  </w:style>
  <w:style w:type="paragraph" w:styleId="Salutation">
    <w:name w:val="Salutation"/>
    <w:basedOn w:val="BodyText"/>
    <w:next w:val="Normal"/>
    <w:rsid w:val="00D74922"/>
    <w:pPr>
      <w:widowControl w:val="0"/>
      <w:spacing w:before="480" w:after="200"/>
    </w:pPr>
    <w:rPr>
      <w:rFonts w:ascii="Century Gothic"/>
      <w:kern w:val="28"/>
      <w:sz w:val="18"/>
      <w:szCs w:val="20"/>
    </w:rPr>
  </w:style>
  <w:style w:type="paragraph" w:styleId="BalloonText">
    <w:name w:val="Balloon Text"/>
    <w:basedOn w:val="Normal"/>
    <w:link w:val="BalloonTextChar"/>
    <w:rsid w:val="000033B4"/>
    <w:rPr>
      <w:rFonts w:ascii="Lucida Grande" w:hAnsi="Lucida Grande"/>
      <w:sz w:val="18"/>
      <w:szCs w:val="18"/>
    </w:rPr>
  </w:style>
  <w:style w:type="character" w:customStyle="1" w:styleId="BalloonTextChar">
    <w:name w:val="Balloon Text Char"/>
    <w:basedOn w:val="DefaultParagraphFont"/>
    <w:link w:val="BalloonText"/>
    <w:rsid w:val="000033B4"/>
    <w:rPr>
      <w:rFonts w:ascii="Lucida Grande" w:hAnsi="Lucida Grande"/>
      <w:sz w:val="18"/>
      <w:szCs w:val="18"/>
    </w:rPr>
  </w:style>
  <w:style w:type="paragraph" w:styleId="ListParagraph">
    <w:name w:val="List Paragraph"/>
    <w:basedOn w:val="Normal"/>
    <w:uiPriority w:val="34"/>
    <w:qFormat/>
    <w:rsid w:val="00096D72"/>
    <w:pPr>
      <w:spacing w:after="160" w:line="259" w:lineRule="auto"/>
      <w:ind w:left="720"/>
      <w:contextualSpacing/>
    </w:pPr>
    <w:rPr>
      <w:rFonts w:eastAsiaTheme="minorHAnsi" w:cstheme="minorBidi"/>
      <w:szCs w:val="22"/>
    </w:rPr>
  </w:style>
  <w:style w:type="character" w:customStyle="1" w:styleId="Heading1Char">
    <w:name w:val="Heading 1 Char"/>
    <w:basedOn w:val="DefaultParagraphFont"/>
    <w:link w:val="Heading1"/>
    <w:rsid w:val="00FF6A70"/>
    <w:rPr>
      <w:rFonts w:ascii="Palatino" w:eastAsiaTheme="majorEastAsia" w:hAnsi="Palatino" w:cstheme="majorBidi"/>
      <w:color w:val="000000" w:themeColor="text1"/>
      <w:sz w:val="32"/>
      <w:szCs w:val="32"/>
    </w:rPr>
  </w:style>
  <w:style w:type="paragraph" w:styleId="Title">
    <w:name w:val="Title"/>
    <w:basedOn w:val="Normal"/>
    <w:next w:val="Normal"/>
    <w:link w:val="TitleChar"/>
    <w:qFormat/>
    <w:rsid w:val="00526A61"/>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526A61"/>
    <w:rPr>
      <w:rFonts w:ascii="Palatino" w:eastAsiaTheme="majorEastAsia" w:hAnsi="Palatino" w:cstheme="majorBidi"/>
      <w:spacing w:val="-10"/>
      <w:kern w:val="28"/>
      <w:sz w:val="56"/>
      <w:szCs w:val="56"/>
    </w:rPr>
  </w:style>
  <w:style w:type="table" w:styleId="TableGrid">
    <w:name w:val="Table Grid"/>
    <w:basedOn w:val="TableNormal"/>
    <w:rsid w:val="00526A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526A61"/>
  </w:style>
  <w:style w:type="character" w:styleId="CommentReference">
    <w:name w:val="annotation reference"/>
    <w:basedOn w:val="DefaultParagraphFont"/>
    <w:semiHidden/>
    <w:unhideWhenUsed/>
    <w:rsid w:val="005125D1"/>
    <w:rPr>
      <w:sz w:val="16"/>
      <w:szCs w:val="16"/>
    </w:rPr>
  </w:style>
  <w:style w:type="paragraph" w:styleId="CommentText">
    <w:name w:val="annotation text"/>
    <w:basedOn w:val="Normal"/>
    <w:link w:val="CommentTextChar"/>
    <w:semiHidden/>
    <w:unhideWhenUsed/>
    <w:rsid w:val="005125D1"/>
    <w:rPr>
      <w:sz w:val="20"/>
      <w:szCs w:val="20"/>
    </w:rPr>
  </w:style>
  <w:style w:type="character" w:customStyle="1" w:styleId="CommentTextChar">
    <w:name w:val="Comment Text Char"/>
    <w:basedOn w:val="DefaultParagraphFont"/>
    <w:link w:val="CommentText"/>
    <w:semiHidden/>
    <w:rsid w:val="005125D1"/>
    <w:rPr>
      <w:rFonts w:ascii="Palatino" w:hAnsi="Palatino"/>
    </w:rPr>
  </w:style>
  <w:style w:type="paragraph" w:styleId="CommentSubject">
    <w:name w:val="annotation subject"/>
    <w:basedOn w:val="CommentText"/>
    <w:next w:val="CommentText"/>
    <w:link w:val="CommentSubjectChar"/>
    <w:semiHidden/>
    <w:unhideWhenUsed/>
    <w:rsid w:val="005125D1"/>
    <w:rPr>
      <w:b/>
      <w:bCs/>
    </w:rPr>
  </w:style>
  <w:style w:type="character" w:customStyle="1" w:styleId="CommentSubjectChar">
    <w:name w:val="Comment Subject Char"/>
    <w:basedOn w:val="CommentTextChar"/>
    <w:link w:val="CommentSubject"/>
    <w:semiHidden/>
    <w:rsid w:val="005125D1"/>
    <w:rPr>
      <w:rFonts w:ascii="Palatino" w:hAnsi="Palatino"/>
      <w:b/>
      <w:bCs/>
    </w:rPr>
  </w:style>
  <w:style w:type="character" w:styleId="Hyperlink">
    <w:name w:val="Hyperlink"/>
    <w:basedOn w:val="DefaultParagraphFont"/>
    <w:rsid w:val="006746FF"/>
    <w:rPr>
      <w:color w:val="0000FF" w:themeColor="hyperlink"/>
      <w:u w:val="single"/>
    </w:rPr>
  </w:style>
  <w:style w:type="character" w:styleId="UnresolvedMention">
    <w:name w:val="Unresolved Mention"/>
    <w:basedOn w:val="DefaultParagraphFont"/>
    <w:uiPriority w:val="99"/>
    <w:semiHidden/>
    <w:unhideWhenUsed/>
    <w:rsid w:val="006746FF"/>
    <w:rPr>
      <w:color w:val="605E5C"/>
      <w:shd w:val="clear" w:color="auto" w:fill="E1DFDD"/>
    </w:rPr>
  </w:style>
  <w:style w:type="character" w:styleId="FollowedHyperlink">
    <w:name w:val="FollowedHyperlink"/>
    <w:basedOn w:val="DefaultParagraphFont"/>
    <w:rsid w:val="003715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303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iging.as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F05A1-1E84-314F-AFBD-DBA64BB3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Ira A. Fulton School of Engineering</Company>
  <LinksUpToDate>false</LinksUpToDate>
  <CharactersWithSpaces>5351</CharactersWithSpaces>
  <SharedDoc>false</SharedDoc>
  <HLinks>
    <vt:vector size="6" baseType="variant">
      <vt:variant>
        <vt:i4>6553606</vt:i4>
      </vt:variant>
      <vt:variant>
        <vt:i4>4147</vt:i4>
      </vt:variant>
      <vt:variant>
        <vt:i4>1025</vt:i4>
      </vt:variant>
      <vt:variant>
        <vt:i4>1</vt:i4>
      </vt:variant>
      <vt:variant>
        <vt:lpwstr>3color50_logo_letterhead_CenterforAdaptiveNEural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Paterick</dc:creator>
  <cp:keywords/>
  <cp:lastModifiedBy>Julia Lessios-Damerow</cp:lastModifiedBy>
  <cp:revision>25</cp:revision>
  <cp:lastPrinted>2020-02-06T15:11:00Z</cp:lastPrinted>
  <dcterms:created xsi:type="dcterms:W3CDTF">2020-01-23T18:11:00Z</dcterms:created>
  <dcterms:modified xsi:type="dcterms:W3CDTF">2020-04-09T17:11:00Z</dcterms:modified>
</cp:coreProperties>
</file>