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9):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reports what repairs exist and what they cost (Section 7), and says what is not shown (Section 9).</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of a deployed pipeline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2"/>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2"/>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3"/>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3"/>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3"/>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3"/>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3"/>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3"/>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4"/>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4"/>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4"/>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4"/>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5"/>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5"/>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5"/>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5"/>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6"/>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6"/>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6"/>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Testing and incremental resolution.</w:t>
      </w:r>
    </w:p>
    <w:p>
      <w:pPr>
        <w:pStyle w:val="BodyText"/>
        <w:numPr>
          <w:ilvl w:val="0"/>
          <w:numId w:val="7"/>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7"/>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8"/>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8"/>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8"/>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8"/>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8"/>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8. Combined view of the evidence</w:t>
      </w:r>
    </w:p>
    <w:tbl>
      <w:tblPr>
        <w:tblW w:w="5000" w:type="pct"/>
        <w:jc w:val="left"/>
        <w:tblInd w:w="45" w:type="dxa"/>
        <w:tblLayout w:type="fixed"/>
        <w:tblCellMar>
          <w:top w:w="45" w:type="dxa"/>
          <w:left w:w="45" w:type="dxa"/>
          <w:bottom w:w="45" w:type="dxa"/>
          <w:right w:w="45" w:type="dxa"/>
        </w:tblCellMar>
      </w:tblPr>
      <w:tblGrid>
        <w:gridCol w:w="3772"/>
        <w:gridCol w:w="4335"/>
        <w:gridCol w:w="3232"/>
      </w:tblGrid>
      <w:tr>
        <w:trPr/>
        <w:tc>
          <w:tcPr>
            <w:tcW w:w="37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3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37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Recap spoilers and a link to OLMo training data</w:t>
            </w:r>
          </w:p>
        </w:tc>
        <w:tc>
          <w:tcPr>
            <w:tcW w:w="43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EXPLORATORY-small; both null</w:t>
            </w:r>
          </w:p>
        </w:tc>
        <w:tc>
          <w:tcPr>
            <w:tcW w:w="323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bl>
    <w:p>
      <w:pPr>
        <w:pStyle w:val="Heading3"/>
        <w:bidi w:val="0"/>
        <w:rPr/>
      </w:pPr>
      <w:r>
        <w:rPr/>
        <w:t>8.1 Claim-to-evidence matrix</w:t>
      </w:r>
    </w:p>
    <w:tbl>
      <w:tblPr>
        <w:tblW w:w="5000" w:type="pct"/>
        <w:jc w:val="left"/>
        <w:tblInd w:w="45" w:type="dxa"/>
        <w:tblLayout w:type="fixed"/>
        <w:tblCellMar>
          <w:top w:w="45" w:type="dxa"/>
          <w:left w:w="45" w:type="dxa"/>
          <w:bottom w:w="45" w:type="dxa"/>
          <w:right w:w="45" w:type="dxa"/>
        </w:tblCellMar>
      </w:tblPr>
      <w:tblGrid>
        <w:gridCol w:w="2475"/>
        <w:gridCol w:w="1920"/>
        <w:gridCol w:w="2441"/>
        <w:gridCol w:w="4503"/>
      </w:tblGrid>
      <w:tr>
        <w:trPr/>
        <w:tc>
          <w:tcPr>
            <w:tcW w:w="247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4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5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247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9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5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9. Limitations</w:t>
      </w:r>
    </w:p>
    <w:p>
      <w:pPr>
        <w:pStyle w:val="BodyText"/>
        <w:bidi w:val="0"/>
        <w:rPr>
          <w:b/>
        </w:rPr>
      </w:pPr>
      <w:r>
        <w:rPr>
          <w:b/>
        </w:rPr>
        <w:t>Label provenance, plainly.</w:t>
      </w:r>
    </w:p>
    <w:p>
      <w:pPr>
        <w:pStyle w:val="BodyText"/>
        <w:numPr>
          <w:ilvl w:val="0"/>
          <w:numId w:val="9"/>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9"/>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9"/>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9"/>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0"/>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0"/>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0"/>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0"/>
        </w:numPr>
        <w:tabs>
          <w:tab w:val="clear" w:pos="1134"/>
          <w:tab w:val="left" w:pos="709" w:leader="none"/>
        </w:tabs>
        <w:bidi w:val="0"/>
        <w:spacing w:before="0" w:after="0"/>
        <w:ind w:hanging="283" w:left="709"/>
        <w:rPr/>
      </w:pPr>
      <w:r>
        <w:rPr/>
        <w:t xml:space="preserve">The static screen's soundness is conditional on a hand-derived read set; the </w:t>
      </w:r>
      <w:r>
        <w:rPr>
          <w:rStyle w:val="SourceText"/>
        </w:rPr>
        <w:t>big_five</w:t>
      </w:r>
      <w:r>
        <w:rPr/>
        <w:t xml:space="preserve"> whole-volume dependency never occurred on real data and is covered only by a unit test.</w:t>
      </w:r>
    </w:p>
    <w:p>
      <w:pPr>
        <w:pStyle w:val="BodyText"/>
        <w:numPr>
          <w:ilvl w:val="0"/>
          <w:numId w:val="10"/>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0"/>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0"/>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0"/>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0"/>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0"/>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10.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The two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959"/>
        <w:gridCol w:w="9380"/>
      </w:tblGrid>
      <w:tr>
        <w:trPr/>
        <w:tc>
          <w:tcPr>
            <w:tcW w:w="19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95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{{SPEND}}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