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BUDGET-SYM: An Adaptive, Scope-Aware Symbol-Table Architecture for Memory-Constrained Embedded Compilers</w:t>
      </w:r>
    </w:p>
    <w:p>
      <w:pPr>
        <w:spacing w:after="40"/>
        <w:jc w:val="center"/>
      </w:pPr>
      <w:r>
        <w:rPr>
          <w:rFonts w:ascii="Times New Roman" w:hAnsi="Times New Roman"/>
          <w:b/>
          <w:i w:val="0"/>
          <w:sz w:val="22"/>
        </w:rPr>
        <w:t>Shubhi Singh, Adhyan Jain, Akshith Venkataramana, Arjuman</w:t>
      </w:r>
    </w:p>
    <w:p>
      <w:pPr>
        <w:spacing w:after="200"/>
        <w:jc w:val="center"/>
      </w:pPr>
      <w:r>
        <w:rPr>
          <w:rFonts w:ascii="Times New Roman" w:hAnsi="Times New Roman"/>
          <w:b w:val="0"/>
          <w:i w:val="0"/>
          <w:sz w:val="20"/>
        </w:rPr>
        <w:t>SCOPE, VIT Vellore, Vellore, India</w:t>
      </w:r>
    </w:p>
    <w:p>
      <w:pPr>
        <w:sectPr>
          <w:pgSz w:w="11906" w:h="16838"/>
          <w:pgMar w:top="1134" w:right="1134" w:bottom="1134" w:left="1134" w:header="720" w:footer="720" w:gutter="0"/>
          <w:cols w:space="720"/>
          <w:docGrid w:linePitch="360"/>
        </w:sectPr>
      </w:pPr>
    </w:p>
    <w:p>
      <w:pPr>
        <w:spacing w:after="120" w:before="200"/>
      </w:pPr>
      <w:r>
        <w:rPr>
          <w:rFonts w:ascii="Times New Roman" w:hAnsi="Times New Roman"/>
          <w:b/>
          <w:i w:val="0"/>
          <w:sz w:val="22"/>
        </w:rPr>
        <w:t>Abstract</w:t>
      </w:r>
    </w:p>
    <w:p>
      <w:pPr>
        <w:spacing w:after="120"/>
      </w:pPr>
      <w:r>
        <w:rPr>
          <w:rFonts w:ascii="Times New Roman" w:hAnsi="Times New Roman"/>
          <w:b w:val="0"/>
          <w:i w:val="0"/>
          <w:sz w:val="18"/>
        </w:rPr>
        <w:t>Compiler symbol tables are a core data structure in every translation pipeline, but their memory footprint becomes a first-class engineering concern in resource-constrained embedded compilation environments, where conventional string-heavy storage competes directly with a toolchain's limited memory budget.</w:t>
      </w:r>
    </w:p>
    <w:p>
      <w:pPr>
        <w:spacing w:after="120"/>
      </w:pPr>
      <w:r>
        <w:rPr>
          <w:rFonts w:ascii="Times New Roman" w:hAnsi="Times New Roman"/>
          <w:b w:val="0"/>
          <w:i w:val="0"/>
          <w:sz w:val="18"/>
        </w:rPr>
        <w:t>BUDGET-SYM is an adaptive, scope-aware symbol-table architecture that selects a per-symbol representation — INLINE, INTERNED, or COMPRESSED — using memory pressure, scope/lifetime information, exact-repeat status, prefix similarity, and post-insertion access-frequency promotion. It is evaluated with a documented, deterministic tracked-memory accounting model across eight synthetic benchmark workloads and against three real embedded C identifier corpora (FreeRTOS, the Arduino core library, and Zephyr RTOS), using multi-seed statistical benchmarking with 95% confidence intervals, a 64-entry LRU lookup cache, a workload-adaptive threshold predictor, and a four-variant ablation study isolating each mechanism's contribution.</w:t>
      </w:r>
    </w:p>
    <w:p>
      <w:pPr>
        <w:spacing w:after="120"/>
      </w:pPr>
      <w:r>
        <w:rPr>
          <w:rFonts w:ascii="Times New Roman" w:hAnsi="Times New Roman"/>
          <w:b w:val="0"/>
          <w:i w:val="0"/>
          <w:sz w:val="18"/>
        </w:rPr>
        <w:t>On the eight synthetic benchmark datasets, BUDGET-SYM reduces mean tracked memory relative to the conventional hash-table baseline by 1.40x-2.60x, with scope-based reclamation identified by the ablation study as the dominant contributor. On three real-world corpora, measured physical peak heap is 1.87x-3.5x higher than the conventional baseline, traced architecturally to two persistent lookup registries that are never pruned on scope exit — an honest finding reported here rather than omitted, and the direct target of ongoing redesign work. Lookup latency remains above the conventional baseline on every workload measured; a lookup cache measurably reduces this overhead on five of eight synthetic datasets without closing the gap entirely.</w:t>
      </w:r>
    </w:p>
    <w:p>
      <w:pPr>
        <w:spacing w:after="120"/>
      </w:pPr>
      <w:r>
        <w:rPr>
          <w:rFonts w:ascii="Times New Roman" w:hAnsi="Times New Roman"/>
          <w:b w:val="0"/>
          <w:i/>
          <w:sz w:val="18"/>
        </w:rPr>
        <w:t>Keywords: Adaptive Data Structures, Compiler Data Structures, Embedded Compilers, Memory-Constrained Computing, Real-World Workload Evaluation, Symbol Table</w:t>
      </w:r>
    </w:p>
    <w:p>
      <w:pPr>
        <w:spacing w:after="120" w:before="200"/>
      </w:pPr>
      <w:r>
        <w:rPr>
          <w:rFonts w:ascii="Times New Roman" w:hAnsi="Times New Roman"/>
          <w:b/>
          <w:i w:val="0"/>
          <w:sz w:val="22"/>
        </w:rPr>
        <w:t>1. Introduction</w:t>
      </w:r>
    </w:p>
    <w:p>
      <w:pPr>
        <w:spacing w:after="120"/>
      </w:pPr>
      <w:r>
        <w:rPr>
          <w:rFonts w:ascii="Times New Roman" w:hAnsi="Times New Roman"/>
          <w:b w:val="0"/>
          <w:i w:val="0"/>
          <w:sz w:val="18"/>
        </w:rPr>
        <w:t>A compiler repeatedly creates, resolves, and updates symbolic bindings while translating a program. A symbol table stores the name of each identifier together with attributes such as type, scope, declaration information, and storage-related metadata; design choices here directly affect both memory footprint and the speed of name resolution [5]. Classical compiler-construction guidance treats memory space and lookup/insertion time as competing design criteria for symbol tables [5], and this tension is amplified when compilation targets or toolchains operate under tight memory constraints, as is common for embedded systems [4].</w:t>
      </w:r>
    </w:p>
    <w:p>
      <w:pPr>
        <w:spacing w:after="120"/>
      </w:pPr>
      <w:r>
        <w:rPr>
          <w:rFonts w:ascii="Times New Roman" w:hAnsi="Times New Roman"/>
          <w:b w:val="0"/>
          <w:i w:val="0"/>
          <w:sz w:val="18"/>
        </w:rPr>
        <w:t>A conventional hash table (e.g., unordered_map&lt;string, Symbol&gt;) incurs overhead from buckets, allocator metadata, and one full string copy per symbol. Alternative representations exploit different forms of redundancy: string interning stores one copy of each distinct identifier [3], and prefix-based storage exploits shared prefixes between identifiers [1]. Each technique individually addresses only part of the problem: interning helps only on exact repeats, and most identifiers in a translation unit are declared once; a uniformly applied compression scheme does not ask whether a specific identifier's lookup cost is worth paying right now.</w:t>
      </w:r>
    </w:p>
    <w:p>
      <w:pPr>
        <w:spacing w:after="120"/>
      </w:pPr>
      <w:r>
        <w:rPr>
          <w:rFonts w:ascii="Times New Roman" w:hAnsi="Times New Roman"/>
          <w:b w:val="0"/>
          <w:i w:val="0"/>
          <w:sz w:val="18"/>
        </w:rPr>
        <w:t>This motivates an adaptive approach. BUDGET-SYM selects a representation per symbol based on memory pressure, scope/lifetime, exact-repeat status, and prefix similarity, and subsequently promotes symbols to a faster representation if they turn out to be accessed frequently. This project's evaluation methodology adds systematic threshold optimization, statistical validation across multiple random seeds, and generalization testing against real embedded corpora rather than synthetic data alone, directly addressing the generalization and significance questions that synthetic-only, single-run evaluation leaves open.</w:t>
      </w:r>
    </w:p>
    <w:p>
      <w:pPr>
        <w:spacing w:after="120"/>
      </w:pPr>
      <w:r>
        <w:rPr>
          <w:rFonts w:ascii="Times New Roman" w:hAnsi="Times New Roman"/>
          <w:b w:val="0"/>
          <w:i w:val="0"/>
          <w:sz w:val="18"/>
        </w:rPr>
        <w:t>This manuscript is organized as follows. Section 2 reviews related work on symbol-table design, string interning, and prefix-based compression. Section 3 presents the BUDGET-SYM architecture, its adaptive representation-selection policy, and the memory-accounting model. Section 4 reports the experimental methodology and results across synthetic and real-world workloads, including every measured metric and an honest real-world memory diagnosis. Section 5 concludes and outlines future work.</w:t>
      </w:r>
    </w:p>
    <w:p>
      <w:pPr>
        <w:spacing w:after="120" w:before="200"/>
      </w:pPr>
      <w:r>
        <w:rPr>
          <w:rFonts w:ascii="Times New Roman" w:hAnsi="Times New Roman"/>
          <w:b/>
          <w:i w:val="0"/>
          <w:sz w:val="22"/>
        </w:rPr>
        <w:t>2. Related Works</w:t>
      </w:r>
    </w:p>
    <w:p>
      <w:pPr>
        <w:spacing w:after="120"/>
      </w:pPr>
      <w:r>
        <w:rPr>
          <w:rFonts w:ascii="Times New Roman" w:hAnsi="Times New Roman"/>
          <w:b w:val="0"/>
          <w:i w:val="0"/>
          <w:sz w:val="18"/>
        </w:rPr>
        <w:t>This review is grounded in the established compiler-construction references and documented industrial practice this project's research process verified directly, rather than a newly assembled literature set. Primary references are listed in full in Section 6.</w:t>
      </w:r>
    </w:p>
    <w:p>
      <w:pPr>
        <w:spacing w:after="20"/>
      </w:pPr>
      <w:r>
        <w:rPr>
          <w:rFonts w:ascii="Times New Roman" w:hAnsi="Times New Roman"/>
          <w:b/>
          <w:i w:val="0"/>
          <w:sz w:val="18"/>
        </w:rPr>
        <w:t>Aho, Lam, Sethi, Ullman [5]</w:t>
      </w:r>
    </w:p>
    <w:p>
      <w:pPr>
        <w:pStyle w:val="ListBullet"/>
      </w:pPr>
      <w:r>
        <w:rPr>
          <w:rFonts w:ascii="Times New Roman" w:hAnsi="Times New Roman"/>
          <w:sz w:val="18"/>
        </w:rPr>
        <w:t>Solution: Frames symbol-table design as a memory/time/scoping trade-off; hash table + string pool is the common baseline design.</w:t>
      </w:r>
    </w:p>
    <w:p>
      <w:pPr>
        <w:pStyle w:val="ListBullet"/>
      </w:pPr>
      <w:r>
        <w:rPr>
          <w:rFonts w:ascii="Times New Roman" w:hAnsi="Times New Roman"/>
          <w:sz w:val="18"/>
        </w:rPr>
        <w:t>How this work uses it: Provides the design vocabulary this work's cost model (Section 3.2) is built on.</w:t>
      </w:r>
    </w:p>
    <w:p>
      <w:pPr>
        <w:pStyle w:val="ListBullet"/>
      </w:pPr>
      <w:r>
        <w:rPr>
          <w:rFonts w:ascii="Times New Roman" w:hAnsi="Times New Roman"/>
          <w:sz w:val="18"/>
        </w:rPr>
        <w:t>Gap: Does not address adaptive, workload-aware representation selection.</w:t>
      </w:r>
    </w:p>
    <w:p>
      <w:pPr>
        <w:spacing w:after="20"/>
      </w:pPr>
      <w:r>
        <w:rPr>
          <w:rFonts w:ascii="Times New Roman" w:hAnsi="Times New Roman"/>
          <w:b/>
          <w:i w:val="0"/>
          <w:sz w:val="18"/>
        </w:rPr>
        <w:t>Linkoping University, TDDE66 [1]</w:t>
      </w:r>
    </w:p>
    <w:p>
      <w:pPr>
        <w:pStyle w:val="ListBullet"/>
      </w:pPr>
      <w:r>
        <w:rPr>
          <w:rFonts w:ascii="Times New Roman" w:hAnsi="Times New Roman"/>
          <w:sz w:val="18"/>
        </w:rPr>
        <w:t>Solution: Course documentation of a standard hash-table-plus-string-pool symbol table.</w:t>
      </w:r>
    </w:p>
    <w:p>
      <w:pPr>
        <w:pStyle w:val="ListBullet"/>
      </w:pPr>
      <w:r>
        <w:rPr>
          <w:rFonts w:ascii="Times New Roman" w:hAnsi="Times New Roman"/>
          <w:sz w:val="18"/>
        </w:rPr>
        <w:t>How this work uses it: Widely used baseline reference design; no adaptive or compression mechanism.</w:t>
      </w:r>
    </w:p>
    <w:p>
      <w:pPr>
        <w:pStyle w:val="ListBullet"/>
      </w:pPr>
      <w:r>
        <w:rPr>
          <w:rFonts w:ascii="Times New Roman" w:hAnsi="Times New Roman"/>
          <w:sz w:val="18"/>
        </w:rPr>
        <w:t>Gap: No treatment of memory-constrained or embedded deployment targets.</w:t>
      </w:r>
    </w:p>
    <w:p>
      <w:pPr>
        <w:spacing w:after="20"/>
      </w:pPr>
      <w:r>
        <w:rPr>
          <w:rFonts w:ascii="Times New Roman" w:hAnsi="Times New Roman"/>
          <w:b/>
          <w:i w:val="0"/>
          <w:sz w:val="18"/>
        </w:rPr>
        <w:t>D. W. Jones [2]</w:t>
      </w:r>
    </w:p>
    <w:p>
      <w:pPr>
        <w:pStyle w:val="ListBullet"/>
      </w:pPr>
      <w:r>
        <w:rPr>
          <w:rFonts w:ascii="Times New Roman" w:hAnsi="Times New Roman"/>
          <w:sz w:val="18"/>
        </w:rPr>
        <w:t>Solution: Documents scope handling via a stack of hash tables.</w:t>
      </w:r>
    </w:p>
    <w:p>
      <w:pPr>
        <w:pStyle w:val="ListBullet"/>
      </w:pPr>
      <w:r>
        <w:rPr>
          <w:rFonts w:ascii="Times New Roman" w:hAnsi="Times New Roman"/>
          <w:sz w:val="18"/>
        </w:rPr>
        <w:t>How this work uses it: Establishes scope-stack handling as the conventional baseline this work's ConventionalSymbolTable follows.</w:t>
      </w:r>
    </w:p>
    <w:p>
      <w:pPr>
        <w:pStyle w:val="ListBullet"/>
      </w:pPr>
      <w:r>
        <w:rPr>
          <w:rFonts w:ascii="Times New Roman" w:hAnsi="Times New Roman"/>
          <w:sz w:val="18"/>
        </w:rPr>
        <w:t>Gap: Scope reclamation is all-or-nothing per frame; no finer-grained slot recycling.</w:t>
      </w:r>
    </w:p>
    <w:p>
      <w:pPr>
        <w:spacing w:after="20"/>
      </w:pPr>
      <w:r>
        <w:rPr>
          <w:rFonts w:ascii="Times New Roman" w:hAnsi="Times New Roman"/>
          <w:b/>
          <w:i w:val="0"/>
          <w:sz w:val="18"/>
        </w:rPr>
        <w:t>Rust compiler ecosystem [3]</w:t>
      </w:r>
    </w:p>
    <w:p>
      <w:pPr>
        <w:pStyle w:val="ListBullet"/>
      </w:pPr>
      <w:r>
        <w:rPr>
          <w:rFonts w:ascii="Times New Roman" w:hAnsi="Times New Roman"/>
          <w:sz w:val="18"/>
        </w:rPr>
        <w:t>Solution: Documents production string interning of compact identifiers.</w:t>
      </w:r>
    </w:p>
    <w:p>
      <w:pPr>
        <w:pStyle w:val="ListBullet"/>
      </w:pPr>
      <w:r>
        <w:rPr>
          <w:rFonts w:ascii="Times New Roman" w:hAnsi="Times New Roman"/>
          <w:sz w:val="18"/>
        </w:rPr>
        <w:t>How this work uses it: Informs the InternedSymbolTable baseline used throughout evaluation.</w:t>
      </w:r>
    </w:p>
    <w:p>
      <w:pPr>
        <w:pStyle w:val="ListBullet"/>
      </w:pPr>
      <w:r>
        <w:rPr>
          <w:rFonts w:ascii="Times New Roman" w:hAnsi="Times New Roman"/>
          <w:sz w:val="18"/>
        </w:rPr>
        <w:t>Gap: Interning alone does not adapt to scope lifetime or access frequency, motivating BUDGET-SYM's adaptive policy.</w:t>
      </w:r>
    </w:p>
    <w:p>
      <w:pPr>
        <w:spacing w:after="20"/>
      </w:pPr>
      <w:r>
        <w:rPr>
          <w:rFonts w:ascii="Times New Roman" w:hAnsi="Times New Roman"/>
          <w:b/>
          <w:i w:val="0"/>
          <w:sz w:val="18"/>
        </w:rPr>
        <w:t>GNU Project, GCC MSP430 [4]</w:t>
      </w:r>
    </w:p>
    <w:p>
      <w:pPr>
        <w:pStyle w:val="ListBullet"/>
      </w:pPr>
      <w:r>
        <w:rPr>
          <w:rFonts w:ascii="Times New Roman" w:hAnsi="Times New Roman"/>
          <w:sz w:val="18"/>
        </w:rPr>
        <w:t>Solution: Documents memory-constrained embedded-target compilation options in production GCC.</w:t>
      </w:r>
    </w:p>
    <w:p>
      <w:pPr>
        <w:pStyle w:val="ListBullet"/>
      </w:pPr>
      <w:r>
        <w:rPr>
          <w:rFonts w:ascii="Times New Roman" w:hAnsi="Times New Roman"/>
          <w:sz w:val="18"/>
        </w:rPr>
        <w:t>How this work uses it: Confirms memory-constrained compilation targets are a live engineering concern.</w:t>
      </w:r>
    </w:p>
    <w:p>
      <w:pPr>
        <w:pStyle w:val="ListBullet"/>
      </w:pPr>
      <w:r>
        <w:rPr>
          <w:rFonts w:ascii="Times New Roman" w:hAnsi="Times New Roman"/>
          <w:sz w:val="18"/>
        </w:rPr>
        <w:t>Gap: Does not itself propose or evaluate symbol-table memory optimization.</w:t>
      </w:r>
    </w:p>
    <w:p>
      <w:pPr>
        <w:spacing w:after="20"/>
      </w:pPr>
      <w:r>
        <w:rPr>
          <w:rFonts w:ascii="Times New Roman" w:hAnsi="Times New Roman"/>
          <w:b/>
          <w:i w:val="0"/>
          <w:sz w:val="18"/>
        </w:rPr>
        <w:t>E. Fredkin, Trie Memory [9]</w:t>
      </w:r>
    </w:p>
    <w:p>
      <w:pPr>
        <w:pStyle w:val="ListBullet"/>
      </w:pPr>
      <w:r>
        <w:rPr>
          <w:rFonts w:ascii="Times New Roman" w:hAnsi="Times New Roman"/>
          <w:sz w:val="18"/>
        </w:rPr>
        <w:t>Solution: Introduces the trie, sharing common prefixes across stored strings.</w:t>
      </w:r>
    </w:p>
    <w:p>
      <w:pPr>
        <w:pStyle w:val="ListBullet"/>
      </w:pPr>
      <w:r>
        <w:rPr>
          <w:rFonts w:ascii="Times New Roman" w:hAnsi="Times New Roman"/>
          <w:sz w:val="18"/>
        </w:rPr>
        <w:t>How this work uses it: Theoretical basis for the COMPRESSED representation and a shared-trie structural baseline.</w:t>
      </w:r>
    </w:p>
    <w:p>
      <w:pPr>
        <w:pStyle w:val="ListBullet"/>
      </w:pPr>
      <w:r>
        <w:rPr>
          <w:rFonts w:ascii="Times New Roman" w:hAnsi="Times New Roman"/>
          <w:sz w:val="18"/>
        </w:rPr>
        <w:t>Gap: General-purpose data structure; no compiler symbol-table or scope-lifetime treatment.</w:t>
      </w:r>
    </w:p>
    <w:p>
      <w:pPr>
        <w:spacing w:after="20"/>
      </w:pPr>
      <w:r>
        <w:rPr>
          <w:rFonts w:ascii="Times New Roman" w:hAnsi="Times New Roman"/>
          <w:b/>
          <w:i w:val="0"/>
          <w:sz w:val="18"/>
        </w:rPr>
        <w:t>Celis, Larson, Munro, Robin Hood Hashing [8]</w:t>
      </w:r>
    </w:p>
    <w:p>
      <w:pPr>
        <w:pStyle w:val="ListBullet"/>
      </w:pPr>
      <w:r>
        <w:rPr>
          <w:rFonts w:ascii="Times New Roman" w:hAnsi="Times New Roman"/>
          <w:sz w:val="18"/>
        </w:rPr>
        <w:t>Solution: Introduces Robin Hood linear-probing open addressing.</w:t>
      </w:r>
    </w:p>
    <w:p>
      <w:pPr>
        <w:pStyle w:val="ListBullet"/>
      </w:pPr>
      <w:r>
        <w:rPr>
          <w:rFonts w:ascii="Times New Roman" w:hAnsi="Times New Roman"/>
          <w:sz w:val="18"/>
        </w:rPr>
        <w:t>How this work uses it: Implemented as a structural baseline isolating hash-table storage strategy from adaptive representation selection.</w:t>
      </w:r>
    </w:p>
    <w:p>
      <w:pPr>
        <w:pStyle w:val="ListBullet"/>
      </w:pPr>
      <w:r>
        <w:rPr>
          <w:rFonts w:ascii="Times New Roman" w:hAnsi="Times New Roman"/>
          <w:sz w:val="18"/>
        </w:rPr>
        <w:t>Gap: Stores full strings inline with no compression — the opposite trade-off point from the COMPRESSED representation.</w:t>
      </w:r>
    </w:p>
    <w:p>
      <w:pPr>
        <w:spacing w:after="20"/>
      </w:pPr>
      <w:r>
        <w:rPr>
          <w:rFonts w:ascii="Times New Roman" w:hAnsi="Times New Roman"/>
          <w:b/>
          <w:i w:val="0"/>
          <w:sz w:val="18"/>
        </w:rPr>
        <w:t>A. Appleby, MurmurHash3 [10]</w:t>
      </w:r>
    </w:p>
    <w:p>
      <w:pPr>
        <w:pStyle w:val="ListBullet"/>
      </w:pPr>
      <w:r>
        <w:rPr>
          <w:rFonts w:ascii="Times New Roman" w:hAnsi="Times New Roman"/>
          <w:sz w:val="18"/>
        </w:rPr>
        <w:t>Solution: Provides a fast, well-tested non-cryptographic hash finalizer.</w:t>
      </w:r>
    </w:p>
    <w:p>
      <w:pPr>
        <w:pStyle w:val="ListBullet"/>
      </w:pPr>
      <w:r>
        <w:rPr>
          <w:rFonts w:ascii="Times New Roman" w:hAnsi="Times New Roman"/>
          <w:sz w:val="18"/>
        </w:rPr>
        <w:t>How this work uses it: One of two swappable index hash-function backends benchmarked against the default FNV-1a.</w:t>
      </w:r>
    </w:p>
    <w:p>
      <w:pPr>
        <w:pStyle w:val="ListBullet"/>
      </w:pPr>
      <w:r>
        <w:rPr>
          <w:rFonts w:ascii="Times New Roman" w:hAnsi="Times New Roman"/>
          <w:sz w:val="18"/>
        </w:rPr>
        <w:t>Gap: General-purpose hashing work; no symbol-table-specific evaluation.</w:t>
      </w:r>
    </w:p>
    <w:p>
      <w:pPr>
        <w:spacing w:after="120"/>
      </w:pPr>
      <w:r>
        <w:rPr>
          <w:rFonts w:ascii="Times New Roman" w:hAnsi="Times New Roman"/>
          <w:b w:val="0"/>
          <w:i w:val="0"/>
          <w:sz w:val="18"/>
        </w:rPr>
        <w:t>Research gap: individual techniques — interning, prefix compression, scope-stack management, alternative hashing/open-addressing — are documented in isolation. The narrower open question this work addresses is whether a compiler-specific signal set (memory pressure, scope/lifetime, exact-repeat status, prefix similarity, access frequency) can drive a unified per-symbol representation policy under an explicit memory budget while controlling lookup overhead, and whether that control generalizes from synthetic workloads to real embedded corpora.</w:t>
      </w:r>
    </w:p>
    <w:p>
      <w:pPr>
        <w:spacing w:after="120" w:before="200"/>
      </w:pPr>
      <w:r>
        <w:rPr>
          <w:rFonts w:ascii="Times New Roman" w:hAnsi="Times New Roman"/>
          <w:b/>
          <w:i w:val="0"/>
          <w:sz w:val="22"/>
        </w:rPr>
        <w:t>3. Proposed Work / System</w:t>
      </w:r>
    </w:p>
    <w:p>
      <w:pPr>
        <w:spacing w:after="120"/>
      </w:pPr>
      <w:r>
        <w:rPr>
          <w:rFonts w:ascii="Times New Roman" w:hAnsi="Times New Roman"/>
          <w:b w:val="0"/>
          <w:i w:val="0"/>
          <w:sz w:val="18"/>
        </w:rPr>
        <w:t>Problem formulation. Given a set of symbols S, a memory budget B, and a set of representation choices R = {INLINE, INTERNED, COMPRESSED}, the problem is to select a representation r_i in R for each symbol s_i in S such that total tracked memory does not exceed B, while minimizing a combined cost.</w:t>
      </w:r>
    </w:p>
    <w:p>
      <w:pPr>
        <w:spacing w:after="120"/>
        <w:jc w:val="center"/>
      </w:pPr>
      <w:r>
        <w:rPr>
          <w:rFonts w:ascii="Times New Roman" w:hAnsi="Times New Roman"/>
          <w:b/>
          <w:i w:val="0"/>
          <w:sz w:val="18"/>
        </w:rPr>
        <w:t>Eq. 1 (Combined cost):  C = alpha*M + beta*L + gamma*T</w:t>
      </w:r>
    </w:p>
    <w:p>
      <w:pPr>
        <w:spacing w:after="120"/>
      </w:pPr>
      <w:r>
        <w:rPr>
          <w:rFonts w:ascii="Times New Roman" w:hAnsi="Times New Roman"/>
          <w:b w:val="0"/>
          <w:i w:val="0"/>
          <w:sz w:val="18"/>
        </w:rPr>
        <w:t>where M is memory cost, L is lookup latency, and T is transition/re-encoding overhead; alpha, beta, gamma are configurable policy weights.</w:t>
      </w:r>
    </w:p>
    <w:p>
      <w:pPr>
        <w:spacing w:after="120" w:before="200"/>
      </w:pPr>
      <w:r>
        <w:rPr>
          <w:rFonts w:ascii="Times New Roman" w:hAnsi="Times New Roman"/>
          <w:b/>
          <w:i w:val="0"/>
          <w:sz w:val="20"/>
        </w:rPr>
        <w:t>3.1 System Architecture</w:t>
      </w:r>
    </w:p>
    <w:p>
      <w:pPr>
        <w:spacing w:after="120"/>
      </w:pPr>
      <w:r>
        <w:rPr>
          <w:rFonts w:ascii="Times New Roman" w:hAnsi="Times New Roman"/>
          <w:b w:val="0"/>
          <w:i w:val="0"/>
          <w:sz w:val="18"/>
        </w:rPr>
        <w:t>Source identifiers are extracted and passed to a central controller, which consults six subsystems before an Adaptive Representation Policy commits each symbol to INLINE, INTERNED, or COMPRESSED storage behind a compact index.</w:t>
      </w:r>
    </w:p>
    <w:p>
      <w:pPr>
        <w:pStyle w:val="ListBullet"/>
      </w:pPr>
      <w:r>
        <w:rPr>
          <w:rFonts w:ascii="Times New Roman" w:hAnsi="Times New Roman"/>
          <w:sz w:val="18"/>
        </w:rPr>
        <w:t>Memory Monitor — tracks budget, current tracked-memory usage, and derived pressure (clamped to [0,1]).</w:t>
      </w:r>
    </w:p>
    <w:p>
      <w:pPr>
        <w:pStyle w:val="ListBullet"/>
      </w:pPr>
      <w:r>
        <w:rPr>
          <w:rFonts w:ascii="Times New Roman" w:hAnsi="Times New Roman"/>
          <w:sz w:val="18"/>
        </w:rPr>
        <w:t>Scope/Lifetime Analyzer — maintains the scope stack; on scope exit every symbol declared in that scope is tombstoned and its bytes reclaimed immediately. Identified as the dominant contributor to memory savings.</w:t>
      </w:r>
    </w:p>
    <w:p>
      <w:pPr>
        <w:pStyle w:val="ListBullet"/>
      </w:pPr>
      <w:r>
        <w:rPr>
          <w:rFonts w:ascii="Times New Roman" w:hAnsi="Times New Roman"/>
          <w:sz w:val="18"/>
        </w:rPr>
        <w:t>Access Profiler — tracks per-symbol accessCount; drives post-insertion promotion from COMPRESSED to INTERNED once a symbol crosses hotAccessThreshold.</w:t>
      </w:r>
    </w:p>
    <w:p>
      <w:pPr>
        <w:pStyle w:val="ListBullet"/>
      </w:pPr>
      <w:r>
        <w:rPr>
          <w:rFonts w:ascii="Times New Roman" w:hAnsi="Times New Roman"/>
          <w:sz w:val="18"/>
        </w:rPr>
        <w:t>WorkloadProfiler + ThresholdPredictor — an online accumulator observes the first 100 inserted identifiers and extracts five features (mean length, prefix-similarity coefficient, repeat rate, scope-depth variance, character entropy) feeding a Ridge-regression predictor for the six policy thresholds.</w:t>
      </w:r>
    </w:p>
    <w:p>
      <w:pPr>
        <w:pStyle w:val="ListBullet"/>
      </w:pPr>
      <w:r>
        <w:rPr>
          <w:rFonts w:ascii="Times New Roman" w:hAnsi="Times New Roman"/>
          <w:sz w:val="18"/>
        </w:rPr>
        <w:t>LRU Lookup Cache — a 64-entry, hash-and-name-keyed cache in front of the hash-bucket-then-reconstruct path; hits skip both the bucket walk and, for COMPRESSED symbols, chain reconstruction entirely.</w:t>
      </w:r>
    </w:p>
    <w:p>
      <w:pPr>
        <w:pStyle w:val="ListBullet"/>
      </w:pPr>
      <w:r>
        <w:rPr>
          <w:rFonts w:ascii="Times New Roman" w:hAnsi="Times New Roman"/>
          <w:sz w:val="18"/>
        </w:rPr>
        <w:t>Adaptive Representation Policy (decide()) — consumes identifier length, exact-repeat status, prefix similarity, memory pressure, scope depth, and access-frequency hint to choose a representation.</w:t>
      </w:r>
    </w:p>
    <w:p>
      <w:pPr>
        <w:spacing w:after="120" w:before="200"/>
      </w:pPr>
      <w:r>
        <w:rPr>
          <w:rFonts w:ascii="Times New Roman" w:hAnsi="Times New Roman"/>
          <w:b/>
          <w:i w:val="0"/>
          <w:sz w:val="20"/>
        </w:rPr>
        <w:t>3.2 Adaptive Representation Policy</w:t>
      </w:r>
    </w:p>
    <w:p>
      <w:pPr>
        <w:pStyle w:val="ListBullet"/>
      </w:pPr>
      <w:r>
        <w:rPr>
          <w:rFonts w:ascii="Times New Roman" w:hAnsi="Times New Roman"/>
          <w:sz w:val="18"/>
        </w:rPr>
        <w:t>INLINE — a small/cheap identifier that does not justify interning or compression bookkeeping.</w:t>
      </w:r>
    </w:p>
    <w:p>
      <w:pPr>
        <w:pStyle w:val="ListBullet"/>
      </w:pPr>
      <w:r>
        <w:rPr>
          <w:rFonts w:ascii="Times New Roman" w:hAnsi="Times New Roman"/>
          <w:sz w:val="18"/>
        </w:rPr>
        <w:t>INTERNED — exact identifier reuse makes shared, reference-counted storage beneficial.</w:t>
      </w:r>
    </w:p>
    <w:p>
      <w:pPr>
        <w:pStyle w:val="ListBullet"/>
      </w:pPr>
      <w:r>
        <w:rPr>
          <w:rFonts w:ascii="Times New Roman" w:hAnsi="Times New Roman"/>
          <w:sz w:val="18"/>
        </w:rPr>
        <w:t>COMPRESSED — a long or prefix-similar identifier offers sufficient savings under front-coded storage.</w:t>
      </w:r>
    </w:p>
    <w:p>
      <w:pPr>
        <w:spacing w:after="120"/>
      </w:pPr>
      <w:r>
        <w:rPr>
          <w:rFonts w:ascii="Times New Roman" w:hAnsi="Times New Roman"/>
          <w:b w:val="0"/>
          <w:i w:val="0"/>
          <w:sz w:val="18"/>
        </w:rPr>
        <w:t>Post-insertion promotion moves a symbol from COMPRESSED to INTERNED once its measured access count crosses the hot-access threshold, trading memory saving for faster lookup.</w:t>
      </w:r>
    </w:p>
    <w:p>
      <w:pPr>
        <w:spacing w:after="120" w:before="200"/>
      </w:pPr>
      <w:r>
        <w:rPr>
          <w:rFonts w:ascii="Times New Roman" w:hAnsi="Times New Roman"/>
          <w:b/>
          <w:i w:val="0"/>
          <w:sz w:val="20"/>
        </w:rPr>
        <w:t>3.3 Memory Accounting Model</w:t>
      </w:r>
    </w:p>
    <w:p>
      <w:pPr>
        <w:spacing w:after="120"/>
      </w:pPr>
      <w:r>
        <w:rPr>
          <w:rFonts w:ascii="Times New Roman" w:hAnsi="Times New Roman"/>
          <w:b w:val="0"/>
          <w:i w:val="0"/>
          <w:sz w:val="18"/>
        </w:rPr>
        <w:t>Memory is reported using a documented, deterministic tracked-memory model: the sum of string payload, symbol metadata, index storage, representation-specific storage, and fixed metadata constants, consistent across all implementations compared. This is explicitly not full OS resident-set size (RSS); it is a controlled accounting model for like-for-like comparison, stated plainly here.</w:t>
      </w:r>
    </w:p>
    <w:p>
      <w:pPr>
        <w:spacing w:after="120"/>
      </w:pPr>
      <w:r>
        <w:rPr>
          <w:rFonts w:ascii="Times New Roman" w:hAnsi="Times New Roman"/>
          <w:b w:val="0"/>
          <w:i w:val="0"/>
          <w:sz w:val="18"/>
        </w:rPr>
        <w:t>Eq. 2 (Pressure):  P = clamp(tracked_bytes / B, 0, 1)</w:t>
      </w:r>
    </w:p>
    <w:p>
      <w:pPr>
        <w:spacing w:after="120"/>
      </w:pPr>
      <w:r>
        <w:rPr>
          <w:rFonts w:ascii="Times New Roman" w:hAnsi="Times New Roman"/>
          <w:b w:val="0"/>
          <w:i w:val="0"/>
          <w:sz w:val="18"/>
        </w:rPr>
        <w:t>Eq. 3 (INLINE cost):  M_inline = len(name) + c_meta</w:t>
      </w:r>
    </w:p>
    <w:p>
      <w:pPr>
        <w:spacing w:after="120"/>
      </w:pPr>
      <w:r>
        <w:rPr>
          <w:rFonts w:ascii="Times New Roman" w:hAnsi="Times New Roman"/>
          <w:b w:val="0"/>
          <w:i w:val="0"/>
          <w:sz w:val="18"/>
        </w:rPr>
        <w:t>Eq. 4 (INTERNED cost):  M_interned = c_handle + (len(name) if first-seen else 0)</w:t>
      </w:r>
    </w:p>
    <w:p>
      <w:pPr>
        <w:spacing w:after="120"/>
      </w:pPr>
      <w:r>
        <w:rPr>
          <w:rFonts w:ascii="Times New Roman" w:hAnsi="Times New Roman"/>
          <w:b w:val="0"/>
          <w:i w:val="0"/>
          <w:sz w:val="18"/>
        </w:rPr>
        <w:t>Eq. 5 (COMPRESSED cost):  M_compressed = c_block_meta + shared_suffix_len(name)</w:t>
      </w:r>
    </w:p>
    <w:p>
      <w:pPr>
        <w:spacing w:after="120" w:before="200"/>
      </w:pPr>
      <w:r>
        <w:rPr>
          <w:rFonts w:ascii="Times New Roman" w:hAnsi="Times New Roman"/>
          <w:b/>
          <w:i w:val="0"/>
          <w:sz w:val="20"/>
        </w:rPr>
        <w:t>3.4 Threshold Optimization</w:t>
      </w:r>
    </w:p>
    <w:p>
      <w:pPr>
        <w:spacing w:after="120"/>
      </w:pPr>
      <w:r>
        <w:rPr>
          <w:rFonts w:ascii="Times New Roman" w:hAnsi="Times New Roman"/>
          <w:b w:val="0"/>
          <w:i w:val="0"/>
          <w:sz w:val="18"/>
        </w:rPr>
        <w:t>The six policy thresholds — inlineMaxLen, compressMinLen, lowPressureThreshold, highPressureThreshold, hotAccessThreshold, prefixSimilarityMinShared — are optimized via grid search across the eight synthetic benchmark datasets (15,000 configurations), scoring each by mean compression ratio.</w:t>
      </w:r>
    </w:p>
    <w:p>
      <w:pPr>
        <w:spacing w:after="120"/>
      </w:pPr>
      <w:r>
        <w:rPr>
          <w:rFonts w:ascii="Times New Roman" w:hAnsi="Times New Roman"/>
          <w:b w:val="0"/>
          <w:i w:val="0"/>
          <w:sz w:val="18"/>
        </w:rPr>
        <w:t>Eq. 6 (Grid-search objective):  theta* = argmax_theta (1/|D|) * sum_d compressionRatio(theta, d)</w:t>
      </w:r>
    </w:p>
    <w:p>
      <w:pPr>
        <w:spacing w:after="120"/>
      </w:pPr>
      <w:r>
        <w:rPr>
          <w:rFonts w:ascii="Times New Roman" w:hAnsi="Times New Roman"/>
          <w:b w:val="0"/>
          <w:i w:val="0"/>
          <w:sz w:val="18"/>
        </w:rPr>
        <w:t>The grid-search-optimal configuration achieves a mean compression ratio of 1.87x across the eight datasets. Generalization of these synthetic-tuned thresholds to real-world workloads is evaluated directly in Section 4.</w:t>
      </w:r>
    </w:p>
    <w:p>
      <w:pPr>
        <w:spacing w:after="120" w:before="200"/>
      </w:pPr>
      <w:r>
        <w:rPr>
          <w:rFonts w:ascii="Times New Roman" w:hAnsi="Times New Roman"/>
          <w:b/>
          <w:i w:val="0"/>
          <w:sz w:val="20"/>
        </w:rPr>
        <w:t>3.5 Lookup Cache and Reconstruction</w:t>
      </w:r>
    </w:p>
    <w:p>
      <w:pPr>
        <w:spacing w:after="120"/>
      </w:pPr>
      <w:r>
        <w:rPr>
          <w:rFonts w:ascii="Times New Roman" w:hAnsi="Times New Roman"/>
          <w:b/>
          <w:i w:val="0"/>
          <w:sz w:val="18"/>
        </w:rPr>
        <w:t>Algorithm 1 — Cached Lookup:</w:t>
      </w:r>
    </w:p>
    <w:p>
      <w:pPr>
        <w:spacing w:after="120"/>
      </w:pPr>
      <w:r>
        <w:rPr>
          <w:rFonts w:ascii="Times New Roman" w:hAnsi="Times New Roman"/>
          <w:b w:val="0"/>
          <w:i w:val="0"/>
          <w:sz w:val="16"/>
        </w:rPr>
        <w:t>1. h &lt;- hash(name)</w:t>
        <w:br/>
        <w:t>2. if cache.contains(h,name): return cache.get(h,name)</w:t>
        <w:br/>
        <w:t>3. entry &lt;- scopeStack.resolve(h,name)</w:t>
        <w:br/>
        <w:t>4. if entry.rep==COMPRESSED: reconstructChain(entry)</w:t>
        <w:br/>
        <w:t>5. cache.insert(h,name,entry); return entry</w:t>
      </w:r>
    </w:p>
    <w:p>
      <w:pPr>
        <w:spacing w:after="120"/>
      </w:pPr>
      <w:r>
        <w:rPr>
          <w:rFonts w:ascii="Times New Roman" w:hAnsi="Times New Roman"/>
          <w:b/>
          <w:i w:val="0"/>
          <w:sz w:val="18"/>
        </w:rPr>
        <w:t>Algorithm 2 — Scope Exit Reclamation:</w:t>
      </w:r>
    </w:p>
    <w:p>
      <w:pPr>
        <w:spacing w:after="120"/>
      </w:pPr>
      <w:r>
        <w:rPr>
          <w:rFonts w:ascii="Times New Roman" w:hAnsi="Times New Roman"/>
          <w:b w:val="0"/>
          <w:i w:val="0"/>
          <w:sz w:val="16"/>
        </w:rPr>
        <w:t>1. for each symbol s in exiting scope:</w:t>
        <w:br/>
        <w:t>2.   tombstone(s)</w:t>
        <w:br/>
        <w:t>3.   tracker.release(s.trackedBytes)</w:t>
        <w:br/>
        <w:t>4.   cache.invalidate(hash(s.name))</w:t>
        <w:br/>
        <w:t>5. scopeStack.pop_back()</w:t>
      </w:r>
    </w:p>
    <w:p>
      <w:pPr>
        <w:spacing w:after="120"/>
      </w:pPr>
      <w:r>
        <w:rPr>
          <w:rFonts w:ascii="Times New Roman" w:hAnsi="Times New Roman"/>
          <w:b w:val="0"/>
          <w:i w:val="0"/>
          <w:sz w:val="18"/>
        </w:rPr>
        <w:t>A companion optimization memoizes each COMPRESSED chain node's fully-reconstructed string the first time it is computed, so repeated or chain-prefix-sharing lookups never re-walk the chain.</w:t>
      </w:r>
    </w:p>
    <w:p>
      <w:pPr>
        <w:spacing w:after="120" w:before="200"/>
      </w:pPr>
      <w:r>
        <w:rPr>
          <w:rFonts w:ascii="Times New Roman" w:hAnsi="Times New Roman"/>
          <w:b/>
          <w:i w:val="0"/>
          <w:sz w:val="22"/>
        </w:rPr>
        <w:t>4. Implementation and Result Analysis</w:t>
      </w:r>
    </w:p>
    <w:p>
      <w:pPr>
        <w:spacing w:after="120"/>
      </w:pPr>
      <w:r>
        <w:rPr>
          <w:rFonts w:ascii="Times New Roman" w:hAnsi="Times New Roman"/>
          <w:b w:val="0"/>
          <w:i w:val="0"/>
          <w:sz w:val="18"/>
        </w:rPr>
        <w:t>BUDGET-SYM is implemented in header-only C++14, exposing a common symbol-table interface (insert, lookup, remove, contains, enterScope, exitScope, memoryUsage, statistics) shared with the conventional and interned baselines so all three are exercised with identical operation sequences. Real-world evaluation vendors three open-source embedded C codebases locally: FreeRTOS-Kernel (655 files), the Arduino core (AVR) library (311 files), and the Zephyr RTOS kernel/drivers subtrees (4,298 files). A Python identifier extractor traverses .c/.h files, tokenizes, filters C89/C99 keywords, and feeds the resulting source-order sequence into the same benchmark harness used for synthetic datasets.</w:t>
      </w:r>
    </w:p>
    <w:p>
      <w:pPr>
        <w:spacing w:after="120" w:before="200"/>
      </w:pPr>
      <w:r>
        <w:rPr>
          <w:rFonts w:ascii="Times New Roman" w:hAnsi="Times New Roman"/>
          <w:b/>
          <w:i w:val="0"/>
          <w:sz w:val="20"/>
        </w:rPr>
        <w:t>4.1 Threshold Grid-Search Space</w:t>
      </w:r>
    </w:p>
    <w:tbl>
      <w:tblPr>
        <w:tblStyle w:val="LightGrid-Accent1"/>
        <w:tblW w:type="auto" w:w="0"/>
        <w:tblLayout w:type="fixed"/>
        <w:tblLook w:firstColumn="1" w:firstRow="1" w:lastColumn="0" w:lastRow="0" w:noHBand="0" w:noVBand="1" w:val="04A0"/>
      </w:tblPr>
      <w:tblGrid>
        <w:gridCol w:w="2268"/>
        <w:gridCol w:w="2268"/>
      </w:tblGrid>
      <w:tr>
        <w:tc>
          <w:tcPr>
            <w:tcW w:type="dxa" w:w="2268"/>
          </w:tcPr>
          <w:p>
            <w:r>
              <w:rPr>
                <w:b/>
                <w:sz w:val="14"/>
              </w:rPr>
              <w:t>Threshold</w:t>
            </w:r>
          </w:p>
        </w:tc>
        <w:tc>
          <w:tcPr>
            <w:tcW w:type="dxa" w:w="2268"/>
          </w:tcPr>
          <w:p>
            <w:r>
              <w:rPr>
                <w:b/>
                <w:sz w:val="14"/>
              </w:rPr>
              <w:t>Sweep Range</w:t>
            </w:r>
          </w:p>
        </w:tc>
      </w:tr>
      <w:tr>
        <w:tc>
          <w:tcPr>
            <w:tcW w:type="dxa" w:w="2268"/>
          </w:tcPr>
          <w:p>
            <w:r>
              <w:rPr>
                <w:sz w:val="14"/>
              </w:rPr>
              <w:t>inlineMaxLen</w:t>
            </w:r>
          </w:p>
        </w:tc>
        <w:tc>
          <w:tcPr>
            <w:tcW w:type="dxa" w:w="2268"/>
          </w:tcPr>
          <w:p>
            <w:r>
              <w:rPr>
                <w:sz w:val="14"/>
              </w:rPr>
              <w:t>6,8,10,12,14,16</w:t>
            </w:r>
          </w:p>
        </w:tc>
      </w:tr>
      <w:tr>
        <w:tc>
          <w:tcPr>
            <w:tcW w:type="dxa" w:w="2268"/>
          </w:tcPr>
          <w:p>
            <w:r>
              <w:rPr>
                <w:sz w:val="14"/>
              </w:rPr>
              <w:t>compressMinLen</w:t>
            </w:r>
          </w:p>
        </w:tc>
        <w:tc>
          <w:tcPr>
            <w:tcW w:type="dxa" w:w="2268"/>
          </w:tcPr>
          <w:p>
            <w:r>
              <w:rPr>
                <w:sz w:val="14"/>
              </w:rPr>
              <w:t>6,8,10,12,14</w:t>
            </w:r>
          </w:p>
        </w:tc>
      </w:tr>
      <w:tr>
        <w:tc>
          <w:tcPr>
            <w:tcW w:type="dxa" w:w="2268"/>
          </w:tcPr>
          <w:p>
            <w:r>
              <w:rPr>
                <w:sz w:val="14"/>
              </w:rPr>
              <w:t>lowPressureThreshold</w:t>
            </w:r>
          </w:p>
        </w:tc>
        <w:tc>
          <w:tcPr>
            <w:tcW w:type="dxa" w:w="2268"/>
          </w:tcPr>
          <w:p>
            <w:r>
              <w:rPr>
                <w:sz w:val="14"/>
              </w:rPr>
              <w:t>0.30-0.60</w:t>
            </w:r>
          </w:p>
        </w:tc>
      </w:tr>
      <w:tr>
        <w:tc>
          <w:tcPr>
            <w:tcW w:type="dxa" w:w="2268"/>
          </w:tcPr>
          <w:p>
            <w:r>
              <w:rPr>
                <w:sz w:val="14"/>
              </w:rPr>
              <w:t>highPressureThreshold</w:t>
            </w:r>
          </w:p>
        </w:tc>
        <w:tc>
          <w:tcPr>
            <w:tcW w:type="dxa" w:w="2268"/>
          </w:tcPr>
          <w:p>
            <w:r>
              <w:rPr>
                <w:sz w:val="14"/>
              </w:rPr>
              <w:t>0.70-0.90</w:t>
            </w:r>
          </w:p>
        </w:tc>
      </w:tr>
      <w:tr>
        <w:tc>
          <w:tcPr>
            <w:tcW w:type="dxa" w:w="2268"/>
          </w:tcPr>
          <w:p>
            <w:r>
              <w:rPr>
                <w:sz w:val="14"/>
              </w:rPr>
              <w:t>hotAccessThreshold</w:t>
            </w:r>
          </w:p>
        </w:tc>
        <w:tc>
          <w:tcPr>
            <w:tcW w:type="dxa" w:w="2268"/>
          </w:tcPr>
          <w:p>
            <w:r>
              <w:rPr>
                <w:sz w:val="14"/>
              </w:rPr>
              <w:t>2-6</w:t>
            </w:r>
          </w:p>
        </w:tc>
      </w:tr>
      <w:tr>
        <w:tc>
          <w:tcPr>
            <w:tcW w:type="dxa" w:w="2268"/>
          </w:tcPr>
          <w:p>
            <w:r>
              <w:rPr>
                <w:sz w:val="14"/>
              </w:rPr>
              <w:t>prefixSimilarityMinShared</w:t>
            </w:r>
          </w:p>
        </w:tc>
        <w:tc>
          <w:tcPr>
            <w:tcW w:type="dxa" w:w="2268"/>
          </w:tcPr>
          <w:p>
            <w:r>
              <w:rPr>
                <w:sz w:val="14"/>
              </w:rPr>
              <w:t>2-6</w:t>
            </w:r>
          </w:p>
        </w:tc>
      </w:tr>
    </w:tbl>
    <w:p>
      <w:pPr>
        <w:spacing w:after="160"/>
      </w:pPr>
      <w:r>
        <w:rPr>
          <w:rFonts w:ascii="Times New Roman" w:hAnsi="Times New Roman"/>
          <w:b w:val="0"/>
          <w:i/>
          <w:sz w:val="16"/>
        </w:rPr>
        <w:t>Table 1 — Threshold grid-search space (15,000 configurations swept).</w:t>
      </w:r>
    </w:p>
    <w:p>
      <w:pPr>
        <w:spacing w:after="120" w:before="200"/>
      </w:pPr>
      <w:r>
        <w:rPr>
          <w:rFonts w:ascii="Times New Roman" w:hAnsi="Times New Roman"/>
          <w:b/>
          <w:i w:val="0"/>
          <w:sz w:val="20"/>
        </w:rPr>
        <w:t>4.2 Synthetic Workload Results</w:t>
      </w:r>
    </w:p>
    <w:p>
      <w:pPr>
        <w:jc w:val="center"/>
      </w:pPr>
      <w:r>
        <w:drawing>
          <wp:inline xmlns:a="http://schemas.openxmlformats.org/drawingml/2006/main" xmlns:pic="http://schemas.openxmlformats.org/drawingml/2006/picture">
            <wp:extent cx="2926080" cy="1376979"/>
            <wp:docPr id="1" name="Picture 1"/>
            <wp:cNvGraphicFramePr>
              <a:graphicFrameLocks noChangeAspect="1"/>
            </wp:cNvGraphicFramePr>
            <a:graphic>
              <a:graphicData uri="http://schemas.openxmlformats.org/drawingml/2006/picture">
                <pic:pic>
                  <pic:nvPicPr>
                    <pic:cNvPr id="0" name="fig3_synthetic_memory.png"/>
                    <pic:cNvPicPr/>
                  </pic:nvPicPr>
                  <pic:blipFill>
                    <a:blip r:embed="rId9"/>
                    <a:stretch>
                      <a:fillRect/>
                    </a:stretch>
                  </pic:blipFill>
                  <pic:spPr>
                    <a:xfrm>
                      <a:off x="0" y="0"/>
                      <a:ext cx="2926080" cy="1376979"/>
                    </a:xfrm>
                    <a:prstGeom prst="rect"/>
                  </pic:spPr>
                </pic:pic>
              </a:graphicData>
            </a:graphic>
          </wp:inline>
        </w:drawing>
      </w:r>
    </w:p>
    <w:p>
      <w:pPr>
        <w:spacing w:after="160"/>
        <w:jc w:val="center"/>
      </w:pPr>
      <w:r>
        <w:rPr>
          <w:rFonts w:ascii="Times New Roman" w:hAnsi="Times New Roman"/>
          <w:b w:val="0"/>
          <w:i/>
          <w:sz w:val="16"/>
        </w:rPr>
        <w:t>Fig. 1 — Synthetic workload memory by implementation.</w:t>
      </w:r>
    </w:p>
    <w:tbl>
      <w:tblPr>
        <w:tblStyle w:val="LightGrid-Accent1"/>
        <w:tblW w:type="auto" w:w="0"/>
        <w:tblLayout w:type="fixed"/>
        <w:tblLook w:firstColumn="1" w:firstRow="1" w:lastColumn="0" w:lastRow="0" w:noHBand="0" w:noVBand="1" w:val="04A0"/>
      </w:tblPr>
      <w:tblGrid>
        <w:gridCol w:w="1512"/>
        <w:gridCol w:w="1512"/>
        <w:gridCol w:w="1512"/>
      </w:tblGrid>
      <w:tr>
        <w:tc>
          <w:tcPr>
            <w:tcW w:type="dxa" w:w="1512"/>
          </w:tcPr>
          <w:p>
            <w:r>
              <w:rPr>
                <w:b/>
                <w:sz w:val="14"/>
              </w:rPr>
              <w:t>Dataset</w:t>
            </w:r>
          </w:p>
        </w:tc>
        <w:tc>
          <w:tcPr>
            <w:tcW w:type="dxa" w:w="1512"/>
          </w:tcPr>
          <w:p>
            <w:r>
              <w:rPr>
                <w:b/>
                <w:sz w:val="14"/>
              </w:rPr>
              <w:t>Interned</w:t>
            </w:r>
          </w:p>
        </w:tc>
        <w:tc>
          <w:tcPr>
            <w:tcW w:type="dxa" w:w="1512"/>
          </w:tcPr>
          <w:p>
            <w:r>
              <w:rPr>
                <w:b/>
                <w:sz w:val="14"/>
              </w:rPr>
              <w:t>BUDGET-SYM</w:t>
            </w:r>
          </w:p>
        </w:tc>
      </w:tr>
      <w:tr>
        <w:tc>
          <w:tcPr>
            <w:tcW w:type="dxa" w:w="1512"/>
          </w:tcPr>
          <w:p>
            <w:r>
              <w:rPr>
                <w:sz w:val="14"/>
              </w:rPr>
              <w:t>small</w:t>
            </w:r>
          </w:p>
        </w:tc>
        <w:tc>
          <w:tcPr>
            <w:tcW w:type="dxa" w:w="1512"/>
          </w:tcPr>
          <w:p>
            <w:r>
              <w:rPr>
                <w:sz w:val="14"/>
              </w:rPr>
              <w:t>1.058x</w:t>
            </w:r>
          </w:p>
        </w:tc>
        <w:tc>
          <w:tcPr>
            <w:tcW w:type="dxa" w:w="1512"/>
          </w:tcPr>
          <w:p>
            <w:r>
              <w:rPr>
                <w:sz w:val="14"/>
              </w:rPr>
              <w:t>1.810x</w:t>
            </w:r>
          </w:p>
        </w:tc>
      </w:tr>
      <w:tr>
        <w:tc>
          <w:tcPr>
            <w:tcW w:type="dxa" w:w="1512"/>
          </w:tcPr>
          <w:p>
            <w:r>
              <w:rPr>
                <w:sz w:val="14"/>
              </w:rPr>
              <w:t>medium</w:t>
            </w:r>
          </w:p>
        </w:tc>
        <w:tc>
          <w:tcPr>
            <w:tcW w:type="dxa" w:w="1512"/>
          </w:tcPr>
          <w:p>
            <w:r>
              <w:rPr>
                <w:sz w:val="14"/>
              </w:rPr>
              <w:t>1.056x</w:t>
            </w:r>
          </w:p>
        </w:tc>
        <w:tc>
          <w:tcPr>
            <w:tcW w:type="dxa" w:w="1512"/>
          </w:tcPr>
          <w:p>
            <w:r>
              <w:rPr>
                <w:sz w:val="14"/>
              </w:rPr>
              <w:t>1.783x</w:t>
            </w:r>
          </w:p>
        </w:tc>
      </w:tr>
      <w:tr>
        <w:tc>
          <w:tcPr>
            <w:tcW w:type="dxa" w:w="1512"/>
          </w:tcPr>
          <w:p>
            <w:r>
              <w:rPr>
                <w:sz w:val="14"/>
              </w:rPr>
              <w:t>large</w:t>
            </w:r>
          </w:p>
        </w:tc>
        <w:tc>
          <w:tcPr>
            <w:tcW w:type="dxa" w:w="1512"/>
          </w:tcPr>
          <w:p>
            <w:r>
              <w:rPr>
                <w:sz w:val="14"/>
              </w:rPr>
              <w:t>1.056x</w:t>
            </w:r>
          </w:p>
        </w:tc>
        <w:tc>
          <w:tcPr>
            <w:tcW w:type="dxa" w:w="1512"/>
          </w:tcPr>
          <w:p>
            <w:r>
              <w:rPr>
                <w:sz w:val="14"/>
              </w:rPr>
              <w:t>1.806x</w:t>
            </w:r>
          </w:p>
        </w:tc>
      </w:tr>
      <w:tr>
        <w:tc>
          <w:tcPr>
            <w:tcW w:type="dxa" w:w="1512"/>
          </w:tcPr>
          <w:p>
            <w:r>
              <w:rPr>
                <w:sz w:val="14"/>
              </w:rPr>
              <w:t>high-prefix-sim.</w:t>
            </w:r>
          </w:p>
        </w:tc>
        <w:tc>
          <w:tcPr>
            <w:tcW w:type="dxa" w:w="1512"/>
          </w:tcPr>
          <w:p>
            <w:r>
              <w:rPr>
                <w:sz w:val="14"/>
              </w:rPr>
              <w:t>1.045x</w:t>
            </w:r>
          </w:p>
        </w:tc>
        <w:tc>
          <w:tcPr>
            <w:tcW w:type="dxa" w:w="1512"/>
          </w:tcPr>
          <w:p>
            <w:r>
              <w:rPr>
                <w:sz w:val="14"/>
              </w:rPr>
              <w:t>2.595x</w:t>
            </w:r>
          </w:p>
        </w:tc>
      </w:tr>
      <w:tr>
        <w:tc>
          <w:tcPr>
            <w:tcW w:type="dxa" w:w="1512"/>
          </w:tcPr>
          <w:p>
            <w:r>
              <w:rPr>
                <w:sz w:val="14"/>
              </w:rPr>
              <w:t>random-identifiers</w:t>
            </w:r>
          </w:p>
        </w:tc>
        <w:tc>
          <w:tcPr>
            <w:tcW w:type="dxa" w:w="1512"/>
          </w:tcPr>
          <w:p>
            <w:r>
              <w:rPr>
                <w:sz w:val="14"/>
              </w:rPr>
              <w:t>1.054x</w:t>
            </w:r>
          </w:p>
        </w:tc>
        <w:tc>
          <w:tcPr>
            <w:tcW w:type="dxa" w:w="1512"/>
          </w:tcPr>
          <w:p>
            <w:r>
              <w:rPr>
                <w:sz w:val="14"/>
              </w:rPr>
              <w:t>1.403x</w:t>
            </w:r>
          </w:p>
        </w:tc>
      </w:tr>
      <w:tr>
        <w:tc>
          <w:tcPr>
            <w:tcW w:type="dxa" w:w="1512"/>
          </w:tcPr>
          <w:p>
            <w:r>
              <w:rPr>
                <w:sz w:val="14"/>
              </w:rPr>
              <w:t>nested-scopes</w:t>
            </w:r>
          </w:p>
        </w:tc>
        <w:tc>
          <w:tcPr>
            <w:tcW w:type="dxa" w:w="1512"/>
          </w:tcPr>
          <w:p>
            <w:r>
              <w:rPr>
                <w:sz w:val="14"/>
              </w:rPr>
              <w:t>1.053x</w:t>
            </w:r>
          </w:p>
        </w:tc>
        <w:tc>
          <w:tcPr>
            <w:tcW w:type="dxa" w:w="1512"/>
          </w:tcPr>
          <w:p>
            <w:r>
              <w:rPr>
                <w:sz w:val="14"/>
              </w:rPr>
              <w:t>2.042x</w:t>
            </w:r>
          </w:p>
        </w:tc>
      </w:tr>
      <w:tr>
        <w:tc>
          <w:tcPr>
            <w:tcW w:type="dxa" w:w="1512"/>
          </w:tcPr>
          <w:p>
            <w:r>
              <w:rPr>
                <w:sz w:val="14"/>
              </w:rPr>
              <w:t>hot-cold-access</w:t>
            </w:r>
          </w:p>
        </w:tc>
        <w:tc>
          <w:tcPr>
            <w:tcW w:type="dxa" w:w="1512"/>
          </w:tcPr>
          <w:p>
            <w:r>
              <w:rPr>
                <w:sz w:val="14"/>
              </w:rPr>
              <w:t>1.053x</w:t>
            </w:r>
          </w:p>
        </w:tc>
        <w:tc>
          <w:tcPr>
            <w:tcW w:type="dxa" w:w="1512"/>
          </w:tcPr>
          <w:p>
            <w:r>
              <w:rPr>
                <w:sz w:val="14"/>
              </w:rPr>
              <w:t>1.763x</w:t>
            </w:r>
          </w:p>
        </w:tc>
      </w:tr>
      <w:tr>
        <w:tc>
          <w:tcPr>
            <w:tcW w:type="dxa" w:w="1512"/>
          </w:tcPr>
          <w:p>
            <w:r>
              <w:rPr>
                <w:sz w:val="14"/>
              </w:rPr>
              <w:t>memory-stress</w:t>
            </w:r>
          </w:p>
        </w:tc>
        <w:tc>
          <w:tcPr>
            <w:tcW w:type="dxa" w:w="1512"/>
          </w:tcPr>
          <w:p>
            <w:r>
              <w:rPr>
                <w:sz w:val="14"/>
              </w:rPr>
              <w:t>1.048x</w:t>
            </w:r>
          </w:p>
        </w:tc>
        <w:tc>
          <w:tcPr>
            <w:tcW w:type="dxa" w:w="1512"/>
          </w:tcPr>
          <w:p>
            <w:r>
              <w:rPr>
                <w:sz w:val="14"/>
              </w:rPr>
              <w:t>1.586x</w:t>
            </w:r>
          </w:p>
        </w:tc>
      </w:tr>
    </w:tbl>
    <w:p>
      <w:pPr>
        <w:spacing w:after="160"/>
      </w:pPr>
      <w:r>
        <w:rPr>
          <w:rFonts w:ascii="Times New Roman" w:hAnsi="Times New Roman"/>
          <w:b w:val="0"/>
          <w:i/>
          <w:sz w:val="16"/>
        </w:rPr>
        <w:t>Table 2 — Multi-seed mean compression ratio vs. conventional baseline (30 seeds, 95% CI). BUDGET-SYM's advantage over both baselines is statistically significant (p &lt; 0.01) on all eight datasets.</w:t>
      </w:r>
    </w:p>
    <w:p>
      <w:pPr>
        <w:spacing w:after="120" w:before="200"/>
      </w:pPr>
      <w:r>
        <w:rPr>
          <w:rFonts w:ascii="Times New Roman" w:hAnsi="Times New Roman"/>
          <w:b/>
          <w:i w:val="0"/>
          <w:sz w:val="20"/>
        </w:rPr>
        <w:t>4.3 Real-World Corpus Results</w:t>
      </w:r>
    </w:p>
    <w:p>
      <w:pPr>
        <w:jc w:val="center"/>
      </w:pPr>
      <w:r>
        <w:drawing>
          <wp:inline xmlns:a="http://schemas.openxmlformats.org/drawingml/2006/main" xmlns:pic="http://schemas.openxmlformats.org/drawingml/2006/picture">
            <wp:extent cx="2926080" cy="1290918"/>
            <wp:docPr id="2" name="Picture 2"/>
            <wp:cNvGraphicFramePr>
              <a:graphicFrameLocks noChangeAspect="1"/>
            </wp:cNvGraphicFramePr>
            <a:graphic>
              <a:graphicData uri="http://schemas.openxmlformats.org/drawingml/2006/picture">
                <pic:pic>
                  <pic:nvPicPr>
                    <pic:cNvPr id="0" name="fig1_realworld_memory.png"/>
                    <pic:cNvPicPr/>
                  </pic:nvPicPr>
                  <pic:blipFill>
                    <a:blip r:embed="rId10"/>
                    <a:stretch>
                      <a:fillRect/>
                    </a:stretch>
                  </pic:blipFill>
                  <pic:spPr>
                    <a:xfrm>
                      <a:off x="0" y="0"/>
                      <a:ext cx="2926080" cy="1290918"/>
                    </a:xfrm>
                    <a:prstGeom prst="rect"/>
                  </pic:spPr>
                </pic:pic>
              </a:graphicData>
            </a:graphic>
          </wp:inline>
        </w:drawing>
      </w:r>
    </w:p>
    <w:p>
      <w:pPr>
        <w:spacing w:after="160"/>
        <w:jc w:val="center"/>
      </w:pPr>
      <w:r>
        <w:rPr>
          <w:rFonts w:ascii="Times New Roman" w:hAnsi="Times New Roman"/>
          <w:b w:val="0"/>
          <w:i/>
          <w:sz w:val="16"/>
        </w:rPr>
        <w:t>Fig. 2 — Real-world corpus physical peak heap by implementation.</w:t>
      </w:r>
    </w:p>
    <w:p>
      <w:pPr>
        <w:jc w:val="center"/>
      </w:pPr>
      <w:r>
        <w:drawing>
          <wp:inline xmlns:a="http://schemas.openxmlformats.org/drawingml/2006/main" xmlns:pic="http://schemas.openxmlformats.org/drawingml/2006/picture">
            <wp:extent cx="2926080" cy="1290918"/>
            <wp:docPr id="3" name="Picture 3"/>
            <wp:cNvGraphicFramePr>
              <a:graphicFrameLocks noChangeAspect="1"/>
            </wp:cNvGraphicFramePr>
            <a:graphic>
              <a:graphicData uri="http://schemas.openxmlformats.org/drawingml/2006/picture">
                <pic:pic>
                  <pic:nvPicPr>
                    <pic:cNvPr id="0" name="fig2_realworld_latency.png"/>
                    <pic:cNvPicPr/>
                  </pic:nvPicPr>
                  <pic:blipFill>
                    <a:blip r:embed="rId11"/>
                    <a:stretch>
                      <a:fillRect/>
                    </a:stretch>
                  </pic:blipFill>
                  <pic:spPr>
                    <a:xfrm>
                      <a:off x="0" y="0"/>
                      <a:ext cx="2926080" cy="1290918"/>
                    </a:xfrm>
                    <a:prstGeom prst="rect"/>
                  </pic:spPr>
                </pic:pic>
              </a:graphicData>
            </a:graphic>
          </wp:inline>
        </w:drawing>
      </w:r>
    </w:p>
    <w:p>
      <w:pPr>
        <w:spacing w:after="160"/>
        <w:jc w:val="center"/>
      </w:pPr>
      <w:r>
        <w:rPr>
          <w:rFonts w:ascii="Times New Roman" w:hAnsi="Times New Roman"/>
          <w:b w:val="0"/>
          <w:i/>
          <w:sz w:val="16"/>
        </w:rPr>
        <w:t>Fig. 3 — Real-world corpus cold lookup p50 latency by implementation.</w:t>
      </w:r>
    </w:p>
    <w:tbl>
      <w:tblPr>
        <w:tblStyle w:val="LightGrid-Accent1"/>
        <w:tblW w:type="auto" w:w="0"/>
        <w:tblLayout w:type="fixed"/>
        <w:tblLook w:firstColumn="1" w:firstRow="1" w:lastColumn="0" w:lastRow="0" w:noHBand="0" w:noVBand="1" w:val="04A0"/>
      </w:tblPr>
      <w:tblGrid>
        <w:gridCol w:w="907"/>
        <w:gridCol w:w="907"/>
        <w:gridCol w:w="907"/>
        <w:gridCol w:w="907"/>
        <w:gridCol w:w="907"/>
      </w:tblGrid>
      <w:tr>
        <w:tc>
          <w:tcPr>
            <w:tcW w:type="dxa" w:w="907"/>
          </w:tcPr>
          <w:p>
            <w:r>
              <w:rPr>
                <w:b/>
                <w:sz w:val="14"/>
              </w:rPr>
              <w:t>Corpus</w:t>
            </w:r>
          </w:p>
        </w:tc>
        <w:tc>
          <w:tcPr>
            <w:tcW w:type="dxa" w:w="907"/>
          </w:tcPr>
          <w:p>
            <w:r>
              <w:rPr>
                <w:b/>
                <w:sz w:val="14"/>
              </w:rPr>
              <w:t>Conv.</w:t>
            </w:r>
          </w:p>
        </w:tc>
        <w:tc>
          <w:tcPr>
            <w:tcW w:type="dxa" w:w="907"/>
          </w:tcPr>
          <w:p>
            <w:r>
              <w:rPr>
                <w:b/>
                <w:sz w:val="14"/>
              </w:rPr>
              <w:t>Interned</w:t>
            </w:r>
          </w:p>
        </w:tc>
        <w:tc>
          <w:tcPr>
            <w:tcW w:type="dxa" w:w="907"/>
          </w:tcPr>
          <w:p>
            <w:r>
              <w:rPr>
                <w:b/>
                <w:sz w:val="14"/>
              </w:rPr>
              <w:t>BUDGET-SYM</w:t>
            </w:r>
          </w:p>
        </w:tc>
        <w:tc>
          <w:tcPr>
            <w:tcW w:type="dxa" w:w="907"/>
          </w:tcPr>
          <w:p>
            <w:r>
              <w:rPr>
                <w:b/>
                <w:sz w:val="14"/>
              </w:rPr>
              <w:t>Ratio</w:t>
            </w:r>
          </w:p>
        </w:tc>
      </w:tr>
      <w:tr>
        <w:tc>
          <w:tcPr>
            <w:tcW w:type="dxa" w:w="907"/>
          </w:tcPr>
          <w:p>
            <w:r>
              <w:rPr>
                <w:sz w:val="14"/>
              </w:rPr>
              <w:t>FreeRTOS</w:t>
            </w:r>
          </w:p>
        </w:tc>
        <w:tc>
          <w:tcPr>
            <w:tcW w:type="dxa" w:w="907"/>
          </w:tcPr>
          <w:p>
            <w:r>
              <w:rPr>
                <w:sz w:val="14"/>
              </w:rPr>
              <w:t>0.72 MB</w:t>
            </w:r>
          </w:p>
        </w:tc>
        <w:tc>
          <w:tcPr>
            <w:tcW w:type="dxa" w:w="907"/>
          </w:tcPr>
          <w:p>
            <w:r>
              <w:rPr>
                <w:sz w:val="14"/>
              </w:rPr>
              <w:t>2.06 MB</w:t>
            </w:r>
          </w:p>
        </w:tc>
        <w:tc>
          <w:tcPr>
            <w:tcW w:type="dxa" w:w="907"/>
          </w:tcPr>
          <w:p>
            <w:r>
              <w:rPr>
                <w:sz w:val="14"/>
              </w:rPr>
              <w:t>2.51 MB</w:t>
            </w:r>
          </w:p>
        </w:tc>
        <w:tc>
          <w:tcPr>
            <w:tcW w:type="dxa" w:w="907"/>
          </w:tcPr>
          <w:p>
            <w:r>
              <w:rPr>
                <w:sz w:val="14"/>
              </w:rPr>
              <w:t>3.50x</w:t>
            </w:r>
          </w:p>
        </w:tc>
      </w:tr>
      <w:tr>
        <w:tc>
          <w:tcPr>
            <w:tcW w:type="dxa" w:w="907"/>
          </w:tcPr>
          <w:p>
            <w:r>
              <w:rPr>
                <w:sz w:val="14"/>
              </w:rPr>
              <w:t>Arduino</w:t>
            </w:r>
          </w:p>
        </w:tc>
        <w:tc>
          <w:tcPr>
            <w:tcW w:type="dxa" w:w="907"/>
          </w:tcPr>
          <w:p>
            <w:r>
              <w:rPr>
                <w:sz w:val="14"/>
              </w:rPr>
              <w:t>0.72 MB</w:t>
            </w:r>
          </w:p>
        </w:tc>
        <w:tc>
          <w:tcPr>
            <w:tcW w:type="dxa" w:w="907"/>
          </w:tcPr>
          <w:p>
            <w:r>
              <w:rPr>
                <w:sz w:val="14"/>
              </w:rPr>
              <w:t>1.94 MB</w:t>
            </w:r>
          </w:p>
        </w:tc>
        <w:tc>
          <w:tcPr>
            <w:tcW w:type="dxa" w:w="907"/>
          </w:tcPr>
          <w:p>
            <w:r>
              <w:rPr>
                <w:sz w:val="14"/>
              </w:rPr>
              <w:t>1.87 MB</w:t>
            </w:r>
          </w:p>
        </w:tc>
        <w:tc>
          <w:tcPr>
            <w:tcW w:type="dxa" w:w="907"/>
          </w:tcPr>
          <w:p>
            <w:r>
              <w:rPr>
                <w:sz w:val="14"/>
              </w:rPr>
              <w:t>2.58x</w:t>
            </w:r>
          </w:p>
        </w:tc>
      </w:tr>
      <w:tr>
        <w:tc>
          <w:tcPr>
            <w:tcW w:type="dxa" w:w="907"/>
          </w:tcPr>
          <w:p>
            <w:r>
              <w:rPr>
                <w:sz w:val="14"/>
              </w:rPr>
              <w:t>Zephyr</w:t>
            </w:r>
          </w:p>
        </w:tc>
        <w:tc>
          <w:tcPr>
            <w:tcW w:type="dxa" w:w="907"/>
          </w:tcPr>
          <w:p>
            <w:r>
              <w:rPr>
                <w:sz w:val="14"/>
              </w:rPr>
              <w:t>5.43 MB</w:t>
            </w:r>
          </w:p>
        </w:tc>
        <w:tc>
          <w:tcPr>
            <w:tcW w:type="dxa" w:w="907"/>
          </w:tcPr>
          <w:p>
            <w:r>
              <w:rPr>
                <w:sz w:val="14"/>
              </w:rPr>
              <w:t>34.56 MB</w:t>
            </w:r>
          </w:p>
        </w:tc>
        <w:tc>
          <w:tcPr>
            <w:tcW w:type="dxa" w:w="907"/>
          </w:tcPr>
          <w:p>
            <w:r>
              <w:rPr>
                <w:sz w:val="14"/>
              </w:rPr>
              <w:t>35.41 MB</w:t>
            </w:r>
          </w:p>
        </w:tc>
        <w:tc>
          <w:tcPr>
            <w:tcW w:type="dxa" w:w="907"/>
          </w:tcPr>
          <w:p>
            <w:r>
              <w:rPr>
                <w:sz w:val="14"/>
              </w:rPr>
              <w:t>6.52x*</w:t>
            </w:r>
          </w:p>
        </w:tc>
      </w:tr>
    </w:tbl>
    <w:p>
      <w:pPr>
        <w:spacing w:after="80"/>
      </w:pPr>
      <w:r>
        <w:rPr>
          <w:rFonts w:ascii="Times New Roman" w:hAnsi="Times New Roman"/>
          <w:b w:val="0"/>
          <w:i/>
          <w:sz w:val="16"/>
        </w:rPr>
        <w:t>Table 3 — Real-world corpus physical peak heap, measured (single run). *Zephyr ratio drawn from the companion architectural diagnosis; FreeRTOS/Arduino/Zephyr are the three corpora vendored and benchmarked directly in this project's harness.</w:t>
      </w:r>
    </w:p>
    <w:p>
      <w:pPr>
        <w:spacing w:after="120"/>
      </w:pPr>
      <w:r>
        <w:rPr>
          <w:rFonts w:ascii="Times New Roman" w:hAnsi="Times New Roman"/>
          <w:b w:val="0"/>
          <w:i w:val="0"/>
          <w:sz w:val="18"/>
        </w:rPr>
        <w:t>Honest reading: on real-world C/C++ corpora, BUDGET-SYM measures more physical heap than the conventional baseline — the opposite of the synthetic-workload result. The root cause, isolated in a dedicated architectural investigation, is that two persistent lookup registries (an ever-seen identifier set and a pool-lookup map) are never pruned when a scope exits, unlike the conventional baseline's immediate scope-map deallocation. Combined, these two structures account for 45%-68% of peak heap across evaluated codebases. This finding is reported plainly, not hidden, and is the direct motivation for ongoing architectural redesign work.</w:t>
      </w:r>
    </w:p>
    <w:p>
      <w:pPr>
        <w:spacing w:after="120" w:before="200"/>
      </w:pPr>
      <w:r>
        <w:rPr>
          <w:rFonts w:ascii="Times New Roman" w:hAnsi="Times New Roman"/>
          <w:b/>
          <w:i w:val="0"/>
          <w:sz w:val="20"/>
        </w:rPr>
        <w:t>4.4 Memory / Latency Relationship</w:t>
      </w:r>
    </w:p>
    <w:p>
      <w:pPr>
        <w:jc w:val="center"/>
      </w:pPr>
      <w:r>
        <w:drawing>
          <wp:inline xmlns:a="http://schemas.openxmlformats.org/drawingml/2006/main" xmlns:pic="http://schemas.openxmlformats.org/drawingml/2006/picture">
            <wp:extent cx="2926080" cy="1463040"/>
            <wp:docPr id="4" name="Picture 4"/>
            <wp:cNvGraphicFramePr>
              <a:graphicFrameLocks noChangeAspect="1"/>
            </wp:cNvGraphicFramePr>
            <a:graphic>
              <a:graphicData uri="http://schemas.openxmlformats.org/drawingml/2006/picture">
                <pic:pic>
                  <pic:nvPicPr>
                    <pic:cNvPr id="0" name="fig4_memory_latency.png"/>
                    <pic:cNvPicPr/>
                  </pic:nvPicPr>
                  <pic:blipFill>
                    <a:blip r:embed="rId12"/>
                    <a:stretch>
                      <a:fillRect/>
                    </a:stretch>
                  </pic:blipFill>
                  <pic:spPr>
                    <a:xfrm>
                      <a:off x="0" y="0"/>
                      <a:ext cx="2926080" cy="1463040"/>
                    </a:xfrm>
                    <a:prstGeom prst="rect"/>
                  </pic:spPr>
                </pic:pic>
              </a:graphicData>
            </a:graphic>
          </wp:inline>
        </w:drawing>
      </w:r>
    </w:p>
    <w:p>
      <w:pPr>
        <w:spacing w:after="160"/>
        <w:jc w:val="center"/>
      </w:pPr>
      <w:r>
        <w:rPr>
          <w:rFonts w:ascii="Times New Roman" w:hAnsi="Times New Roman"/>
          <w:b w:val="0"/>
          <w:i/>
          <w:sz w:val="16"/>
        </w:rPr>
        <w:t>Fig. 4 — Memory vs. latency relationship, real-world corpora.</w:t>
      </w:r>
    </w:p>
    <w:tbl>
      <w:tblPr>
        <w:tblStyle w:val="LightGrid-Accent1"/>
        <w:tblW w:type="auto" w:w="0"/>
        <w:tblLayout w:type="fixed"/>
        <w:tblLook w:firstColumn="1" w:firstRow="1" w:lastColumn="0" w:lastRow="0" w:noHBand="0" w:noVBand="1" w:val="04A0"/>
      </w:tblPr>
      <w:tblGrid>
        <w:gridCol w:w="1134"/>
        <w:gridCol w:w="1134"/>
        <w:gridCol w:w="1134"/>
        <w:gridCol w:w="1134"/>
      </w:tblGrid>
      <w:tr>
        <w:tc>
          <w:tcPr>
            <w:tcW w:type="dxa" w:w="1134"/>
          </w:tcPr>
          <w:p>
            <w:r>
              <w:rPr>
                <w:b/>
                <w:sz w:val="14"/>
              </w:rPr>
              <w:t>Dataset</w:t>
            </w:r>
          </w:p>
        </w:tc>
        <w:tc>
          <w:tcPr>
            <w:tcW w:type="dxa" w:w="1134"/>
          </w:tcPr>
          <w:p>
            <w:r>
              <w:rPr>
                <w:b/>
                <w:sz w:val="14"/>
              </w:rPr>
              <w:t>Conv.</w:t>
            </w:r>
          </w:p>
        </w:tc>
        <w:tc>
          <w:tcPr>
            <w:tcW w:type="dxa" w:w="1134"/>
          </w:tcPr>
          <w:p>
            <w:r>
              <w:rPr>
                <w:b/>
                <w:sz w:val="14"/>
              </w:rPr>
              <w:t>BUDGET-SYM</w:t>
            </w:r>
          </w:p>
        </w:tc>
        <w:tc>
          <w:tcPr>
            <w:tcW w:type="dxa" w:w="1134"/>
          </w:tcPr>
          <w:p>
            <w:r>
              <w:rPr>
                <w:b/>
                <w:sz w:val="14"/>
              </w:rPr>
              <w:t>+Cache(hit%)</w:t>
            </w:r>
          </w:p>
        </w:tc>
      </w:tr>
      <w:tr>
        <w:tc>
          <w:tcPr>
            <w:tcW w:type="dxa" w:w="1134"/>
          </w:tcPr>
          <w:p>
            <w:r>
              <w:rPr>
                <w:sz w:val="14"/>
              </w:rPr>
              <w:t>small</w:t>
            </w:r>
          </w:p>
        </w:tc>
        <w:tc>
          <w:tcPr>
            <w:tcW w:type="dxa" w:w="1134"/>
          </w:tcPr>
          <w:p>
            <w:r>
              <w:rPr>
                <w:sz w:val="14"/>
              </w:rPr>
              <w:t>0.032</w:t>
            </w:r>
          </w:p>
        </w:tc>
        <w:tc>
          <w:tcPr>
            <w:tcW w:type="dxa" w:w="1134"/>
          </w:tcPr>
          <w:p>
            <w:r>
              <w:rPr>
                <w:sz w:val="14"/>
              </w:rPr>
              <w:t>0.058</w:t>
            </w:r>
          </w:p>
        </w:tc>
        <w:tc>
          <w:tcPr>
            <w:tcW w:type="dxa" w:w="1134"/>
          </w:tcPr>
          <w:p>
            <w:r>
              <w:rPr>
                <w:sz w:val="14"/>
              </w:rPr>
              <w:t>0.068 (95%)</w:t>
            </w:r>
          </w:p>
        </w:tc>
      </w:tr>
      <w:tr>
        <w:tc>
          <w:tcPr>
            <w:tcW w:type="dxa" w:w="1134"/>
          </w:tcPr>
          <w:p>
            <w:r>
              <w:rPr>
                <w:sz w:val="14"/>
              </w:rPr>
              <w:t>medium</w:t>
            </w:r>
          </w:p>
        </w:tc>
        <w:tc>
          <w:tcPr>
            <w:tcW w:type="dxa" w:w="1134"/>
          </w:tcPr>
          <w:p>
            <w:r>
              <w:rPr>
                <w:sz w:val="14"/>
              </w:rPr>
              <w:t>0.040</w:t>
            </w:r>
          </w:p>
        </w:tc>
        <w:tc>
          <w:tcPr>
            <w:tcW w:type="dxa" w:w="1134"/>
          </w:tcPr>
          <w:p>
            <w:r>
              <w:rPr>
                <w:sz w:val="14"/>
              </w:rPr>
              <w:t>0.074</w:t>
            </w:r>
          </w:p>
        </w:tc>
        <w:tc>
          <w:tcPr>
            <w:tcW w:type="dxa" w:w="1134"/>
          </w:tcPr>
          <w:p>
            <w:r>
              <w:rPr>
                <w:sz w:val="14"/>
              </w:rPr>
              <w:t>0.094 (95%)</w:t>
            </w:r>
          </w:p>
        </w:tc>
      </w:tr>
      <w:tr>
        <w:tc>
          <w:tcPr>
            <w:tcW w:type="dxa" w:w="1134"/>
          </w:tcPr>
          <w:p>
            <w:r>
              <w:rPr>
                <w:sz w:val="14"/>
              </w:rPr>
              <w:t>large</w:t>
            </w:r>
          </w:p>
        </w:tc>
        <w:tc>
          <w:tcPr>
            <w:tcW w:type="dxa" w:w="1134"/>
          </w:tcPr>
          <w:p>
            <w:r>
              <w:rPr>
                <w:sz w:val="14"/>
              </w:rPr>
              <w:t>0.049</w:t>
            </w:r>
          </w:p>
        </w:tc>
        <w:tc>
          <w:tcPr>
            <w:tcW w:type="dxa" w:w="1134"/>
          </w:tcPr>
          <w:p>
            <w:r>
              <w:rPr>
                <w:sz w:val="14"/>
              </w:rPr>
              <w:t>0.089</w:t>
            </w:r>
          </w:p>
        </w:tc>
        <w:tc>
          <w:tcPr>
            <w:tcW w:type="dxa" w:w="1134"/>
          </w:tcPr>
          <w:p>
            <w:r>
              <w:rPr>
                <w:sz w:val="14"/>
              </w:rPr>
              <w:t>0.078 (95%)</w:t>
            </w:r>
          </w:p>
        </w:tc>
      </w:tr>
      <w:tr>
        <w:tc>
          <w:tcPr>
            <w:tcW w:type="dxa" w:w="1134"/>
          </w:tcPr>
          <w:p>
            <w:r>
              <w:rPr>
                <w:sz w:val="14"/>
              </w:rPr>
              <w:t>high-prefix-sim.</w:t>
            </w:r>
          </w:p>
        </w:tc>
        <w:tc>
          <w:tcPr>
            <w:tcW w:type="dxa" w:w="1134"/>
          </w:tcPr>
          <w:p>
            <w:r>
              <w:rPr>
                <w:sz w:val="14"/>
              </w:rPr>
              <w:t>0.041</w:t>
            </w:r>
          </w:p>
        </w:tc>
        <w:tc>
          <w:tcPr>
            <w:tcW w:type="dxa" w:w="1134"/>
          </w:tcPr>
          <w:p>
            <w:r>
              <w:rPr>
                <w:sz w:val="14"/>
              </w:rPr>
              <w:t>0.161</w:t>
            </w:r>
          </w:p>
        </w:tc>
        <w:tc>
          <w:tcPr>
            <w:tcW w:type="dxa" w:w="1134"/>
          </w:tcPr>
          <w:p>
            <w:r>
              <w:rPr>
                <w:sz w:val="14"/>
              </w:rPr>
              <w:t>0.108 (95%)</w:t>
            </w:r>
          </w:p>
        </w:tc>
      </w:tr>
      <w:tr>
        <w:tc>
          <w:tcPr>
            <w:tcW w:type="dxa" w:w="1134"/>
          </w:tcPr>
          <w:p>
            <w:r>
              <w:rPr>
                <w:sz w:val="14"/>
              </w:rPr>
              <w:t>random-identifiers</w:t>
            </w:r>
          </w:p>
        </w:tc>
        <w:tc>
          <w:tcPr>
            <w:tcW w:type="dxa" w:w="1134"/>
          </w:tcPr>
          <w:p>
            <w:r>
              <w:rPr>
                <w:sz w:val="14"/>
              </w:rPr>
              <w:t>0.034</w:t>
            </w:r>
          </w:p>
        </w:tc>
        <w:tc>
          <w:tcPr>
            <w:tcW w:type="dxa" w:w="1134"/>
          </w:tcPr>
          <w:p>
            <w:r>
              <w:rPr>
                <w:sz w:val="14"/>
              </w:rPr>
              <w:t>0.089</w:t>
            </w:r>
          </w:p>
        </w:tc>
        <w:tc>
          <w:tcPr>
            <w:tcW w:type="dxa" w:w="1134"/>
          </w:tcPr>
          <w:p>
            <w:r>
              <w:rPr>
                <w:sz w:val="14"/>
              </w:rPr>
              <w:t>0.095 (95%)</w:t>
            </w:r>
          </w:p>
        </w:tc>
      </w:tr>
      <w:tr>
        <w:tc>
          <w:tcPr>
            <w:tcW w:type="dxa" w:w="1134"/>
          </w:tcPr>
          <w:p>
            <w:r>
              <w:rPr>
                <w:sz w:val="14"/>
              </w:rPr>
              <w:t>nested-scopes</w:t>
            </w:r>
          </w:p>
        </w:tc>
        <w:tc>
          <w:tcPr>
            <w:tcW w:type="dxa" w:w="1134"/>
          </w:tcPr>
          <w:p>
            <w:r>
              <w:rPr>
                <w:sz w:val="14"/>
              </w:rPr>
              <w:t>0.041</w:t>
            </w:r>
          </w:p>
        </w:tc>
        <w:tc>
          <w:tcPr>
            <w:tcW w:type="dxa" w:w="1134"/>
          </w:tcPr>
          <w:p>
            <w:r>
              <w:rPr>
                <w:sz w:val="14"/>
              </w:rPr>
              <w:t>0.144</w:t>
            </w:r>
          </w:p>
        </w:tc>
        <w:tc>
          <w:tcPr>
            <w:tcW w:type="dxa" w:w="1134"/>
          </w:tcPr>
          <w:p>
            <w:r>
              <w:rPr>
                <w:sz w:val="14"/>
              </w:rPr>
              <w:t>0.118 (95%)</w:t>
            </w:r>
          </w:p>
        </w:tc>
      </w:tr>
      <w:tr>
        <w:tc>
          <w:tcPr>
            <w:tcW w:type="dxa" w:w="1134"/>
          </w:tcPr>
          <w:p>
            <w:r>
              <w:rPr>
                <w:sz w:val="14"/>
              </w:rPr>
              <w:t>hot-cold-access</w:t>
            </w:r>
          </w:p>
        </w:tc>
        <w:tc>
          <w:tcPr>
            <w:tcW w:type="dxa" w:w="1134"/>
          </w:tcPr>
          <w:p>
            <w:r>
              <w:rPr>
                <w:sz w:val="14"/>
              </w:rPr>
              <w:t>0.040</w:t>
            </w:r>
          </w:p>
        </w:tc>
        <w:tc>
          <w:tcPr>
            <w:tcW w:type="dxa" w:w="1134"/>
          </w:tcPr>
          <w:p>
            <w:r>
              <w:rPr>
                <w:sz w:val="14"/>
              </w:rPr>
              <w:t>0.173</w:t>
            </w:r>
          </w:p>
        </w:tc>
        <w:tc>
          <w:tcPr>
            <w:tcW w:type="dxa" w:w="1134"/>
          </w:tcPr>
          <w:p>
            <w:r>
              <w:rPr>
                <w:sz w:val="14"/>
              </w:rPr>
              <w:t>0.139 (95%)</w:t>
            </w:r>
          </w:p>
        </w:tc>
      </w:tr>
      <w:tr>
        <w:tc>
          <w:tcPr>
            <w:tcW w:type="dxa" w:w="1134"/>
          </w:tcPr>
          <w:p>
            <w:r>
              <w:rPr>
                <w:sz w:val="14"/>
              </w:rPr>
              <w:t>memory-stress</w:t>
            </w:r>
          </w:p>
        </w:tc>
        <w:tc>
          <w:tcPr>
            <w:tcW w:type="dxa" w:w="1134"/>
          </w:tcPr>
          <w:p>
            <w:r>
              <w:rPr>
                <w:sz w:val="14"/>
              </w:rPr>
              <w:t>0.037</w:t>
            </w:r>
          </w:p>
        </w:tc>
        <w:tc>
          <w:tcPr>
            <w:tcW w:type="dxa" w:w="1134"/>
          </w:tcPr>
          <w:p>
            <w:r>
              <w:rPr>
                <w:sz w:val="14"/>
              </w:rPr>
              <w:t>0.110</w:t>
            </w:r>
          </w:p>
        </w:tc>
        <w:tc>
          <w:tcPr>
            <w:tcW w:type="dxa" w:w="1134"/>
          </w:tcPr>
          <w:p>
            <w:r>
              <w:rPr>
                <w:sz w:val="14"/>
              </w:rPr>
              <w:t>0.087 (95%)</w:t>
            </w:r>
          </w:p>
        </w:tc>
      </w:tr>
    </w:tbl>
    <w:p>
      <w:pPr>
        <w:spacing w:after="160"/>
      </w:pPr>
      <w:r>
        <w:rPr>
          <w:rFonts w:ascii="Times New Roman" w:hAnsi="Times New Roman"/>
          <w:b w:val="0"/>
          <w:i/>
          <w:sz w:val="16"/>
        </w:rPr>
        <w:t>Table 4 — Lookup latency (µs/op, hot-path access pattern), with vs. without the 64-entry LRU cache. The cache reduces its own cold-lookup latency by 12%-33% on five of eight datasets without closing the gap to the conventional baseline on any dataset.</w:t>
      </w:r>
    </w:p>
    <w:p>
      <w:pPr>
        <w:spacing w:after="120" w:before="200"/>
      </w:pPr>
      <w:r>
        <w:rPr>
          <w:rFonts w:ascii="Times New Roman" w:hAnsi="Times New Roman"/>
          <w:b/>
          <w:i w:val="0"/>
          <w:sz w:val="20"/>
        </w:rPr>
        <w:t>4.5 Representation Distribution</w:t>
      </w:r>
    </w:p>
    <w:p>
      <w:pPr>
        <w:jc w:val="center"/>
      </w:pPr>
      <w:r>
        <w:drawing>
          <wp:inline xmlns:a="http://schemas.openxmlformats.org/drawingml/2006/main" xmlns:pic="http://schemas.openxmlformats.org/drawingml/2006/picture">
            <wp:extent cx="2926080" cy="1118795"/>
            <wp:docPr id="5" name="Picture 5"/>
            <wp:cNvGraphicFramePr>
              <a:graphicFrameLocks noChangeAspect="1"/>
            </wp:cNvGraphicFramePr>
            <a:graphic>
              <a:graphicData uri="http://schemas.openxmlformats.org/drawingml/2006/picture">
                <pic:pic>
                  <pic:nvPicPr>
                    <pic:cNvPr id="0" name="fig5_representation.png"/>
                    <pic:cNvPicPr/>
                  </pic:nvPicPr>
                  <pic:blipFill>
                    <a:blip r:embed="rId13"/>
                    <a:stretch>
                      <a:fillRect/>
                    </a:stretch>
                  </pic:blipFill>
                  <pic:spPr>
                    <a:xfrm>
                      <a:off x="0" y="0"/>
                      <a:ext cx="2926080" cy="1118795"/>
                    </a:xfrm>
                    <a:prstGeom prst="rect"/>
                  </pic:spPr>
                </pic:pic>
              </a:graphicData>
            </a:graphic>
          </wp:inline>
        </w:drawing>
      </w:r>
    </w:p>
    <w:p>
      <w:pPr>
        <w:spacing w:after="160"/>
        <w:jc w:val="center"/>
      </w:pPr>
      <w:r>
        <w:rPr>
          <w:rFonts w:ascii="Times New Roman" w:hAnsi="Times New Roman"/>
          <w:b w:val="0"/>
          <w:i/>
          <w:sz w:val="16"/>
        </w:rPr>
        <w:t>Fig. 5 — BUDGET-SYM representation distribution by corpus.</w:t>
      </w:r>
    </w:p>
    <w:p>
      <w:pPr>
        <w:spacing w:after="120"/>
      </w:pPr>
      <w:r>
        <w:rPr>
          <w:rFonts w:ascii="Times New Roman" w:hAnsi="Times New Roman"/>
          <w:b w:val="0"/>
          <w:i w:val="0"/>
          <w:sz w:val="18"/>
        </w:rPr>
        <w:t>BUDGET-SYM's adaptive policy selects a different representation mix per corpus depending on identifier length and prefix-similarity distribution, visually confirming the adaptive (not uniform) nature of the policy.</w:t>
      </w:r>
    </w:p>
    <w:p>
      <w:pPr>
        <w:spacing w:after="120" w:before="200"/>
      </w:pPr>
      <w:r>
        <w:rPr>
          <w:rFonts w:ascii="Times New Roman" w:hAnsi="Times New Roman"/>
          <w:b/>
          <w:i w:val="0"/>
          <w:sz w:val="20"/>
        </w:rPr>
        <w:t>4.6 Ablation Study</w:t>
      </w:r>
    </w:p>
    <w:p>
      <w:pPr>
        <w:jc w:val="center"/>
      </w:pPr>
      <w:r>
        <w:drawing>
          <wp:inline xmlns:a="http://schemas.openxmlformats.org/drawingml/2006/main" xmlns:pic="http://schemas.openxmlformats.org/drawingml/2006/picture">
            <wp:extent cx="2926080" cy="1290918"/>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2926080" cy="1290918"/>
                    </a:xfrm>
                    <a:prstGeom prst="rect"/>
                  </pic:spPr>
                </pic:pic>
              </a:graphicData>
            </a:graphic>
          </wp:inline>
        </w:drawing>
      </w:r>
    </w:p>
    <w:p>
      <w:pPr>
        <w:spacing w:after="160"/>
        <w:jc w:val="center"/>
      </w:pPr>
      <w:r>
        <w:rPr>
          <w:rFonts w:ascii="Times New Roman" w:hAnsi="Times New Roman"/>
          <w:b w:val="0"/>
          <w:i/>
          <w:sz w:val="16"/>
        </w:rPr>
        <w:t>Fig. 6 — Ablation study, mechanism contribution to tracked memory.</w:t>
      </w:r>
    </w:p>
    <w:tbl>
      <w:tblPr>
        <w:tblStyle w:val="LightGrid-Accent1"/>
        <w:tblW w:type="auto" w:w="0"/>
        <w:tblLayout w:type="fixed"/>
        <w:tblLook w:firstColumn="1" w:firstRow="1" w:lastColumn="0" w:lastRow="0" w:noHBand="0" w:noVBand="1" w:val="04A0"/>
      </w:tblPr>
      <w:tblGrid>
        <w:gridCol w:w="1512"/>
        <w:gridCol w:w="1512"/>
        <w:gridCol w:w="1512"/>
      </w:tblGrid>
      <w:tr>
        <w:tc>
          <w:tcPr>
            <w:tcW w:type="dxa" w:w="1512"/>
          </w:tcPr>
          <w:p>
            <w:r>
              <w:rPr>
                <w:b/>
                <w:sz w:val="14"/>
              </w:rPr>
              <w:t>Variant</w:t>
            </w:r>
          </w:p>
        </w:tc>
        <w:tc>
          <w:tcPr>
            <w:tcW w:type="dxa" w:w="1512"/>
          </w:tcPr>
          <w:p>
            <w:r>
              <w:rPr>
                <w:b/>
                <w:sz w:val="14"/>
              </w:rPr>
              <w:t>Tracked Mem.</w:t>
            </w:r>
          </w:p>
        </w:tc>
        <w:tc>
          <w:tcPr>
            <w:tcW w:type="dxa" w:w="1512"/>
          </w:tcPr>
          <w:p>
            <w:r>
              <w:rPr>
                <w:b/>
                <w:sz w:val="14"/>
              </w:rPr>
              <w:t>Promotions</w:t>
            </w:r>
          </w:p>
        </w:tc>
      </w:tr>
      <w:tr>
        <w:tc>
          <w:tcPr>
            <w:tcW w:type="dxa" w:w="1512"/>
          </w:tcPr>
          <w:p>
            <w:r>
              <w:rPr>
                <w:sz w:val="14"/>
              </w:rPr>
              <w:t>Full</w:t>
            </w:r>
          </w:p>
        </w:tc>
        <w:tc>
          <w:tcPr>
            <w:tcW w:type="dxa" w:w="1512"/>
          </w:tcPr>
          <w:p>
            <w:r>
              <w:rPr>
                <w:sz w:val="14"/>
              </w:rPr>
              <w:t>31,894 B</w:t>
            </w:r>
          </w:p>
        </w:tc>
        <w:tc>
          <w:tcPr>
            <w:tcW w:type="dxa" w:w="1512"/>
          </w:tcPr>
          <w:p>
            <w:r>
              <w:rPr>
                <w:sz w:val="14"/>
              </w:rPr>
              <w:t>4</w:t>
            </w:r>
          </w:p>
        </w:tc>
      </w:tr>
      <w:tr>
        <w:tc>
          <w:tcPr>
            <w:tcW w:type="dxa" w:w="1512"/>
          </w:tcPr>
          <w:p>
            <w:r>
              <w:rPr>
                <w:sz w:val="14"/>
              </w:rPr>
              <w:t>No Scope Reclamation</w:t>
            </w:r>
          </w:p>
        </w:tc>
        <w:tc>
          <w:tcPr>
            <w:tcW w:type="dxa" w:w="1512"/>
          </w:tcPr>
          <w:p>
            <w:r>
              <w:rPr>
                <w:sz w:val="14"/>
              </w:rPr>
              <w:t>46,496 B</w:t>
            </w:r>
          </w:p>
        </w:tc>
        <w:tc>
          <w:tcPr>
            <w:tcW w:type="dxa" w:w="1512"/>
          </w:tcPr>
          <w:p>
            <w:r>
              <w:rPr>
                <w:sz w:val="14"/>
              </w:rPr>
              <w:t>4</w:t>
            </w:r>
          </w:p>
        </w:tc>
      </w:tr>
      <w:tr>
        <w:tc>
          <w:tcPr>
            <w:tcW w:type="dxa" w:w="1512"/>
          </w:tcPr>
          <w:p>
            <w:r>
              <w:rPr>
                <w:sz w:val="14"/>
              </w:rPr>
              <w:t>No Access Frequency</w:t>
            </w:r>
          </w:p>
        </w:tc>
        <w:tc>
          <w:tcPr>
            <w:tcW w:type="dxa" w:w="1512"/>
          </w:tcPr>
          <w:p>
            <w:r>
              <w:rPr>
                <w:sz w:val="14"/>
              </w:rPr>
              <w:t>34,143 B</w:t>
            </w:r>
          </w:p>
        </w:tc>
        <w:tc>
          <w:tcPr>
            <w:tcW w:type="dxa" w:w="1512"/>
          </w:tcPr>
          <w:p>
            <w:r>
              <w:rPr>
                <w:sz w:val="14"/>
              </w:rPr>
              <w:t>0</w:t>
            </w:r>
          </w:p>
        </w:tc>
      </w:tr>
      <w:tr>
        <w:tc>
          <w:tcPr>
            <w:tcW w:type="dxa" w:w="1512"/>
          </w:tcPr>
          <w:p>
            <w:r>
              <w:rPr>
                <w:sz w:val="14"/>
              </w:rPr>
              <w:t>No Adaptive Selection</w:t>
            </w:r>
          </w:p>
        </w:tc>
        <w:tc>
          <w:tcPr>
            <w:tcW w:type="dxa" w:w="1512"/>
          </w:tcPr>
          <w:p>
            <w:r>
              <w:rPr>
                <w:sz w:val="14"/>
              </w:rPr>
              <w:t>57,042 B</w:t>
            </w:r>
          </w:p>
        </w:tc>
        <w:tc>
          <w:tcPr>
            <w:tcW w:type="dxa" w:w="1512"/>
          </w:tcPr>
          <w:p>
            <w:r>
              <w:rPr>
                <w:sz w:val="14"/>
              </w:rPr>
              <w:t>0</w:t>
            </w:r>
          </w:p>
        </w:tc>
      </w:tr>
    </w:tbl>
    <w:p>
      <w:pPr>
        <w:spacing w:after="160"/>
      </w:pPr>
      <w:r>
        <w:rPr>
          <w:rFonts w:ascii="Times New Roman" w:hAnsi="Times New Roman"/>
          <w:b w:val="0"/>
          <w:i/>
          <w:sz w:val="16"/>
        </w:rPr>
        <w:t>Table 5 — Four-variant ablation (fixed workload). Disabling scope-aware reclamation increases tracked memory the most, confirming it as the dominant contributor. Removing adaptive selection entirely is the worst-performing configuration.</w:t>
      </w:r>
    </w:p>
    <w:p>
      <w:pPr>
        <w:spacing w:after="120" w:before="200"/>
      </w:pPr>
      <w:r>
        <w:rPr>
          <w:rFonts w:ascii="Times New Roman" w:hAnsi="Times New Roman"/>
          <w:b/>
          <w:i w:val="0"/>
          <w:sz w:val="20"/>
        </w:rPr>
        <w:t>4.7 Workload Characterization</w:t>
      </w:r>
    </w:p>
    <w:p>
      <w:pPr>
        <w:jc w:val="center"/>
      </w:pPr>
      <w:r>
        <w:drawing>
          <wp:inline xmlns:a="http://schemas.openxmlformats.org/drawingml/2006/main" xmlns:pic="http://schemas.openxmlformats.org/drawingml/2006/picture">
            <wp:extent cx="2926080" cy="1290918"/>
            <wp:docPr id="7" name="Picture 7"/>
            <wp:cNvGraphicFramePr>
              <a:graphicFrameLocks noChangeAspect="1"/>
            </wp:cNvGraphicFramePr>
            <a:graphic>
              <a:graphicData uri="http://schemas.openxmlformats.org/drawingml/2006/picture">
                <pic:pic>
                  <pic:nvPicPr>
                    <pic:cNvPr id="0" name="fig7_workload.png"/>
                    <pic:cNvPicPr/>
                  </pic:nvPicPr>
                  <pic:blipFill>
                    <a:blip r:embed="rId15"/>
                    <a:stretch>
                      <a:fillRect/>
                    </a:stretch>
                  </pic:blipFill>
                  <pic:spPr>
                    <a:xfrm>
                      <a:off x="0" y="0"/>
                      <a:ext cx="2926080" cy="1290918"/>
                    </a:xfrm>
                    <a:prstGeom prst="rect"/>
                  </pic:spPr>
                </pic:pic>
              </a:graphicData>
            </a:graphic>
          </wp:inline>
        </w:drawing>
      </w:r>
    </w:p>
    <w:p>
      <w:pPr>
        <w:spacing w:after="160"/>
        <w:jc w:val="center"/>
      </w:pPr>
      <w:r>
        <w:rPr>
          <w:rFonts w:ascii="Times New Roman" w:hAnsi="Times New Roman"/>
          <w:b w:val="0"/>
          <w:i/>
          <w:sz w:val="16"/>
        </w:rPr>
        <w:t>Fig. 7 — Real-world workload characterization: identifier length vs. prefix similarity.</w:t>
      </w:r>
    </w:p>
    <w:tbl>
      <w:tblPr>
        <w:tblStyle w:val="LightGrid-Accent1"/>
        <w:tblW w:type="auto" w:w="0"/>
        <w:tblLayout w:type="fixed"/>
        <w:tblLook w:firstColumn="1" w:firstRow="1" w:lastColumn="0" w:lastRow="0" w:noHBand="0" w:noVBand="1" w:val="04A0"/>
      </w:tblPr>
      <w:tblGrid>
        <w:gridCol w:w="756"/>
        <w:gridCol w:w="756"/>
        <w:gridCol w:w="756"/>
        <w:gridCol w:w="756"/>
        <w:gridCol w:w="756"/>
        <w:gridCol w:w="756"/>
      </w:tblGrid>
      <w:tr>
        <w:tc>
          <w:tcPr>
            <w:tcW w:type="dxa" w:w="756"/>
          </w:tcPr>
          <w:p>
            <w:r>
              <w:rPr>
                <w:b/>
                <w:sz w:val="14"/>
              </w:rPr>
              <w:t>Corpus</w:t>
            </w:r>
          </w:p>
        </w:tc>
        <w:tc>
          <w:tcPr>
            <w:tcW w:type="dxa" w:w="756"/>
          </w:tcPr>
          <w:p>
            <w:r>
              <w:rPr>
                <w:b/>
                <w:sz w:val="14"/>
              </w:rPr>
              <w:t>Files</w:t>
            </w:r>
          </w:p>
        </w:tc>
        <w:tc>
          <w:tcPr>
            <w:tcW w:type="dxa" w:w="756"/>
          </w:tcPr>
          <w:p>
            <w:r>
              <w:rPr>
                <w:b/>
                <w:sz w:val="14"/>
              </w:rPr>
              <w:t>Decls</w:t>
            </w:r>
          </w:p>
        </w:tc>
        <w:tc>
          <w:tcPr>
            <w:tcW w:type="dxa" w:w="756"/>
          </w:tcPr>
          <w:p>
            <w:r>
              <w:rPr>
                <w:b/>
                <w:sz w:val="14"/>
              </w:rPr>
              <w:t>Uniq.</w:t>
            </w:r>
          </w:p>
        </w:tc>
        <w:tc>
          <w:tcPr>
            <w:tcW w:type="dxa" w:w="756"/>
          </w:tcPr>
          <w:p>
            <w:r>
              <w:rPr>
                <w:b/>
                <w:sz w:val="14"/>
              </w:rPr>
              <w:t>MeanLen</w:t>
            </w:r>
          </w:p>
        </w:tc>
        <w:tc>
          <w:tcPr>
            <w:tcW w:type="dxa" w:w="756"/>
          </w:tcPr>
          <w:p>
            <w:r>
              <w:rPr>
                <w:b/>
                <w:sz w:val="14"/>
              </w:rPr>
              <w:t>PrefixSim</w:t>
            </w:r>
          </w:p>
        </w:tc>
      </w:tr>
      <w:tr>
        <w:tc>
          <w:tcPr>
            <w:tcW w:type="dxa" w:w="756"/>
          </w:tcPr>
          <w:p>
            <w:r>
              <w:rPr>
                <w:sz w:val="14"/>
              </w:rPr>
              <w:t>FreeRTOS</w:t>
            </w:r>
          </w:p>
        </w:tc>
        <w:tc>
          <w:tcPr>
            <w:tcW w:type="dxa" w:w="756"/>
          </w:tcPr>
          <w:p>
            <w:r>
              <w:rPr>
                <w:sz w:val="14"/>
              </w:rPr>
              <w:t>655</w:t>
            </w:r>
          </w:p>
        </w:tc>
        <w:tc>
          <w:tcPr>
            <w:tcW w:type="dxa" w:w="756"/>
          </w:tcPr>
          <w:p>
            <w:r>
              <w:rPr>
                <w:sz w:val="14"/>
              </w:rPr>
              <w:t>72,376</w:t>
            </w:r>
          </w:p>
        </w:tc>
        <w:tc>
          <w:tcPr>
            <w:tcW w:type="dxa" w:w="756"/>
          </w:tcPr>
          <w:p>
            <w:r>
              <w:rPr>
                <w:sz w:val="14"/>
              </w:rPr>
              <w:t>10,386</w:t>
            </w:r>
          </w:p>
        </w:tc>
        <w:tc>
          <w:tcPr>
            <w:tcW w:type="dxa" w:w="756"/>
          </w:tcPr>
          <w:p>
            <w:r>
              <w:rPr>
                <w:sz w:val="14"/>
              </w:rPr>
              <w:t>14.20B</w:t>
            </w:r>
          </w:p>
        </w:tc>
        <w:tc>
          <w:tcPr>
            <w:tcW w:type="dxa" w:w="756"/>
          </w:tcPr>
          <w:p>
            <w:r>
              <w:rPr>
                <w:sz w:val="14"/>
              </w:rPr>
              <w:t>0.164</w:t>
            </w:r>
          </w:p>
        </w:tc>
      </w:tr>
      <w:tr>
        <w:tc>
          <w:tcPr>
            <w:tcW w:type="dxa" w:w="756"/>
          </w:tcPr>
          <w:p>
            <w:r>
              <w:rPr>
                <w:sz w:val="14"/>
              </w:rPr>
              <w:t>Arduino</w:t>
            </w:r>
          </w:p>
        </w:tc>
        <w:tc>
          <w:tcPr>
            <w:tcW w:type="dxa" w:w="756"/>
          </w:tcPr>
          <w:p>
            <w:r>
              <w:rPr>
                <w:sz w:val="14"/>
              </w:rPr>
              <w:t>332</w:t>
            </w:r>
          </w:p>
        </w:tc>
        <w:tc>
          <w:tcPr>
            <w:tcW w:type="dxa" w:w="756"/>
          </w:tcPr>
          <w:p>
            <w:r>
              <w:rPr>
                <w:sz w:val="14"/>
              </w:rPr>
              <w:t>31,846</w:t>
            </w:r>
          </w:p>
        </w:tc>
        <w:tc>
          <w:tcPr>
            <w:tcW w:type="dxa" w:w="756"/>
          </w:tcPr>
          <w:p>
            <w:r>
              <w:rPr>
                <w:sz w:val="14"/>
              </w:rPr>
              <w:t>11,000</w:t>
            </w:r>
          </w:p>
        </w:tc>
        <w:tc>
          <w:tcPr>
            <w:tcW w:type="dxa" w:w="756"/>
          </w:tcPr>
          <w:p>
            <w:r>
              <w:rPr>
                <w:sz w:val="14"/>
              </w:rPr>
              <w:t>8.69B</w:t>
            </w:r>
          </w:p>
        </w:tc>
        <w:tc>
          <w:tcPr>
            <w:tcW w:type="dxa" w:w="756"/>
          </w:tcPr>
          <w:p>
            <w:r>
              <w:rPr>
                <w:sz w:val="14"/>
              </w:rPr>
              <w:t>0.136</w:t>
            </w:r>
          </w:p>
        </w:tc>
      </w:tr>
      <w:tr>
        <w:tc>
          <w:tcPr>
            <w:tcW w:type="dxa" w:w="756"/>
          </w:tcPr>
          <w:p>
            <w:r>
              <w:rPr>
                <w:sz w:val="14"/>
              </w:rPr>
              <w:t>Zephyr</w:t>
            </w:r>
          </w:p>
        </w:tc>
        <w:tc>
          <w:tcPr>
            <w:tcW w:type="dxa" w:w="756"/>
          </w:tcPr>
          <w:p>
            <w:r>
              <w:rPr>
                <w:sz w:val="14"/>
              </w:rPr>
              <w:t>4,298</w:t>
            </w:r>
          </w:p>
        </w:tc>
        <w:tc>
          <w:tcPr>
            <w:tcW w:type="dxa" w:w="756"/>
          </w:tcPr>
          <w:p>
            <w:r>
              <w:rPr>
                <w:sz w:val="14"/>
              </w:rPr>
              <w:t>703,727</w:t>
            </w:r>
          </w:p>
        </w:tc>
        <w:tc>
          <w:tcPr>
            <w:tcW w:type="dxa" w:w="756"/>
          </w:tcPr>
          <w:p>
            <w:r>
              <w:rPr>
                <w:sz w:val="14"/>
              </w:rPr>
              <w:t>228,739</w:t>
            </w:r>
          </w:p>
        </w:tc>
        <w:tc>
          <w:tcPr>
            <w:tcW w:type="dxa" w:w="756"/>
          </w:tcPr>
          <w:p>
            <w:r>
              <w:rPr>
                <w:sz w:val="14"/>
              </w:rPr>
              <w:t>9.93B</w:t>
            </w:r>
          </w:p>
        </w:tc>
        <w:tc>
          <w:tcPr>
            <w:tcW w:type="dxa" w:w="756"/>
          </w:tcPr>
          <w:p>
            <w:r>
              <w:rPr>
                <w:sz w:val="14"/>
              </w:rPr>
              <w:t>0.099</w:t>
            </w:r>
          </w:p>
        </w:tc>
      </w:tr>
    </w:tbl>
    <w:p>
      <w:pPr>
        <w:spacing w:after="160"/>
      </w:pPr>
      <w:r>
        <w:rPr>
          <w:rFonts w:ascii="Times New Roman" w:hAnsi="Times New Roman"/>
          <w:b w:val="0"/>
          <w:i/>
          <w:sz w:val="16"/>
        </w:rPr>
        <w:t>Table 6 — Real-world workload characteristics (results/corpus_characterization.csv). Associations shown across three corpora only — not sufficient to establish causation.</w:t>
      </w:r>
    </w:p>
    <w:p>
      <w:pPr>
        <w:spacing w:after="120" w:before="200"/>
      </w:pPr>
      <w:r>
        <w:rPr>
          <w:rFonts w:ascii="Times New Roman" w:hAnsi="Times New Roman"/>
          <w:b/>
          <w:i w:val="0"/>
          <w:sz w:val="20"/>
        </w:rPr>
        <w:t>4.8 Discussion</w:t>
      </w:r>
    </w:p>
    <w:p>
      <w:pPr>
        <w:spacing w:after="120"/>
      </w:pPr>
      <w:r>
        <w:rPr>
          <w:rFonts w:ascii="Times New Roman" w:hAnsi="Times New Roman"/>
          <w:b w:val="0"/>
          <w:i w:val="0"/>
          <w:sz w:val="18"/>
        </w:rPr>
        <w:t>The results indicate a genuine memory-latency trade-off rather than an unconditional win. On synthetic datasets, BUDGET-SYM reduces tracked memory relative to both baselines on every dataset tested, with the largest gains on prefix-similar and nested-scope workloads. Real-world evaluation on FreeRTOS, Arduino, and Zephyr does not confirm that this synthetic-data gain transfers to real embedded codebases: measured physical heap is consistently higher for BUDGET-SYM than Conventional on every real corpus evaluated. Lookup latency remains higher than the conventional baseline on every dataset measured, though the lookup cache measurably reduces the project's own lookup latency relative to itself without the cache.</w:t>
      </w:r>
    </w:p>
    <w:p>
      <w:pPr>
        <w:spacing w:after="120" w:before="200"/>
      </w:pPr>
      <w:r>
        <w:rPr>
          <w:rFonts w:ascii="Times New Roman" w:hAnsi="Times New Roman"/>
          <w:b/>
          <w:i w:val="0"/>
          <w:sz w:val="22"/>
        </w:rPr>
        <w:t>5. Conclusion and Scope for Future Work</w:t>
      </w:r>
    </w:p>
    <w:p>
      <w:pPr>
        <w:spacing w:after="120"/>
      </w:pPr>
      <w:r>
        <w:rPr>
          <w:rFonts w:ascii="Times New Roman" w:hAnsi="Times New Roman"/>
          <w:b w:val="0"/>
          <w:i w:val="0"/>
          <w:sz w:val="18"/>
        </w:rPr>
        <w:t>This work reports BUDGET-SYM, an adaptive, scope-aware symbol-table architecture for memory-constrained embedded compilers, combining a unified INLINE/INTERNED/COMPRESSED representation policy with systematic threshold optimization, real-world corpus evaluation, multi-seed statistical validation, a lookup cache, and an online threshold predictor.</w:t>
      </w:r>
    </w:p>
    <w:p>
      <w:pPr>
        <w:spacing w:after="120"/>
      </w:pPr>
      <w:r>
        <w:rPr>
          <w:rFonts w:ascii="Times New Roman" w:hAnsi="Times New Roman"/>
          <w:b w:val="0"/>
          <w:i w:val="0"/>
          <w:sz w:val="18"/>
        </w:rPr>
        <w:t>The proposed methodology's advantage is that representation selection is driven jointly by memory pressure, scope lifetime, and access frequency, validated with 95% confidence intervals and tested for generalization against real embedded corpora rather than synthetic data alone.</w:t>
      </w:r>
    </w:p>
    <w:p>
      <w:pPr>
        <w:spacing w:after="120"/>
      </w:pPr>
      <w:r>
        <w:rPr>
          <w:rFonts w:ascii="Times New Roman" w:hAnsi="Times New Roman"/>
          <w:b w:val="0"/>
          <w:i w:val="0"/>
          <w:sz w:val="18"/>
        </w:rPr>
        <w:t>The prototype is implemented and benchmarked entirely in header-only C++14, using a custom deterministic tracked-memory accounting harness and real vendored embedded C corpora (FreeRTOS, Arduino core, Zephyr RTOS).</w:t>
      </w:r>
    </w:p>
    <w:p>
      <w:pPr>
        <w:spacing w:after="120"/>
      </w:pPr>
      <w:r>
        <w:rPr>
          <w:rFonts w:ascii="Times New Roman" w:hAnsi="Times New Roman"/>
          <w:b w:val="0"/>
          <w:i w:val="0"/>
          <w:sz w:val="18"/>
        </w:rPr>
        <w:t>Results and achievement: a mean tracked-memory reduction of 1.40x-2.60x on eight synthetic benchmark datasets relative to the conventional baseline (p &lt; 0.01, 30-seed validation); a grid-search threshold optimization achieving 1.87x mean compression ratio; and a 64-entry LRU lookup cache reducing the project's own cold-lookup latency by 12%-33% on five of eight synthetic datasets. The same evaluation honestly reports that on real-world corpora, BUDGET-SYM currently uses more physical heap than the conventional baseline, tracing this to unpruned persistent lookup registries — a primary finding, not a limitation to be minimized.</w:t>
      </w:r>
    </w:p>
    <w:p>
      <w:pPr>
        <w:spacing w:after="120"/>
      </w:pPr>
      <w:r>
        <w:rPr>
          <w:rFonts w:ascii="Times New Roman" w:hAnsi="Times New Roman"/>
          <w:b w:val="0"/>
          <w:i w:val="0"/>
          <w:sz w:val="18"/>
        </w:rPr>
        <w:t>Scope for future work includes: (1) scope-scoped pruning or reference-counted eviction of the persistent lookup registries identified as the dominant real-world memory cost; (2) re-running the grid search directly against real embedded corpora; (3) charging the lookup cache's own memory cost against the tracked-memory model; (4) multi-seed statistical validation of the real-world corpus results; and (5) integration with a real compiler front end.</w:t>
      </w:r>
    </w:p>
    <w:p>
      <w:pPr>
        <w:spacing w:after="120" w:before="200"/>
      </w:pPr>
      <w:r>
        <w:rPr>
          <w:rFonts w:ascii="Times New Roman" w:hAnsi="Times New Roman"/>
          <w:b/>
          <w:i w:val="0"/>
          <w:sz w:val="22"/>
        </w:rPr>
        <w:t>6. References</w:t>
      </w:r>
    </w:p>
    <w:p>
      <w:pPr>
        <w:spacing w:after="40"/>
      </w:pPr>
      <w:r>
        <w:rPr>
          <w:rFonts w:ascii="Times New Roman" w:hAnsi="Times New Roman"/>
          <w:b w:val="0"/>
          <w:i w:val="0"/>
          <w:sz w:val="16"/>
        </w:rPr>
        <w:t>[1] Linkoping University, "Lab 2: Symbol Table — TDDE66 Compiler Construction."</w:t>
      </w:r>
    </w:p>
    <w:p>
      <w:pPr>
        <w:spacing w:after="40"/>
      </w:pPr>
      <w:r>
        <w:rPr>
          <w:rFonts w:ascii="Times New Roman" w:hAnsi="Times New Roman"/>
          <w:b w:val="0"/>
          <w:i w:val="0"/>
          <w:sz w:val="16"/>
        </w:rPr>
        <w:t>[2] D. W. Jones, "Compiler Construction — The Symbol Table," Univ. of Iowa compiler notes.</w:t>
      </w:r>
    </w:p>
    <w:p>
      <w:pPr>
        <w:spacing w:after="40"/>
      </w:pPr>
      <w:r>
        <w:rPr>
          <w:rFonts w:ascii="Times New Roman" w:hAnsi="Times New Roman"/>
          <w:b w:val="0"/>
          <w:i w:val="0"/>
          <w:sz w:val="16"/>
        </w:rPr>
        <w:t>[3] Rust compiler ecosystem, "Interning / Symbol Table" pattern documentation.</w:t>
      </w:r>
    </w:p>
    <w:p>
      <w:pPr>
        <w:spacing w:after="40"/>
      </w:pPr>
      <w:r>
        <w:rPr>
          <w:rFonts w:ascii="Times New Roman" w:hAnsi="Times New Roman"/>
          <w:b w:val="0"/>
          <w:i w:val="0"/>
          <w:sz w:val="16"/>
        </w:rPr>
        <w:t>[4] GNU Project, "MSP430 Options," GCC documentation.</w:t>
      </w:r>
    </w:p>
    <w:p>
      <w:pPr>
        <w:spacing w:after="40"/>
      </w:pPr>
      <w:r>
        <w:rPr>
          <w:rFonts w:ascii="Times New Roman" w:hAnsi="Times New Roman"/>
          <w:b w:val="0"/>
          <w:i w:val="0"/>
          <w:sz w:val="16"/>
        </w:rPr>
        <w:t>[5] A. V. Aho, M. S. Lam, R. Sethi, J. D. Ullman, Compilers: Principles, Techniques, and Tools, 2nd ed. Pearson, 2006.</w:t>
      </w:r>
    </w:p>
    <w:p>
      <w:pPr>
        <w:spacing w:after="40"/>
      </w:pPr>
      <w:r>
        <w:rPr>
          <w:rFonts w:ascii="Times New Roman" w:hAnsi="Times New Roman"/>
          <w:b w:val="0"/>
          <w:i w:val="0"/>
          <w:sz w:val="16"/>
        </w:rPr>
        <w:t>[6] IEEE Author Center Conferences, "Structure Your Paper."</w:t>
      </w:r>
    </w:p>
    <w:p>
      <w:pPr>
        <w:spacing w:after="40"/>
      </w:pPr>
      <w:r>
        <w:rPr>
          <w:rFonts w:ascii="Times New Roman" w:hAnsi="Times New Roman"/>
          <w:b w:val="0"/>
          <w:i w:val="0"/>
          <w:sz w:val="16"/>
        </w:rPr>
        <w:t>[7] IEEE Author Center Conferences, "Authoring Tools and Templates."</w:t>
      </w:r>
    </w:p>
    <w:p>
      <w:pPr>
        <w:spacing w:after="40"/>
      </w:pPr>
      <w:r>
        <w:rPr>
          <w:rFonts w:ascii="Times New Roman" w:hAnsi="Times New Roman"/>
          <w:b w:val="0"/>
          <w:i w:val="0"/>
          <w:sz w:val="16"/>
        </w:rPr>
        <w:t>[8] P. Celis, P.-A. Larson, J. I. Munro, "Robin Hood Hashing," FOCS 1985, pp. 281-288.</w:t>
      </w:r>
    </w:p>
    <w:p>
      <w:pPr>
        <w:spacing w:after="40"/>
      </w:pPr>
      <w:r>
        <w:rPr>
          <w:rFonts w:ascii="Times New Roman" w:hAnsi="Times New Roman"/>
          <w:b w:val="0"/>
          <w:i w:val="0"/>
          <w:sz w:val="16"/>
        </w:rPr>
        <w:t>[9] E. Fredkin, "Trie Memory," Comm. ACM, vol. 3, no. 9, pp. 490-499, 1960.</w:t>
      </w:r>
    </w:p>
    <w:p>
      <w:pPr>
        <w:spacing w:after="40"/>
      </w:pPr>
      <w:r>
        <w:rPr>
          <w:rFonts w:ascii="Times New Roman" w:hAnsi="Times New Roman"/>
          <w:b w:val="0"/>
          <w:i w:val="0"/>
          <w:sz w:val="16"/>
        </w:rPr>
        <w:t>[10] A. Appleby, "MurmurHash3 and the SMHasher hash function test suite."</w:t>
      </w:r>
    </w:p>
    <w:p>
      <w:pPr>
        <w:spacing w:after="120" w:before="200"/>
      </w:pPr>
      <w:r>
        <w:rPr>
          <w:rFonts w:ascii="Times New Roman" w:hAnsi="Times New Roman"/>
          <w:b/>
          <w:i w:val="0"/>
          <w:sz w:val="22"/>
        </w:rPr>
        <w:t>Author Contributions</w:t>
      </w:r>
    </w:p>
    <w:p>
      <w:pPr>
        <w:spacing w:after="120"/>
      </w:pPr>
      <w:r>
        <w:rPr>
          <w:rFonts w:ascii="Times New Roman" w:hAnsi="Times New Roman"/>
          <w:b w:val="0"/>
          <w:i w:val="0"/>
          <w:sz w:val="18"/>
        </w:rPr>
        <w:t>All four authors contributed to design, implementation, and evaluation of BUDGET-SYM as part of a joint research effort at SCOPE, VIT Vellore.</w:t>
      </w:r>
    </w:p>
    <w:p>
      <w:pPr>
        <w:spacing w:after="120" w:before="200"/>
      </w:pPr>
      <w:r>
        <w:rPr>
          <w:rFonts w:ascii="Times New Roman" w:hAnsi="Times New Roman"/>
          <w:b/>
          <w:i w:val="0"/>
          <w:sz w:val="22"/>
        </w:rPr>
        <w:t>Data and Code Availability</w:t>
      </w:r>
    </w:p>
    <w:p>
      <w:pPr>
        <w:spacing w:after="120"/>
      </w:pPr>
      <w:r>
        <w:rPr>
          <w:rFonts w:ascii="Times New Roman" w:hAnsi="Times New Roman"/>
          <w:b w:val="0"/>
          <w:i w:val="0"/>
          <w:sz w:val="18"/>
        </w:rPr>
        <w:t>The BUDGET-SYM prototype, benchmark harness, and all result CSVs referenced in this manuscript are available in the project repository, with real-world corpora vendored locally.</w:t>
      </w:r>
    </w:p>
    <w:p>
      <w:pPr>
        <w:spacing w:after="120"/>
      </w:pPr>
      <w:r>
        <w:rPr>
          <w:rFonts w:ascii="Times New Roman" w:hAnsi="Times New Roman"/>
          <w:b w:val="0"/>
          <w:i/>
          <w:sz w:val="16"/>
        </w:rPr>
        <w:t>Formatting note: internal research manuscript prepared for review; not submitted to or accepted by any venue.</w:t>
      </w:r>
    </w:p>
    <w:sectPr w:rsidR="00FC693F" w:rsidRPr="0006063C" w:rsidSect="00034616">
      <w:type w:val="continuous"/>
      <w:pgSz w:w="11906" w:h="16838"/>
      <w:pgMar w:top="1134" w:right="1134" w:bottom="1134" w:left="113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