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C2D43" w14:textId="77777777" w:rsidR="00692E23" w:rsidRDefault="00692E23" w:rsidP="00692E23">
      <w:r>
        <w:t>Clinical scoring and instrumental analysis to evaluate skin types</w:t>
      </w:r>
    </w:p>
    <w:p w14:paraId="1E212009" w14:textId="77777777" w:rsidR="00692E23" w:rsidRDefault="00692E23" w:rsidP="00692E23">
      <w:r>
        <w:t>D G Mercurio 1, J H Segura, M B A Demets, P M B G Maia Campos</w:t>
      </w:r>
    </w:p>
    <w:p w14:paraId="77D6B1B0" w14:textId="77777777" w:rsidR="00692E23" w:rsidRDefault="00692E23" w:rsidP="00692E23">
      <w:r>
        <w:t>Affiliations Expand</w:t>
      </w:r>
    </w:p>
    <w:p w14:paraId="026BA487" w14:textId="77777777" w:rsidR="00692E23" w:rsidRDefault="00692E23" w:rsidP="00692E23">
      <w:r>
        <w:t>PMID: 23517362 DOI: 10.1111/ced.12105</w:t>
      </w:r>
    </w:p>
    <w:p w14:paraId="76937E9F" w14:textId="77777777" w:rsidR="00692E23" w:rsidRDefault="00692E23" w:rsidP="00692E23">
      <w:r>
        <w:t>Abstract</w:t>
      </w:r>
    </w:p>
    <w:p w14:paraId="136D80B8" w14:textId="77777777" w:rsidR="00692E23" w:rsidRDefault="00692E23" w:rsidP="00692E23">
      <w:r>
        <w:t>Background: The biology of the skin is very complex, and there are a number of methods used to classify the different skin types. It is possible to measure or quantify the characteristics of the specific skin types, using a variety of techniques that can objectively evaluate the properties of the skin in a noninvasive manner.</w:t>
      </w:r>
    </w:p>
    <w:p w14:paraId="6AEFCD10" w14:textId="77777777" w:rsidR="00692E23" w:rsidRDefault="00692E23" w:rsidP="00692E23"/>
    <w:p w14:paraId="0C9ABDD3" w14:textId="77777777" w:rsidR="00692E23" w:rsidRDefault="00692E23" w:rsidP="00692E23">
      <w:r>
        <w:t>Aim: To clinically characterize different skin types by dermatological evaluation and biophysical and skin imaging techniques, and to evaluate the relationship between the different characteristics.</w:t>
      </w:r>
    </w:p>
    <w:p w14:paraId="2771076B" w14:textId="77777777" w:rsidR="00692E23" w:rsidRDefault="00692E23" w:rsidP="00692E23"/>
    <w:p w14:paraId="36365D74" w14:textId="77777777" w:rsidR="00692E23" w:rsidRDefault="00692E23" w:rsidP="00692E23">
      <w:r>
        <w:t>Methods: The study recruited 26 volunteers. Clinical scoring was performed by a dermatologist who classified the volunteers' skin as normal or dry (group 1) and combination or oily (group 2). Objective measurements included skin microrelief, pH, oiliness, water content of the stratum corneum and transepidermal water loss (TEWL).</w:t>
      </w:r>
    </w:p>
    <w:p w14:paraId="5EABECDA" w14:textId="77777777" w:rsidR="00692E23" w:rsidRDefault="00692E23" w:rsidP="00692E23"/>
    <w:p w14:paraId="04AA4C81" w14:textId="77777777" w:rsidR="00692E23" w:rsidRDefault="00692E23" w:rsidP="00692E23">
      <w:r>
        <w:t>Results: Positive correlations were found between the level of skin oiliness and skin texture obtained from both instrumental analysis and clinical scoring. The combination and oily skin types had higher clinical scores for shine intensity, oiliness and tendency to pigmentation, and also had higher objective scores for sebum secretion, TEWL and roughness.</w:t>
      </w:r>
    </w:p>
    <w:p w14:paraId="14459428" w14:textId="77777777" w:rsidR="00692E23" w:rsidRDefault="00692E23" w:rsidP="00692E23"/>
    <w:p w14:paraId="4C518B36" w14:textId="77777777" w:rsidR="00692E23" w:rsidRDefault="00692E23" w:rsidP="00692E23">
      <w:r>
        <w:t>Conclusions: Biophysical and skin imaging techniques are effective tools to help characterize skin type and assist in clinical dermatology. We found that different skin types had different characteristics related to skin microrelief, oiliness and TEWL, and therefore require specific dermatological treatments.</w:t>
      </w:r>
    </w:p>
    <w:p w14:paraId="6F5677CC" w14:textId="77777777" w:rsidR="00692E23" w:rsidRDefault="00692E23" w:rsidP="00692E23"/>
    <w:p w14:paraId="633EBD80" w14:textId="77777777" w:rsidR="00692E23" w:rsidRDefault="00692E23" w:rsidP="00692E23">
      <w:r>
        <w:t>© The Author(s) CED © 2013 British Association of Dermatologists.</w:t>
      </w:r>
    </w:p>
    <w:p w14:paraId="78F8C305" w14:textId="77777777" w:rsidR="00692E23" w:rsidRDefault="00692E23" w:rsidP="00692E23"/>
    <w:p w14:paraId="7A5E89C1" w14:textId="77777777" w:rsidR="00692E23" w:rsidRDefault="00692E23" w:rsidP="00692E23">
      <w:r>
        <w:t>PubMed Disclaimer</w:t>
      </w:r>
    </w:p>
    <w:p w14:paraId="17D7A388" w14:textId="77777777" w:rsidR="00692E23" w:rsidRDefault="00692E23" w:rsidP="00692E23"/>
    <w:p w14:paraId="46A959F8" w14:textId="77777777" w:rsidR="00692E23" w:rsidRDefault="00692E23" w:rsidP="00692E23">
      <w:r>
        <w:t>Similar articles</w:t>
      </w:r>
    </w:p>
    <w:p w14:paraId="69ED5675" w14:textId="77777777" w:rsidR="00692E23" w:rsidRDefault="00692E23" w:rsidP="00692E23">
      <w:r>
        <w:t>Oily skin: specific features in Chinese women.</w:t>
      </w:r>
    </w:p>
    <w:p w14:paraId="511ABEC3" w14:textId="77777777" w:rsidR="00692E23" w:rsidRDefault="00692E23" w:rsidP="00692E23">
      <w:r>
        <w:t>Nouveau-Richard S, Zhu W, Li YH, Zhang YZ, Yang FZ, Yang ZL, Lian S, Qian BY, Ran YP, Bouillon C, Chen HD, de Lacharrière O.</w:t>
      </w:r>
    </w:p>
    <w:p w14:paraId="0A152D23" w14:textId="77777777" w:rsidR="00692E23" w:rsidRDefault="00692E23" w:rsidP="00692E23">
      <w:r>
        <w:lastRenderedPageBreak/>
        <w:t>Skin Res Technol. 2007 Feb;13(1):43-8. doi: 10.1111/j.1600-0846.2006.00185.x.</w:t>
      </w:r>
    </w:p>
    <w:p w14:paraId="69715993" w14:textId="77777777" w:rsidR="00692E23" w:rsidRDefault="00692E23" w:rsidP="00692E23">
      <w:r>
        <w:t>PMID: 17250531</w:t>
      </w:r>
    </w:p>
    <w:p w14:paraId="3C864FA5" w14:textId="77777777" w:rsidR="00692E23" w:rsidRDefault="00692E23" w:rsidP="00692E23">
      <w:r>
        <w:t>Do repeated skin barrier measurements influence each other's results? An explorative study.</w:t>
      </w:r>
    </w:p>
    <w:p w14:paraId="07AA2E5C" w14:textId="77777777" w:rsidR="00692E23" w:rsidRDefault="00692E23" w:rsidP="00692E23">
      <w:r>
        <w:t>Kottner J, Ludriksone L, Garcia Bartels N, Blume-Peytavi U.</w:t>
      </w:r>
    </w:p>
    <w:p w14:paraId="26C1227D" w14:textId="77777777" w:rsidR="00692E23" w:rsidRDefault="00692E23" w:rsidP="00692E23">
      <w:r>
        <w:t>Skin Pharmacol Physiol. 2014;27(2):90-6. doi: 10.1159/000351882. Epub 2013 Oct 23.</w:t>
      </w:r>
    </w:p>
    <w:p w14:paraId="5A54EF8C" w14:textId="77777777" w:rsidR="00692E23" w:rsidRDefault="00692E23" w:rsidP="00692E23">
      <w:r>
        <w:t>PMID: 24157535</w:t>
      </w:r>
    </w:p>
    <w:p w14:paraId="0776BB69" w14:textId="77777777" w:rsidR="00692E23" w:rsidRDefault="00692E23" w:rsidP="00692E23">
      <w:r>
        <w:t>Acromegaly is associated with decreased skin transepidermal water loss and temperature, and increased skin pH and sebum secretion partially reversible after treatment.</w:t>
      </w:r>
    </w:p>
    <w:p w14:paraId="71004DAF" w14:textId="77777777" w:rsidR="00692E23" w:rsidRDefault="00692E23" w:rsidP="00692E23">
      <w:r>
        <w:t>Borlu M, Karaca Z, Yildiz H, Tanriverdi F, Demirel B, Elbuken G, Cakir I, Dokmetas HS, Colak R, Unluhizarci K, Kelestimur F.</w:t>
      </w:r>
    </w:p>
    <w:p w14:paraId="33B128AA" w14:textId="77777777" w:rsidR="00692E23" w:rsidRDefault="00692E23" w:rsidP="00692E23">
      <w:r>
        <w:t>Growth Horm IGF Res. 2012 Apr;22(2):82-6. doi: 10.1016/j.ghir.2012.02.006. Epub 2012 Mar 20.</w:t>
      </w:r>
    </w:p>
    <w:p w14:paraId="2E71BF6D" w14:textId="77777777" w:rsidR="00692E23" w:rsidRDefault="00692E23" w:rsidP="00692E23">
      <w:r>
        <w:t>PMID: 22436513</w:t>
      </w:r>
    </w:p>
    <w:p w14:paraId="5CC97EE1" w14:textId="77777777" w:rsidR="00692E23" w:rsidRDefault="00692E23" w:rsidP="00692E23">
      <w:r>
        <w:t>Transepidermal water loss and skin surface hydration in the non invasive assessment of stratum corneum function.</w:t>
      </w:r>
    </w:p>
    <w:p w14:paraId="3915661D" w14:textId="77777777" w:rsidR="00692E23" w:rsidRDefault="00692E23" w:rsidP="00692E23">
      <w:r>
        <w:t>Berardesca E, Maibach HI.</w:t>
      </w:r>
    </w:p>
    <w:p w14:paraId="04FB415A" w14:textId="77777777" w:rsidR="00692E23" w:rsidRDefault="00692E23" w:rsidP="00692E23">
      <w:r>
        <w:t>Derm Beruf Umwelt. 1990 Mar-Apr;38(2):50-3.</w:t>
      </w:r>
    </w:p>
    <w:p w14:paraId="3606D2DE" w14:textId="77777777" w:rsidR="00692E23" w:rsidRDefault="00692E23" w:rsidP="00692E23">
      <w:r>
        <w:t>PMID: 2187664Review.</w:t>
      </w:r>
    </w:p>
    <w:p w14:paraId="3ED458D4" w14:textId="77777777" w:rsidR="00692E23" w:rsidRDefault="00692E23" w:rsidP="00692E23">
      <w:r>
        <w:t>Dry skin in atopic dermatitis.</w:t>
      </w:r>
    </w:p>
    <w:p w14:paraId="7360901C" w14:textId="77777777" w:rsidR="00692E23" w:rsidRDefault="00692E23" w:rsidP="00692E23">
      <w:r>
        <w:t>Linde YW.</w:t>
      </w:r>
    </w:p>
    <w:p w14:paraId="5A856CDE" w14:textId="77777777" w:rsidR="00692E23" w:rsidRDefault="00692E23" w:rsidP="00692E23">
      <w:r>
        <w:t>Acta Derm Venereol Suppl (Stockh). 1992;177:9-13.</w:t>
      </w:r>
    </w:p>
    <w:p w14:paraId="4BAE73AA" w14:textId="77777777" w:rsidR="00692E23" w:rsidRDefault="00692E23" w:rsidP="00692E23">
      <w:r>
        <w:t>PMID: 1466189Review.</w:t>
      </w:r>
    </w:p>
    <w:p w14:paraId="7E9813A0" w14:textId="77777777" w:rsidR="00692E23" w:rsidRDefault="00692E23" w:rsidP="00692E23">
      <w:r>
        <w:t>See all similar articles</w:t>
      </w:r>
    </w:p>
    <w:p w14:paraId="2B35DD48" w14:textId="77777777" w:rsidR="00692E23" w:rsidRDefault="00692E23" w:rsidP="00692E23">
      <w:r>
        <w:t>Cited by</w:t>
      </w:r>
    </w:p>
    <w:p w14:paraId="4C76EC3F" w14:textId="77777777" w:rsidR="00692E23" w:rsidRDefault="00692E23" w:rsidP="00692E23">
      <w:r>
        <w:t>Methodology Validation: Correlating Adherent Scalp Flaking Score (ASFS) With Phototrichogram for Scalp Dandruff Evaluation in Adult Subjects.</w:t>
      </w:r>
    </w:p>
    <w:p w14:paraId="0952059B" w14:textId="77777777" w:rsidR="00692E23" w:rsidRDefault="00692E23" w:rsidP="00692E23">
      <w:r>
        <w:t>Patel MN, Patel NK, Merja AM, Gajera DU, Purani AK, Pandya JH.</w:t>
      </w:r>
    </w:p>
    <w:p w14:paraId="2AADC12F" w14:textId="77777777" w:rsidR="00692E23" w:rsidRDefault="00692E23" w:rsidP="00692E23">
      <w:r>
        <w:t>Cureus. 2024 Jun 26;16(6):e63247. doi: 10.7759/cureus.63247. eCollection 2024 Jun.</w:t>
      </w:r>
    </w:p>
    <w:p w14:paraId="66D8F28D" w14:textId="77777777" w:rsidR="00692E23" w:rsidRDefault="00692E23" w:rsidP="00692E23">
      <w:r>
        <w:t>PMID: 39070400Free PMC article.</w:t>
      </w:r>
    </w:p>
    <w:p w14:paraId="2BDDFA31" w14:textId="77777777" w:rsidR="00692E23" w:rsidRDefault="00692E23" w:rsidP="00692E23">
      <w:r>
        <w:t>Evaluation of Morphological and Structural Skin Alterations on Diabetic Subjects by Biophysical and Imaging Techniques.</w:t>
      </w:r>
    </w:p>
    <w:p w14:paraId="7DD40403" w14:textId="77777777" w:rsidR="00692E23" w:rsidRDefault="00692E23" w:rsidP="00692E23">
      <w:r>
        <w:t>Moraes VR, Melo MO, Maia Campos PMBG.</w:t>
      </w:r>
    </w:p>
    <w:p w14:paraId="49AADB9A" w14:textId="77777777" w:rsidR="00692E23" w:rsidRDefault="00692E23" w:rsidP="00692E23">
      <w:r>
        <w:t>Life (Basel). 2023 Feb 18;13(2):579. doi: 10.3390/life13020579.</w:t>
      </w:r>
    </w:p>
    <w:p w14:paraId="3AB78E2B" w14:textId="77777777" w:rsidR="00692E23" w:rsidRDefault="00692E23" w:rsidP="00692E23">
      <w:r>
        <w:t>PMID: 36836936Free PMC article.</w:t>
      </w:r>
    </w:p>
    <w:p w14:paraId="2ED5DEB0" w14:textId="77777777" w:rsidR="00692E23" w:rsidRDefault="00692E23" w:rsidP="00692E23">
      <w:r>
        <w:lastRenderedPageBreak/>
        <w:t>Dynamic trends in skin barrier function from birth to age 6 months and infantile atopic dermatitis: A Chinese prospective cohort study.</w:t>
      </w:r>
    </w:p>
    <w:p w14:paraId="5DCCE253" w14:textId="77777777" w:rsidR="00692E23" w:rsidRDefault="00692E23" w:rsidP="00692E23">
      <w:r>
        <w:t>Ye Y, Zhao P, Dou L, Zhang Y, Ken K, Gu H, Dou Y, Gao W, He L, Chen X, Huang X, Zhang L, Li Y, Wang L, Yan W.</w:t>
      </w:r>
    </w:p>
    <w:p w14:paraId="18136292" w14:textId="77777777" w:rsidR="00692E23" w:rsidRDefault="00692E23" w:rsidP="00692E23">
      <w:r>
        <w:t>Clin Transl Allergy. 2021 Jul 3;11(5):e12043. doi: 10.1002/clt2.12043. eCollection 2021 Jul.</w:t>
      </w:r>
    </w:p>
    <w:p w14:paraId="3AB93B67" w14:textId="77777777" w:rsidR="00692E23" w:rsidRDefault="00692E23" w:rsidP="00692E23">
      <w:r>
        <w:t>PMID: 34262694Free PMC article.</w:t>
      </w:r>
    </w:p>
    <w:p w14:paraId="6F28B961" w14:textId="77777777" w:rsidR="00692E23" w:rsidRDefault="00692E23" w:rsidP="00692E23">
      <w:r>
        <w:t>Objective and Patient-reported Assessments of Skin Grafts and Keystone Flaps-A Pilot Retrospective Cohort Study.</w:t>
      </w:r>
    </w:p>
    <w:p w14:paraId="085CABB6" w14:textId="77777777" w:rsidR="00692E23" w:rsidRDefault="00692E23" w:rsidP="00692E23">
      <w:r>
        <w:t>Dobbs TD, Jovic TH, Jessop ZM, Kyle A, Hutchings HA, Whitaker IS.</w:t>
      </w:r>
    </w:p>
    <w:p w14:paraId="66342721" w14:textId="77777777" w:rsidR="00692E23" w:rsidRDefault="00692E23" w:rsidP="00692E23">
      <w:r>
        <w:t>Plast Reconstr Surg Glob Open. 2018 Nov 16;6(11):e2024. doi: 10.1097/GOX.0000000000002024. eCollection 2018 Nov.</w:t>
      </w:r>
    </w:p>
    <w:p w14:paraId="79CDF7CC" w14:textId="77777777" w:rsidR="00692E23" w:rsidRDefault="00692E23" w:rsidP="00692E23">
      <w:r>
        <w:t>PMID: 30881809Free PMC article.</w:t>
      </w:r>
    </w:p>
    <w:p w14:paraId="6DA85301" w14:textId="77777777" w:rsidR="00692E23" w:rsidRDefault="00692E23" w:rsidP="00692E23">
      <w:r>
        <w:t>Oral Supplementation with Hydrolyzed Fish Cartilage Improves the Morphological and Structural Characteristics of the Skin: A Double-Blind, Placebo-Controlled Clinical Study.</w:t>
      </w:r>
    </w:p>
    <w:p w14:paraId="6D853DFA" w14:textId="77777777" w:rsidR="00692E23" w:rsidRDefault="00692E23" w:rsidP="00692E23">
      <w:r>
        <w:t>Maia Campos PMBG, Franco RSB, Kakuda L, Cadioli GF, Costa GMD, Bouvret E.</w:t>
      </w:r>
    </w:p>
    <w:p w14:paraId="2BA7A053" w14:textId="77777777" w:rsidR="00692E23" w:rsidRDefault="00692E23" w:rsidP="00692E23">
      <w:r>
        <w:t>Molecules. 2021 Aug 12;26(16):4880. doi: 10.3390/molecules26164880.</w:t>
      </w:r>
    </w:p>
    <w:p w14:paraId="58BE5768" w14:textId="77777777" w:rsidR="00692E23" w:rsidRDefault="00692E23" w:rsidP="00692E23">
      <w:r>
        <w:t>PMID: 34443468Free PMC article.Clinical Trial.</w:t>
      </w:r>
    </w:p>
    <w:p w14:paraId="192C2705" w14:textId="77777777" w:rsidR="00692E23" w:rsidRDefault="00692E23" w:rsidP="00692E23">
      <w:r>
        <w:t>See all "Cited by" articles</w:t>
      </w:r>
    </w:p>
    <w:p w14:paraId="4DE1B66B" w14:textId="77777777" w:rsidR="00692E23" w:rsidRDefault="00692E23" w:rsidP="00692E23">
      <w:r>
        <w:t>MeSH terms</w:t>
      </w:r>
    </w:p>
    <w:p w14:paraId="67200B46" w14:textId="77777777" w:rsidR="00692E23" w:rsidRDefault="00692E23" w:rsidP="00692E23">
      <w:r>
        <w:t>Adult</w:t>
      </w:r>
    </w:p>
    <w:p w14:paraId="535D658E" w14:textId="77777777" w:rsidR="00692E23" w:rsidRDefault="00692E23" w:rsidP="00692E23">
      <w:r>
        <w:t>Biophysics</w:t>
      </w:r>
    </w:p>
    <w:p w14:paraId="410DCC5B" w14:textId="77777777" w:rsidR="00692E23" w:rsidRDefault="00692E23" w:rsidP="00692E23">
      <w:r>
        <w:t>Body Water / metabolism</w:t>
      </w:r>
    </w:p>
    <w:p w14:paraId="49659BBF" w14:textId="77777777" w:rsidR="00692E23" w:rsidRDefault="00692E23" w:rsidP="00692E23">
      <w:r>
        <w:t>Female</w:t>
      </w:r>
    </w:p>
    <w:p w14:paraId="5A14BC50" w14:textId="77777777" w:rsidR="00692E23" w:rsidRDefault="00692E23" w:rsidP="00692E23">
      <w:r>
        <w:t>Humans</w:t>
      </w:r>
    </w:p>
    <w:p w14:paraId="68891F4E" w14:textId="77777777" w:rsidR="00692E23" w:rsidRDefault="00692E23" w:rsidP="00692E23">
      <w:r>
        <w:t>Middle Aged</w:t>
      </w:r>
    </w:p>
    <w:p w14:paraId="6F82CFCB" w14:textId="77777777" w:rsidR="00692E23" w:rsidRDefault="00692E23" w:rsidP="00692E23">
      <w:r>
        <w:t>Sebum / metabolism</w:t>
      </w:r>
    </w:p>
    <w:p w14:paraId="086AA47F" w14:textId="77777777" w:rsidR="00692E23" w:rsidRDefault="00692E23" w:rsidP="00692E23">
      <w:r>
        <w:t>Skin Physiological Phenomena*</w:t>
      </w:r>
    </w:p>
    <w:p w14:paraId="7E355873" w14:textId="77777777" w:rsidR="00692E23" w:rsidRDefault="00692E23" w:rsidP="00692E23">
      <w:r>
        <w:t>Skin Pigmentation</w:t>
      </w:r>
    </w:p>
    <w:p w14:paraId="5F8F3C72" w14:textId="77777777" w:rsidR="00692E23" w:rsidRDefault="00692E23" w:rsidP="00692E23">
      <w:r>
        <w:t>Skin* / anatomy &amp; histology</w:t>
      </w:r>
    </w:p>
    <w:p w14:paraId="150EC73F" w14:textId="77777777" w:rsidR="00692E23" w:rsidRDefault="00692E23" w:rsidP="00692E23">
      <w:r>
        <w:t>Skin* / metabolism</w:t>
      </w:r>
    </w:p>
    <w:p w14:paraId="72FE6997" w14:textId="77777777" w:rsidR="00692E23" w:rsidRDefault="00692E23" w:rsidP="00692E23">
      <w:r>
        <w:t>Related information</w:t>
      </w:r>
    </w:p>
    <w:p w14:paraId="2525BE6B" w14:textId="77777777" w:rsidR="00692E23" w:rsidRDefault="00692E23" w:rsidP="00692E23">
      <w:r>
        <w:t>MedGen</w:t>
      </w:r>
    </w:p>
    <w:p w14:paraId="3406CC63" w14:textId="77777777" w:rsidR="00692E23" w:rsidRDefault="00692E23" w:rsidP="00692E23">
      <w:r>
        <w:t>LinkOut - more resources</w:t>
      </w:r>
    </w:p>
    <w:p w14:paraId="03DBD0AE" w14:textId="77777777" w:rsidR="00692E23" w:rsidRDefault="00692E23" w:rsidP="00692E23">
      <w:r>
        <w:lastRenderedPageBreak/>
        <w:t>Full Text Sources</w:t>
      </w:r>
    </w:p>
    <w:p w14:paraId="22E1471B" w14:textId="77777777" w:rsidR="00692E23" w:rsidRDefault="00692E23" w:rsidP="00692E23">
      <w:r>
        <w:t>Ovid Technologies, Inc.</w:t>
      </w:r>
    </w:p>
    <w:p w14:paraId="37718A83" w14:textId="77777777" w:rsidR="00692E23" w:rsidRDefault="00692E23" w:rsidP="00692E23">
      <w:r>
        <w:t>Silverchair Information Systems</w:t>
      </w:r>
    </w:p>
    <w:p w14:paraId="19DB83CE" w14:textId="77777777" w:rsidR="00692E23" w:rsidRDefault="00692E23" w:rsidP="00692E23">
      <w:r>
        <w:t>Wiley</w:t>
      </w:r>
    </w:p>
    <w:p w14:paraId="155C42DD" w14:textId="77777777" w:rsidR="00692E23" w:rsidRDefault="00692E23" w:rsidP="00692E23">
      <w:r>
        <w:t>Other Literature Sources</w:t>
      </w:r>
    </w:p>
    <w:p w14:paraId="0F7DE7A3" w14:textId="77777777" w:rsidR="00692E23" w:rsidRDefault="00692E23" w:rsidP="00692E23">
      <w:r>
        <w:t>The Lens - Patent Citations Database</w:t>
      </w:r>
    </w:p>
    <w:p w14:paraId="295A60CB" w14:textId="6C2C1966" w:rsidR="00D477E3" w:rsidRDefault="00692E23" w:rsidP="00692E23">
      <w:r>
        <w:t>scite Smart Citations</w:t>
      </w:r>
    </w:p>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222"/>
    <w:rsid w:val="003F3222"/>
    <w:rsid w:val="00433FDD"/>
    <w:rsid w:val="00692E23"/>
    <w:rsid w:val="00A5024A"/>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E3DB70-4162-4800-A740-94AC3D87D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2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2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2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2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2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2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2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2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2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2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222"/>
    <w:rPr>
      <w:rFonts w:eastAsiaTheme="majorEastAsia" w:cstheme="majorBidi"/>
      <w:color w:val="272727" w:themeColor="text1" w:themeTint="D8"/>
    </w:rPr>
  </w:style>
  <w:style w:type="paragraph" w:styleId="Title">
    <w:name w:val="Title"/>
    <w:basedOn w:val="Normal"/>
    <w:next w:val="Normal"/>
    <w:link w:val="TitleChar"/>
    <w:uiPriority w:val="10"/>
    <w:qFormat/>
    <w:rsid w:val="003F3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222"/>
    <w:pPr>
      <w:spacing w:before="160"/>
      <w:jc w:val="center"/>
    </w:pPr>
    <w:rPr>
      <w:i/>
      <w:iCs/>
      <w:color w:val="404040" w:themeColor="text1" w:themeTint="BF"/>
    </w:rPr>
  </w:style>
  <w:style w:type="character" w:customStyle="1" w:styleId="QuoteChar">
    <w:name w:val="Quote Char"/>
    <w:basedOn w:val="DefaultParagraphFont"/>
    <w:link w:val="Quote"/>
    <w:uiPriority w:val="29"/>
    <w:rsid w:val="003F3222"/>
    <w:rPr>
      <w:i/>
      <w:iCs/>
      <w:color w:val="404040" w:themeColor="text1" w:themeTint="BF"/>
    </w:rPr>
  </w:style>
  <w:style w:type="paragraph" w:styleId="ListParagraph">
    <w:name w:val="List Paragraph"/>
    <w:basedOn w:val="Normal"/>
    <w:uiPriority w:val="34"/>
    <w:qFormat/>
    <w:rsid w:val="003F3222"/>
    <w:pPr>
      <w:ind w:left="720"/>
      <w:contextualSpacing/>
    </w:pPr>
  </w:style>
  <w:style w:type="character" w:styleId="IntenseEmphasis">
    <w:name w:val="Intense Emphasis"/>
    <w:basedOn w:val="DefaultParagraphFont"/>
    <w:uiPriority w:val="21"/>
    <w:qFormat/>
    <w:rsid w:val="003F3222"/>
    <w:rPr>
      <w:i/>
      <w:iCs/>
      <w:color w:val="2F5496" w:themeColor="accent1" w:themeShade="BF"/>
    </w:rPr>
  </w:style>
  <w:style w:type="paragraph" w:styleId="IntenseQuote">
    <w:name w:val="Intense Quote"/>
    <w:basedOn w:val="Normal"/>
    <w:next w:val="Normal"/>
    <w:link w:val="IntenseQuoteChar"/>
    <w:uiPriority w:val="30"/>
    <w:qFormat/>
    <w:rsid w:val="003F32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222"/>
    <w:rPr>
      <w:i/>
      <w:iCs/>
      <w:color w:val="2F5496" w:themeColor="accent1" w:themeShade="BF"/>
    </w:rPr>
  </w:style>
  <w:style w:type="character" w:styleId="IntenseReference">
    <w:name w:val="Intense Reference"/>
    <w:basedOn w:val="DefaultParagraphFont"/>
    <w:uiPriority w:val="32"/>
    <w:qFormat/>
    <w:rsid w:val="003F32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2026-08-19T13:44:00Z</dcterms:created>
  <dcterms:modified xsi:type="dcterms:W3CDTF">2026-08-19T13:44:00Z</dcterms:modified>
</cp:coreProperties>
</file>