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B6CB0"/>
          <w:sz w:val="52"/>
          <w:szCs w:val="52"/>
        </w:rPr>
        <w:t xml:space="preserve">Imminash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Free Occupation Matcher — Product Logic Document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Version 1.0   |   For internal use and product development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Overview</w:t>
      </w:r>
    </w:p>
    <w:p>
      <w:pPr>
        <w:spacing w:before="60"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document outlines the step-by-step logic for the Imminash Free Occupation Matcher tool. The tool helps skilled migrants identify their top 3 ANZSCO occupations for Australian General Skilled Migration (GSM), along with an estimated points score and current invitation round data.</w:t>
      </w:r>
    </w:p>
    <w:p>
      <w:pPr>
        <w:spacing w:before="60"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is the first of three products on the Imminash platform. The occupation matcher feeds directly into the Visa Pathway Tool (Tool 2) and serves as the top-of-funnel entry point for the paid Skill Assessment Document Builder (Tool 3).</w:t>
      </w:r>
    </w:p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How to Use This Document</w:t>
      </w:r>
    </w:p>
    <w:p>
      <w:pPr>
        <w:spacing w:before="60"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Each step below describes one stage of the product logic. Read each step in order before building. Where a warning note is included, treat it as a hard requirement — not a suggestion.</w:t>
      </w:r>
    </w:p>
    <w:p>
      <w:pPr>
        <w:spacing w:before="60"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If anything is unclear, raise it before building. Incorrect logic in early steps compounds into incorrect outputs at the end.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Product Logic — 8 Steps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Collect User Inputs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Gather all information required for occupation matching and points calculation through a structured form. Fields include: first name, age, current visa and expiry, highest education level, field of study, country of education, Australian study details (2+ years, regional), additional qualifications, current employment status, job title, years of Australian and overseas work experience, roles and responsibilities (mandatory), English test score, NAATI/CCL, Professional Year, and partner details.</w:t>
            </w:r>
          </w:p>
          <w:p>
            <w:r>
              <w:rPr>
                <w:rFonts w:ascii="Arial" w:cs="Arial" w:eastAsia="Arial" w:hAnsi="Arial"/>
                <w:i/>
                <w:iCs/>
                <w:color w:val="C05621"/>
                <w:sz w:val="20"/>
                <w:szCs w:val="20"/>
              </w:rPr>
              <w:t xml:space="preserve">⚠ Roles &amp; Responsibilities is mandatory — this is the primary driver for occupation matching. Without it the matching accuracy drops significantly.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Qualification + Industry Filter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Before running occupation matching, filter the occupation universe based on the user's qualification level and field of study. This ensures only occupations the user is academically eligible for are considered. A qualification mismatch eliminates an occupation entirely regardless of experience — this filter must run before Step 3.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Match Against MLTSSL, STSOL, and State Occupation Lists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Cross-reference the user's job title, duties, and qualifications against occupations on the Medium and Long-term Strategic Skills List (MLTSSL), Short-term Skilled Occupation List (STSOL), and active State/Territory occupation lists. Only occupations currently on these lists are eligible for skilled migration — this step ensures no invalid or inactive occupations are surfaced.</w:t>
            </w:r>
          </w:p>
          <w:p>
            <w:r>
              <w:rPr>
                <w:rFonts w:ascii="Arial" w:cs="Arial" w:eastAsia="Arial" w:hAnsi="Arial"/>
                <w:i/>
                <w:iCs/>
                <w:color w:val="C05621"/>
                <w:sz w:val="20"/>
                <w:szCs w:val="20"/>
              </w:rPr>
              <w:t xml:space="preserve">⚠ Only include currently active lists. Ensure the data is up to date — occupation lists are updated periodically by the Department of Home Affairs.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Validate Against ANZSCO 1220.0 (First Edition, Revision 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For each shortlisted occupation from Step 3, validate the match against the ANZSCO 1220.0 First Edition Revision 1 — the specific edition used by ACS and most assessing bodies. This confirms the unit group description, skill level, and tasks align with the user's actual duties. This step separates a confident match from a borderline one.</w:t>
            </w:r>
          </w:p>
          <w:p>
            <w:r>
              <w:rPr>
                <w:rFonts w:ascii="Arial" w:cs="Arial" w:eastAsia="Arial" w:hAnsi="Arial"/>
                <w:i/>
                <w:iCs/>
                <w:color w:val="C05621"/>
                <w:sz w:val="20"/>
                <w:szCs w:val="20"/>
              </w:rPr>
              <w:t xml:space="preserve">⚠ Always use First Edition Revision 1 specifically. ACS does not use the Second Edition currently in development — using the wrong edition will produce incorrect matches.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Calculate Single Points Score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Calculate one consolidated points score for the user based on all inputs: age, English proficiency, Australian and overseas work experience, qualification level, Australian study bonus, regional study bonus, Professional Year, NAATI/CCL, and partner skills. This single score applies across all three matched occupations. Where work experience does not strongly align with a matched occupation, display a warning on that occupation's result card.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Overlay Invitation Round Data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For each of the top 3 matched occupations, display: (1) the points cutoff from the most recent invitation round for the 189 visa if the occupation is on MLTSSL, or the relevant state/territory round if on STSOL or state lists; and (2) which states are currently inviting for that occupation. This data is maintained manually and updated by the migration agent each time new round results are published.</w:t>
            </w:r>
          </w:p>
          <w:p>
            <w:r>
              <w:rPr>
                <w:rFonts w:ascii="Arial" w:cs="Arial" w:eastAsia="Arial" w:hAnsi="Arial"/>
                <w:i/>
                <w:iCs/>
                <w:color w:val="C05621"/>
                <w:sz w:val="20"/>
                <w:szCs w:val="20"/>
              </w:rPr>
              <w:t xml:space="preserve">⚠ This data must be kept current. Stale round data is worse than no data — it creates false expectations for the user.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Rank by Match Confidence — Output Top 3 Occupation Cards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Rank the top 3 occupations primarily by match confidence score (how closely the user's duties, qualifications, and experience align with the ANZSCO unit group description). Display each occupation as a card showing: ANZSCO code and title, match confidence percentage, brief explanation of why it matched, estimated points score vs last round cutoff, states currently inviting, and any warnings about experience alignment.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Weak Match or Non-ACS Occupation — Warning + Agent Prompt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If the top matched occupations fall below the confidence threshold, display a warning clearly stating the match is weak and the results may not be reliable. If any matched occupation is assessed by a body other than ACS, flag it explicitly and prompt the user to book a free consultation with a migration agent. Both scenarios should present a clear call-to-action to speak with an agent rather than proceeding independently.</w:t>
            </w:r>
          </w:p>
          <w:p>
            <w:r>
              <w:rPr>
                <w:rFonts w:ascii="Arial" w:cs="Arial" w:eastAsia="Arial" w:hAnsi="Arial"/>
                <w:i/>
                <w:iCs/>
                <w:color w:val="C05621"/>
                <w:sz w:val="20"/>
                <w:szCs w:val="20"/>
              </w:rPr>
              <w:t xml:space="preserve">⚠ This step is also your lead generation conversion point. The prompt to book a call should be warm and helpful, not a dead end — frame it as 'your case needs expert eyes' not 'we can't help you.'</w:t>
            </w:r>
          </w:p>
        </w:tc>
      </w:tr>
    </w:tbl>
    <w:p>
      <w:pPr>
        <w:spacing w:before="160" w:after="0"/>
      </w:pP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Output Specification — Occupation Result Card</w:t>
      </w:r>
    </w:p>
    <w:p>
      <w:pPr>
        <w:spacing w:before="60"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Each of the top 3 occupations is displayed as a card containing the following fields: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ANZSCO Code +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 occupation code and official title as per ANZSCO 1220.0 First Edition Revision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Match Confidence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Percentage score indicating how closely the user's profile aligns with this occupation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Why It Matched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2–3 sentence plain English explanation of the match reasoning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Points Score vs Cutoff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User's estimated points score displayed alongside the last invitation round cutoff for this occupation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Experience Alignment Warning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Displayed only if work experience does not strongly align — flags that this occupation may not be the strongest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States Currently Inviting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 of states/territories actively inviting for this occupation under 190 or 491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Not ACS — Agent 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If the assessing body is not ACS, a flag is shown with a prompt to book a migration agent consultation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Data Maintenance Responsibilities</w:t>
      </w:r>
    </w:p>
    <w:p>
      <w:pPr>
        <w:spacing w:before="60"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following data sets must be kept current by the migration agent. The developer will incorporate updates each time new data is provided.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MLTSSL / STSOL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Updated by Department of Home Affairs. Monitor for changes and provide updated list to developer promptly.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State Occupation Lists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Each state/territory publishes and updates their own list independently. Review all states when updates are flagged.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189 Invitation Round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Published quarterly. Provide latest points cutoff per occupation to developer after each release.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State Invitation Round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Varies by state. Provide updated cutoffs and open/closed status per occupation after each state release.</w:t>
            </w:r>
          </w:p>
        </w:tc>
      </w:tr>
    </w:tbl>
    <w:p>
      <w:pPr>
        <w:spacing w:before="80" w:after="0"/>
      </w:pP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Final Note</w:t>
      </w:r>
    </w:p>
    <w:p>
      <w:pPr>
        <w:spacing w:before="60"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document covers the Free Occupation Matcher only (Tool 1 of 3). The Visa Pathway Tool (Tool 2) logic will be documented separately once Tool 1 is built and validated. The paid Skill Assessment Document Builder (Tool 3) will be documented after Tool 2.</w:t>
      </w:r>
    </w:p>
    <w:p>
      <w:pPr>
        <w:spacing w:before="60" w:after="0"/>
      </w:pPr>
    </w:p>
    <w:p>
      <w:pPr>
        <w:spacing w:before="40" w:after="8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Questions or clarifications — raise with Dev before building. Do not make assumptions on logic — incorrect early steps produce incorrect outputs downstream.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jc w:val="right"/>
    </w:pPr>
    <w:r>
      <w:rPr>
        <w:rFonts w:ascii="Arial" w:cs="Arial" w:eastAsia="Arial" w:hAnsi="Arial"/>
        <w:color w:val="718096"/>
        <w:sz w:val="18"/>
        <w:szCs w:val="18"/>
      </w:rPr>
      <w:t xml:space="preserve">Confidential — Internal Use Only   |   Page </w:t>
    </w:r>
    <w:r>
      <w:rPr>
        <w:rFonts w:ascii="Arial" w:cs="Arial" w:eastAsia="Arial" w:hAnsi="Arial"/>
        <w:color w:val="718096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</w:pPr>
    <w:r>
      <w:rPr>
        <w:rFonts w:ascii="Arial" w:cs="Arial" w:eastAsia="Arial" w:hAnsi="Arial"/>
        <w:b/>
        <w:bCs/>
        <w:color w:val="2B6CB0"/>
        <w:sz w:val="20"/>
        <w:szCs w:val="20"/>
      </w:rPr>
      <w:t xml:space="preserve">Imminash — Occupation Matcher</w:t>
    </w:r>
    <w:r>
      <w:rPr>
        <w:rFonts w:ascii="Arial" w:cs="Arial" w:eastAsia="Arial" w:hAnsi="Arial"/>
        <w:color w:val="718096"/>
        <w:sz w:val="20"/>
        <w:szCs w:val="20"/>
      </w:rPr>
      <w:t xml:space="preserve">   |   Product Logic Document (v1.0)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B6CB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20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2026-03-22T05:49:40.484Z</dcterms:created>
  <dcterms:modified xsi:type="dcterms:W3CDTF">2026-03-22T05:49:40.484Z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