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56"/>
          <w:szCs w:val="56"/>
          <w:rtl w:val="0"/>
        </w:rPr>
        <w:t xml:space="preserve">Imminash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34"/>
          <w:szCs w:val="34"/>
          <w:rtl w:val="0"/>
        </w:rPr>
        <w:t xml:space="preserve">V1 Launch Readiness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20"/>
          <w:szCs w:val="20"/>
          <w:rtl w:val="0"/>
        </w:rPr>
        <w:t xml:space="preserve">Three products. One funnel. Use this checklist to track everything needed before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8"/>
          <w:szCs w:val="28"/>
          <w:rtl w:val="0"/>
        </w:rPr>
        <w:t xml:space="preserve">What We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1"/>
          <w:szCs w:val="21"/>
          <w:rtl w:val="0"/>
        </w:rPr>
        <w:t xml:space="preserve">Three layered products, all scoped to ACS in V1: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2385"/>
        <w:gridCol w:w="5955"/>
        <w:tblGridChange w:id="0">
          <w:tblGrid>
            <w:gridCol w:w="1020"/>
            <w:gridCol w:w="2385"/>
            <w:gridCol w:w="5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20"/>
                <w:szCs w:val="20"/>
                <w:rtl w:val="0"/>
              </w:rPr>
              <w:t xml:space="preserve">Occupation 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Conversational AI tool — recommends top 3 ACS occupations based on experience, education, and PR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20"/>
                <w:szCs w:val="20"/>
                <w:rtl w:val="0"/>
              </w:rPr>
              <w:t xml:space="preserve">Visa Pathway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Based on occupation and profile, recommends best visa stream — 189, 190, or 491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6749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20"/>
                <w:szCs w:val="20"/>
                <w:rtl w:val="0"/>
              </w:rPr>
              <w:t xml:space="preserve">Skill Assessment Document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Split-screen interface — AI interviews user on the right, populates ACS-compliant work experience document on the left. User downloads and gets manager sign-off.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335"/>
                <w:sz w:val="26"/>
                <w:szCs w:val="26"/>
                <w:rtl w:val="0"/>
              </w:rPr>
              <w:t xml:space="preserve">1. Legal &amp;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335"/>
                <w:sz w:val="22"/>
                <w:szCs w:val="22"/>
                <w:rtl w:val="0"/>
              </w:rPr>
              <w:t xml:space="preserve">Disclaimers &amp; Liability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-9388441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Draft and publish a disclaimer that the tool does not constitute migration advice and is for informational purposes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Must appear on every page, not just in T&amp;Cs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/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Confirm disclaimer language is compliant with OMARA guidelines on AI-assisted migration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Ensure no language anywhere on the platform implies guaranteed visa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Review all copy, microcopy, button labels, and result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Add clear statement that results are indicative only and users should consult a registered migration agent for complex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Document and publish Privacy Policy covering what user data is collected, stored, and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/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Document and publish Terms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/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Confirm the paid Skill Assessment Document Builder does not constitute a skill assessment service under OMARA regulations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Critical — get clarity on this before launching the paid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621"/>
                <w:sz w:val="26"/>
                <w:szCs w:val="26"/>
                <w:rtl w:val="0"/>
              </w:rPr>
              <w:t xml:space="preserve">2. Data &amp; Content Readiness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621"/>
                <w:sz w:val="22"/>
                <w:szCs w:val="22"/>
                <w:rtl w:val="0"/>
              </w:rPr>
              <w:t xml:space="preserve">Occupation Lists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13903299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Compile current MLTSSL with all eligible occupations and ANZSCO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Compile current STSOL with all eligible occupations and ANZSCO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Compile active state/territory occupation lists for all 8 states/territories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Map each ACS-assessed occupation to its correct ANZSCO 1220.0 First Edition Revision 1 unit group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This is the core matching dataset — accuracy here determines product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Create a structured data file (JSON or spreadsheet) the developer can ingest for occupation matching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Establish a process for updating occupation lists when Department of Home Affairs publishes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621"/>
                <w:sz w:val="22"/>
                <w:szCs w:val="22"/>
                <w:rtl w:val="0"/>
              </w:rPr>
              <w:t xml:space="preserve">Invitation Round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20917173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Compile 189 invitation round data for the current and previous financial year — points cutoff per occupation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Compile state nomination invitation data (190/491) — cutoff points and open/closed status per occupation per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Structure this data in a format the developer can maintain and update after each quarterly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Confirm update cadence — migration agent to provide new round data to developer within 48 hours of each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621"/>
                <w:sz w:val="22"/>
                <w:szCs w:val="22"/>
                <w:rtl w:val="0"/>
              </w:rPr>
              <w:t xml:space="preserve">ACS-Specific Content (for Paid Tool)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46430320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Document the exact fields and structure of the ACS Competency Demonstration Report (CDR) for the document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Document ACS expectations for each section of the work experience write-up — what language, structure, and detail they look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This becomes the AI prompt training material — critical for output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Compile 5–10 anonymised real ACS work experience examples (approved cases from Studynash) to validate AI output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Document common reasons ACS rejects or requests additional information — to be used as negative examples in AI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6"/>
                <w:szCs w:val="26"/>
                <w:rtl w:val="0"/>
              </w:rPr>
              <w:t xml:space="preserve">3. Product — Tool 1: Free Occupation Matcher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Input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sdt>
              <w:sdtPr>
                <w:id w:val="160706047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all intake form fields as per the agreed input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First name, age, visa, education, work experience, English, partner details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Make Roles &amp; Responsibilities field mandatory with helpful placeholder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conditional logic — Australian study branch, partner branch, employment status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Validate all fields — no empty mandatory submissions, sensible input ranges for age/years of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Mobile responsive form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Occupation Matching Logic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sdt>
              <w:sdtPr>
                <w:id w:val="82023611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qualification + industry filter that narrows occupation universe before AI matching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AI matching against ANZSCO unit group descriptions using job title + duties as primary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Define and implement confidence threshold — occupations below threshold trigger weak match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 +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Test matching accuracy across 20+ real case profiles from Studynash historical clients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Do not launch without this validation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warning flag where work experience does not strongly align with matched 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non-ACS occupation flag with agent booking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Points Calculator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sdt>
              <w:sdtPr>
                <w:id w:val="28021983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points calculator covering all variables — age, English, Australian/overseas experience, qualifications, study bonuses, NAATI, Professional Year,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Validate calculator output against Department of Home Affairs official points test — must match exactly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Display points score clearly with a breakdown of how each component contributes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Results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sdt>
              <w:sdtPr>
                <w:id w:val="-135646216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occupation result card with all required fields — ANZSCO code, title, match confidence, reasoning, points vs cutoff, states inviting,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Rank top 3 occupations by match confidence as primary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Display last 189 invitation round cutoff and relevant state round data per 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Add clear call-to-action on each result card — 'Book a free consultation' linked to Studynash Calendly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Add email capture before showing results — optional but strongly recommended for lead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Consider offering results via email as an incentive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5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3c9a"/>
                <w:sz w:val="26"/>
                <w:szCs w:val="26"/>
                <w:rtl w:val="0"/>
              </w:rPr>
              <w:t xml:space="preserve">4. Product — Tool 2: Free Visa Pathway 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5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3c9a"/>
                <w:sz w:val="22"/>
                <w:szCs w:val="22"/>
                <w:rtl w:val="0"/>
              </w:rPr>
              <w:t xml:space="preserve">Logic &amp;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sdt>
              <w:sdtPr>
                <w:id w:val="27353153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Document the decision logic for recommending 189 vs 190 vs 491 based on occupation list eligibility, points score, and state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 +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logic that pulls occupation and points data from Tool 1 output — users who complete Tool 1 should not re-enter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Seamless handoff between Tool 1 and Tool 2 is critical for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state availability overlay — show which states are currently open for the user's 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491 regional pathway logic — flag regional study/work bonus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Handle edge case where user does not qualify for any pathway — display honest message and agent 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 +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5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3c9a"/>
                <w:sz w:val="22"/>
                <w:szCs w:val="22"/>
                <w:rtl w:val="0"/>
              </w:rPr>
              <w:t xml:space="preserve">Results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sdt>
              <w:sdtPr>
                <w:id w:val="9184419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Display recommended visa pathway with clear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Show points required vs points the user has for each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Display estimated processing times per pathway — sourced from Department of Home Affairs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Add next steps guidance — what the user should do after seeing their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Add call-to-action — 'Prepare your skill assessment documents' linking to paid Tool 3, or 'Speak to an agent' linking to Studynash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6749"/>
                <w:sz w:val="26"/>
                <w:szCs w:val="26"/>
                <w:rtl w:val="0"/>
              </w:rPr>
              <w:t xml:space="preserve">5. Product — Tool 3: Paid Skill Assessment Document Builder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6749"/>
                <w:sz w:val="22"/>
                <w:szCs w:val="22"/>
                <w:rtl w:val="0"/>
              </w:rPr>
              <w:t xml:space="preserve">Payment &amp;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-4524065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payment gateway — Stripe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Define pricing for the paid document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paywall — users access Tool 3 only after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receipt and confirmation email on successful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Define refund policy and display it clearly before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6749"/>
                <w:sz w:val="22"/>
                <w:szCs w:val="22"/>
                <w:rtl w:val="0"/>
              </w:rPr>
              <w:t xml:space="preserve">Conversational AI Interview (Right Panel)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sdt>
              <w:sdtPr>
                <w:id w:val="-138839697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conversational AI agent that interviews user to extract all information needed for ACS work experience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Train AI agent on ACS expectations — what level of detail, what language, what structure ACS looks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dynamic questioning — AI probes deeper when answers are vague or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logic for the AI to know when it has sufficient information to populate each field confidently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Test interview flow with 5+ real users before launch — identify where users get confused or drop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6749"/>
                <w:sz w:val="22"/>
                <w:szCs w:val="22"/>
                <w:rtl w:val="0"/>
              </w:rPr>
              <w:t xml:space="preserve">Live Document Builder (Left Panel)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-192234101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split-screen UI — conversational interface right, live document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real-time document population as AI confirms each field from the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Map all ACS CDR fields to the document template — no missing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Allow user to manually edit any field in the left panel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download functionality — user downloads completed document as a PDF or Word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Add clear instruction on the download page — 'Take this document to your manager for signature'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6749"/>
                <w:sz w:val="22"/>
                <w:szCs w:val="22"/>
                <w:rtl w:val="0"/>
              </w:rPr>
              <w:t xml:space="preserve">Quality Assurance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210174568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Test AI output quality against 10+ real Studynash ACS cases — migration agent to review and score each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This is your quality gate — do not launch paid tool until output quality is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Define minimum quality threshold for AI output — what score is acceptable before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a review flag — if AI confidence in output is low, prompt user to book agent review before submitting to 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 +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18096"/>
                <w:sz w:val="26"/>
                <w:szCs w:val="26"/>
                <w:rtl w:val="0"/>
              </w:rPr>
              <w:t xml:space="preserve">6. Brand &amp; Go-to-Market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22"/>
                <w:szCs w:val="22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sdt>
              <w:sdtPr>
                <w:id w:val="19770632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Finalise Imminash logo and brand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Register imminash.com or agreed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branded email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Build landing page explaining the three tools and the 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Write all product copy — headlines, microcopy, tooltips, result card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Tone: smart, warm, plain English — not legal, not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22"/>
                <w:szCs w:val="22"/>
                <w:rtl w:val="0"/>
              </w:rPr>
              <w:t xml:space="preserve">Launch &amp; Distribution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sdt>
              <w:sdtPr>
                <w:id w:val="15506892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email capture and CRM — all leads from free tools go into 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 +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Connect Imminash agent referral CTA to Studynash Calendly booking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Plan launch announcement to Internash community — email, Instagram,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Identify 20 beta users from Studynash existing client base to test all three tools before 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+ Migration Agent Co-founder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basic analytics — track form completion rate, drop-off points, Tool 1 to Tool 2 to Tool 3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feedback mechanism — simple post-result survey to capture 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6"/>
                <w:szCs w:val="26"/>
                <w:rtl w:val="0"/>
              </w:rPr>
              <w:t xml:space="preserve">7. Technical 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360"/>
        <w:gridCol w:w="2400"/>
        <w:tblGridChange w:id="0">
          <w:tblGrid>
            <w:gridCol w:w="600"/>
            <w:gridCol w:w="6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sdt>
              <w:sdtPr>
                <w:id w:val="-158069319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556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Choose and set up hosting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staging environment for testing before production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user authentication — account creation, login, password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Store user session data so returning users do not re-enter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database for storing user profiles, tool results, and payment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Implement data encryption at rest and in transit for all 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error logging and monitoring — know when something breaks before users report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Test all tools on mobile, tablet, and desktop — Chrome, Safari,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Set up automated backups for all 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GDPR/Australian Privacy Act compliance review — data handling, deletion requests,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20"/>
                <w:szCs w:val="20"/>
                <w:rtl w:val="0"/>
              </w:rPr>
              <w:t xml:space="preserve">Dev / Legal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8"/>
          <w:szCs w:val="28"/>
          <w:rtl w:val="0"/>
        </w:rPr>
        <w:t xml:space="preserve">Launch Readiness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20"/>
          <w:szCs w:val="20"/>
          <w:rtl w:val="0"/>
        </w:rPr>
        <w:t xml:space="preserve">Recommended launch sequence — do not skip steps or launch tools out of order.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60"/>
        <w:gridCol w:w="3600"/>
        <w:tblGridChange w:id="0">
          <w:tblGrid>
            <w:gridCol w:w="1200"/>
            <w:gridCol w:w="4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6cb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6cb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6cb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Gate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Data &amp; content ready — occupation lists, round data, ACS CDR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76749"/>
                <w:sz w:val="19"/>
                <w:szCs w:val="19"/>
                <w:rtl w:val="0"/>
              </w:rPr>
              <w:t xml:space="preserve">Migration agent sign-off on all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Tool 1 (Occupation Matcher) built and tested with 20 real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76749"/>
                <w:sz w:val="19"/>
                <w:szCs w:val="19"/>
                <w:rtl w:val="0"/>
              </w:rPr>
              <w:t xml:space="preserve">Matching accuracy validated by migration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Tool 2 (Visa Pathway) built and connected to Tool 1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76749"/>
                <w:sz w:val="19"/>
                <w:szCs w:val="19"/>
                <w:rtl w:val="0"/>
              </w:rPr>
              <w:t xml:space="preserve">Seamless handoff confirmed, logic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Beta launch with 20 users from Studynash client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76749"/>
                <w:sz w:val="19"/>
                <w:szCs w:val="19"/>
                <w:rtl w:val="0"/>
              </w:rPr>
              <w:t xml:space="preserve">Feedback collected, critical bugs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Tool 3 (Document Builder) built, AI output quality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76749"/>
                <w:sz w:val="19"/>
                <w:szCs w:val="19"/>
                <w:rtl w:val="0"/>
              </w:rPr>
              <w:t xml:space="preserve">Migration agent scores output — minimum threshold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Public launch with full funnel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76749"/>
                <w:sz w:val="19"/>
                <w:szCs w:val="19"/>
                <w:rtl w:val="0"/>
              </w:rPr>
              <w:t xml:space="preserve">All legal, compliance, and payment items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18096"/>
          <w:sz w:val="22"/>
          <w:szCs w:val="22"/>
          <w:rtl w:val="0"/>
        </w:rPr>
        <w:t xml:space="preserve">Imminash V1 — Build it right, launch it fast, validate as you go.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Bdr>
        <w:top w:color="e2e8f0" w:space="6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718096"/>
        <w:sz w:val="18"/>
        <w:szCs w:val="18"/>
        <w:rtl w:val="0"/>
      </w:rPr>
      <w:t xml:space="preserve">Confidential — Internal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pBdr>
        <w:bottom w:color="e2e8f0" w:space="6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2b6cb0"/>
        <w:sz w:val="20"/>
        <w:szCs w:val="20"/>
        <w:rtl w:val="0"/>
      </w:rPr>
      <w:t xml:space="preserve">Imminash</w:t>
    </w:r>
    <w:r w:rsidDel="00000000" w:rsidR="00000000" w:rsidRPr="00000000">
      <w:rPr>
        <w:rFonts w:ascii="Arial" w:cs="Arial" w:eastAsia="Arial" w:hAnsi="Arial"/>
        <w:color w:val="718096"/>
        <w:sz w:val="20"/>
        <w:szCs w:val="20"/>
        <w:rtl w:val="0"/>
      </w:rPr>
      <w:t xml:space="preserve">   |   V1 Launch Readiness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6cb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v2EMsfVJUoIdYMZ6rKZ8xRdej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R29TVWVNeV9BQjhycHVMRFpYTWNOelFCT3dfTlJlb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2026-03-22T05:59:34.563Z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