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E6 Disruption Notice</w:t>
      </w:r>
    </w:p>
    <w:p>
      <w:r>
        <w:t>DOC_ID: DIS-E6-0002</w:t>
        <w:br/>
        <w:t>PUB_DATE: 2026-11-15</w:t>
        <w:br/>
        <w:t>RELIABILITY: 1</w:t>
        <w:br/>
        <w:t>COUNTRY: Vanaheim</w:t>
        <w:br/>
        <w:t>SECTOR: timber</w:t>
        <w:br/>
        <w:t>---</w:t>
      </w:r>
    </w:p>
    <w:p>
      <w:r>
        <w:t>[P1] The Ministry of Transit confirms severe structural failure at the South Reach Sluice.</w:t>
      </w:r>
    </w:p>
    <w:p>
      <w:r>
        <w:t>[P2] Heavy barge traffic along the primary sluice canal is suspended indefinitely pending repair.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