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Evaluation Methodology and Statistical Design Specification</w:t>
      </w:r>
    </w:p>
    <w:p>
      <w:pPr>
        <w:pStyle w:val="Heading2"/>
        <w:rPr/>
      </w:pPr>
      <w:r>
        <w:rPr/>
        <w:t>Kerala Higher Education Teaching Quality Analytics and Faculty Development Portal (K-TQAFD)</w:t>
      </w:r>
    </w:p>
    <w:p>
      <w:pPr>
        <w:pStyle w:val="Heading3"/>
        <w:rPr/>
      </w:pPr>
      <w:r>
        <w:rPr/>
        <w:t>Version 2.0 (Diagnostic and Development-Oriented Framework)</w:t>
      </w:r>
    </w:p>
    <w:p>
      <w:pPr>
        <w:pStyle w:val="Normal"/>
        <w:rPr/>
      </w:pPr>
      <w:bookmarkStart w:id="0" w:name="X13ba5719320714f168d92b2f9106bd7925ae577"/>
      <w:bookmarkStart w:id="1" w:name="Xb242a66f187654fa1753f132b539ef945548dc1"/>
      <w:bookmarkStart w:id="2" w:name="X005a66e2a07e3a5d196d51322f861b4b8a58ee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  <w:bookmarkEnd w:id="2"/>
    </w:p>
    <w:p>
      <w:pPr>
        <w:pStyle w:val="Heading1"/>
        <w:rPr/>
      </w:pPr>
      <w:r>
        <w:rPr/>
        <w:t>1. Purpose</w:t>
      </w:r>
    </w:p>
    <w:p>
      <w:pPr>
        <w:pStyle w:val="FirstParagraph"/>
        <w:rPr/>
      </w:pPr>
      <w:r>
        <w:rPr/>
        <w:t>The objective of this framework is not to rank faculty members or generate a single measure of teaching quality.</w:t>
      </w:r>
    </w:p>
    <w:p>
      <w:pPr>
        <w:pStyle w:val="BodyText"/>
        <w:rPr/>
      </w:pPr>
      <w:r>
        <w:rPr/>
        <w:t>The objective is to:</w:t>
      </w:r>
    </w:p>
    <w:p>
      <w:pPr>
        <w:pStyle w:val="Compact"/>
        <w:numPr>
          <w:ilvl w:val="0"/>
          <w:numId w:val="1"/>
        </w:numPr>
        <w:rPr/>
      </w:pPr>
      <w:r>
        <w:rPr/>
        <w:t>Identify strengths in teaching-learning processes.</w:t>
      </w:r>
    </w:p>
    <w:p>
      <w:pPr>
        <w:pStyle w:val="Compact"/>
        <w:numPr>
          <w:ilvl w:val="0"/>
          <w:numId w:val="1"/>
        </w:numPr>
        <w:rPr/>
      </w:pPr>
      <w:r>
        <w:rPr/>
        <w:t>Detect areas requiring support or intervention.</w:t>
      </w:r>
    </w:p>
    <w:p>
      <w:pPr>
        <w:pStyle w:val="Compact"/>
        <w:numPr>
          <w:ilvl w:val="0"/>
          <w:numId w:val="1"/>
        </w:numPr>
        <w:rPr/>
      </w:pPr>
      <w:r>
        <w:rPr/>
        <w:t>Distinguish faculty-level issues from systemic issues.</w:t>
      </w:r>
    </w:p>
    <w:p>
      <w:pPr>
        <w:pStyle w:val="Compact"/>
        <w:numPr>
          <w:ilvl w:val="0"/>
          <w:numId w:val="1"/>
        </w:numPr>
        <w:rPr/>
      </w:pPr>
      <w:r>
        <w:rPr/>
        <w:t>Support continuous professional development.</w:t>
      </w:r>
    </w:p>
    <w:p>
      <w:pPr>
        <w:pStyle w:val="Compact"/>
        <w:numPr>
          <w:ilvl w:val="0"/>
          <w:numId w:val="1"/>
        </w:numPr>
        <w:rPr/>
      </w:pPr>
      <w:r>
        <w:rPr/>
        <w:t>Provide evidence-based institutional and policy insights.</w:t>
      </w:r>
    </w:p>
    <w:p>
      <w:pPr>
        <w:pStyle w:val="FirstParagraph"/>
        <w:rPr/>
      </w:pPr>
      <w:r>
        <w:rPr/>
        <w:t>The framework therefore adopts a multidimensional diagnostic approach rather than a composite rating approach.</w:t>
      </w:r>
    </w:p>
    <w:p>
      <w:pPr>
        <w:pStyle w:val="Normal"/>
        <w:rPr/>
      </w:pPr>
      <w:bookmarkStart w:id="3" w:name="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1"/>
        <w:rPr/>
      </w:pPr>
      <w:r>
        <w:rPr/>
        <w:t>2. Measurement Philosophy</w:t>
      </w:r>
    </w:p>
    <w:p>
      <w:pPr>
        <w:pStyle w:val="FirstParagraph"/>
        <w:rPr/>
      </w:pPr>
      <w:r>
        <w:rPr/>
        <w:t>Teaching quality is a latent construct that cannot be measured directly.</w:t>
      </w:r>
    </w:p>
    <w:p>
      <w:pPr>
        <w:pStyle w:val="BodyText"/>
        <w:rPr/>
      </w:pPr>
      <w:r>
        <w:rPr/>
        <w:t>Student responses are observations influenced by:</w:t>
      </w:r>
    </w:p>
    <w:p>
      <w:pPr>
        <w:pStyle w:val="Compact"/>
        <w:numPr>
          <w:ilvl w:val="0"/>
          <w:numId w:val="86"/>
        </w:numPr>
        <w:rPr/>
      </w:pPr>
      <w:r>
        <w:rPr/>
        <w:t>Actual teaching effectiveness.</w:t>
      </w:r>
    </w:p>
    <w:p>
      <w:pPr>
        <w:pStyle w:val="Compact"/>
        <w:numPr>
          <w:ilvl w:val="0"/>
          <w:numId w:val="87"/>
        </w:numPr>
        <w:rPr/>
      </w:pPr>
      <w:r>
        <w:rPr/>
        <w:t>Student expectations.</w:t>
      </w:r>
    </w:p>
    <w:p>
      <w:pPr>
        <w:pStyle w:val="Compact"/>
        <w:numPr>
          <w:ilvl w:val="0"/>
          <w:numId w:val="88"/>
        </w:numPr>
        <w:rPr/>
      </w:pPr>
      <w:r>
        <w:rPr/>
        <w:t>Course characteristics.</w:t>
      </w:r>
    </w:p>
    <w:p>
      <w:pPr>
        <w:pStyle w:val="Compact"/>
        <w:numPr>
          <w:ilvl w:val="0"/>
          <w:numId w:val="89"/>
        </w:numPr>
        <w:rPr/>
      </w:pPr>
      <w:r>
        <w:rPr/>
        <w:t>Assessment outcomes.</w:t>
      </w:r>
    </w:p>
    <w:p>
      <w:pPr>
        <w:pStyle w:val="Compact"/>
        <w:numPr>
          <w:ilvl w:val="0"/>
          <w:numId w:val="90"/>
        </w:numPr>
        <w:rPr/>
      </w:pPr>
      <w:r>
        <w:rPr/>
        <w:t>Environmental factors.</w:t>
      </w:r>
    </w:p>
    <w:p>
      <w:pPr>
        <w:pStyle w:val="Compact"/>
        <w:numPr>
          <w:ilvl w:val="0"/>
          <w:numId w:val="91"/>
        </w:numPr>
        <w:rPr/>
      </w:pPr>
      <w:r>
        <w:rPr/>
        <w:t>Random variation.</w:t>
      </w:r>
    </w:p>
    <w:p>
      <w:pPr>
        <w:pStyle w:val="FirstParagraph"/>
        <w:rPr/>
      </w:pPr>
      <w:r>
        <w:rPr/>
        <w:t>Accordingly, all reported indicators shall be treated as estimates with associated uncertainty.</w:t>
      </w:r>
    </w:p>
    <w:p>
      <w:pPr>
        <w:pStyle w:val="Normal"/>
        <w:rPr/>
      </w:pPr>
      <w:bookmarkStart w:id="4" w:name="measurement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1"/>
        <w:rPr/>
      </w:pPr>
      <w:r>
        <w:rPr/>
        <w:t>3. Evaluation Dimensions</w:t>
      </w:r>
    </w:p>
    <w:p>
      <w:pPr>
        <w:pStyle w:val="FirstParagraph"/>
        <w:rPr/>
      </w:pPr>
      <w:r>
        <w:rPr/>
        <w:t>The framework evaluates multiple independent dimensions.</w:t>
      </w:r>
    </w:p>
    <w:p>
      <w:pPr>
        <w:pStyle w:val="BodyText"/>
        <w:rPr/>
      </w:pPr>
      <w:r>
        <w:rPr/>
        <w:t>No overall faculty score shall be computed.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D1: Teaching Clarity</w:t>
      </w:r>
    </w:p>
    <w:p>
      <w:pPr>
        <w:pStyle w:val="FirstParagraph"/>
        <w:rPr/>
      </w:pPr>
      <w:r>
        <w:rPr/>
        <w:t>Measures:</w:t>
      </w:r>
    </w:p>
    <w:p>
      <w:pPr>
        <w:pStyle w:val="Compact"/>
        <w:numPr>
          <w:ilvl w:val="0"/>
          <w:numId w:val="92"/>
        </w:numPr>
        <w:rPr/>
      </w:pPr>
      <w:r>
        <w:rPr/>
        <w:t>Concept explanation.</w:t>
      </w:r>
    </w:p>
    <w:p>
      <w:pPr>
        <w:pStyle w:val="Compact"/>
        <w:numPr>
          <w:ilvl w:val="0"/>
          <w:numId w:val="93"/>
        </w:numPr>
        <w:rPr/>
      </w:pPr>
      <w:r>
        <w:rPr/>
        <w:t>Organization of classes.</w:t>
      </w:r>
    </w:p>
    <w:p>
      <w:pPr>
        <w:pStyle w:val="Compact"/>
        <w:numPr>
          <w:ilvl w:val="0"/>
          <w:numId w:val="94"/>
        </w:numPr>
        <w:rPr/>
      </w:pPr>
      <w:r>
        <w:rPr/>
        <w:t>Use of examples.</w:t>
      </w:r>
    </w:p>
    <w:p>
      <w:pPr>
        <w:pStyle w:val="Compact"/>
        <w:numPr>
          <w:ilvl w:val="0"/>
          <w:numId w:val="95"/>
        </w:numPr>
        <w:rPr/>
      </w:pPr>
      <w:r>
        <w:rPr/>
        <w:t>Communication effectiveness.</w:t>
      </w:r>
    </w:p>
    <w:p>
      <w:pPr>
        <w:pStyle w:val="Normal"/>
        <w:rPr/>
      </w:pPr>
      <w:bookmarkStart w:id="5" w:name="d1-teaching-clar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/>
      </w:pPr>
      <w:r>
        <w:rPr/>
        <w:t>D2: Student Engagement</w:t>
      </w:r>
    </w:p>
    <w:p>
      <w:pPr>
        <w:pStyle w:val="FirstParagraph"/>
        <w:rPr/>
      </w:pPr>
      <w:r>
        <w:rPr/>
        <w:t>Measures:</w:t>
      </w:r>
    </w:p>
    <w:p>
      <w:pPr>
        <w:pStyle w:val="Compact"/>
        <w:numPr>
          <w:ilvl w:val="0"/>
          <w:numId w:val="96"/>
        </w:numPr>
        <w:rPr/>
      </w:pPr>
      <w:r>
        <w:rPr/>
        <w:t>Interaction.</w:t>
      </w:r>
    </w:p>
    <w:p>
      <w:pPr>
        <w:pStyle w:val="Compact"/>
        <w:numPr>
          <w:ilvl w:val="0"/>
          <w:numId w:val="97"/>
        </w:numPr>
        <w:rPr/>
      </w:pPr>
      <w:r>
        <w:rPr/>
        <w:t>Doubt clarification.</w:t>
      </w:r>
    </w:p>
    <w:p>
      <w:pPr>
        <w:pStyle w:val="Compact"/>
        <w:numPr>
          <w:ilvl w:val="0"/>
          <w:numId w:val="98"/>
        </w:numPr>
        <w:rPr/>
      </w:pPr>
      <w:r>
        <w:rPr/>
        <w:t>Participation encouragement.</w:t>
      </w:r>
    </w:p>
    <w:p>
      <w:pPr>
        <w:pStyle w:val="Compact"/>
        <w:numPr>
          <w:ilvl w:val="0"/>
          <w:numId w:val="99"/>
        </w:numPr>
        <w:rPr/>
      </w:pPr>
      <w:r>
        <w:rPr/>
        <w:t>Learning motivation.</w:t>
      </w:r>
    </w:p>
    <w:p>
      <w:pPr>
        <w:pStyle w:val="Normal"/>
        <w:rPr/>
      </w:pPr>
      <w:bookmarkStart w:id="6" w:name="d2-student-engag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rPr/>
      </w:pPr>
      <w:r>
        <w:rPr/>
        <w:t>D3: Assessment Practices</w:t>
      </w:r>
    </w:p>
    <w:p>
      <w:pPr>
        <w:pStyle w:val="FirstParagraph"/>
        <w:rPr/>
      </w:pPr>
      <w:r>
        <w:rPr/>
        <w:t>Measures:</w:t>
      </w:r>
    </w:p>
    <w:p>
      <w:pPr>
        <w:pStyle w:val="Compact"/>
        <w:numPr>
          <w:ilvl w:val="0"/>
          <w:numId w:val="100"/>
        </w:numPr>
        <w:rPr/>
      </w:pPr>
      <w:r>
        <w:rPr/>
        <w:t>Fairness.</w:t>
      </w:r>
    </w:p>
    <w:p>
      <w:pPr>
        <w:pStyle w:val="Compact"/>
        <w:numPr>
          <w:ilvl w:val="0"/>
          <w:numId w:val="101"/>
        </w:numPr>
        <w:rPr/>
      </w:pPr>
      <w:r>
        <w:rPr/>
        <w:t>Transparency.</w:t>
      </w:r>
    </w:p>
    <w:p>
      <w:pPr>
        <w:pStyle w:val="Compact"/>
        <w:numPr>
          <w:ilvl w:val="0"/>
          <w:numId w:val="102"/>
        </w:numPr>
        <w:rPr/>
      </w:pPr>
      <w:r>
        <w:rPr/>
        <w:t>Timeliness of feedback.</w:t>
      </w:r>
    </w:p>
    <w:p>
      <w:pPr>
        <w:pStyle w:val="Compact"/>
        <w:numPr>
          <w:ilvl w:val="0"/>
          <w:numId w:val="103"/>
        </w:numPr>
        <w:rPr/>
      </w:pPr>
      <w:r>
        <w:rPr/>
        <w:t>Alignment with learning outcomes.</w:t>
      </w:r>
    </w:p>
    <w:p>
      <w:pPr>
        <w:pStyle w:val="Normal"/>
        <w:rPr/>
      </w:pPr>
      <w:bookmarkStart w:id="7" w:name="d3-assessment-practi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D4: Learning Resources</w:t>
      </w:r>
    </w:p>
    <w:p>
      <w:pPr>
        <w:pStyle w:val="FirstParagraph"/>
        <w:rPr/>
      </w:pPr>
      <w:r>
        <w:rPr/>
        <w:t>Measures:</w:t>
      </w:r>
    </w:p>
    <w:p>
      <w:pPr>
        <w:pStyle w:val="Compact"/>
        <w:numPr>
          <w:ilvl w:val="0"/>
          <w:numId w:val="104"/>
        </w:numPr>
        <w:rPr/>
      </w:pPr>
      <w:r>
        <w:rPr/>
        <w:t>Notes.</w:t>
      </w:r>
    </w:p>
    <w:p>
      <w:pPr>
        <w:pStyle w:val="Compact"/>
        <w:numPr>
          <w:ilvl w:val="0"/>
          <w:numId w:val="105"/>
        </w:numPr>
        <w:rPr/>
      </w:pPr>
      <w:r>
        <w:rPr/>
        <w:t>Digital content.</w:t>
      </w:r>
    </w:p>
    <w:p>
      <w:pPr>
        <w:pStyle w:val="Compact"/>
        <w:numPr>
          <w:ilvl w:val="0"/>
          <w:numId w:val="106"/>
        </w:numPr>
        <w:rPr/>
      </w:pPr>
      <w:r>
        <w:rPr/>
        <w:t>Reference materials.</w:t>
      </w:r>
    </w:p>
    <w:p>
      <w:pPr>
        <w:pStyle w:val="Compact"/>
        <w:numPr>
          <w:ilvl w:val="0"/>
          <w:numId w:val="107"/>
        </w:numPr>
        <w:rPr/>
      </w:pPr>
      <w:r>
        <w:rPr/>
        <w:t>Learning support.</w:t>
      </w:r>
    </w:p>
    <w:p>
      <w:pPr>
        <w:pStyle w:val="Normal"/>
        <w:rPr/>
      </w:pPr>
      <w:bookmarkStart w:id="8" w:name="d4-learning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  <w:t>D5: Professional Conduct</w:t>
      </w:r>
    </w:p>
    <w:p>
      <w:pPr>
        <w:pStyle w:val="FirstParagraph"/>
        <w:rPr/>
      </w:pPr>
      <w:r>
        <w:rPr/>
        <w:t>Measures:</w:t>
      </w:r>
    </w:p>
    <w:p>
      <w:pPr>
        <w:pStyle w:val="Compact"/>
        <w:numPr>
          <w:ilvl w:val="0"/>
          <w:numId w:val="108"/>
        </w:numPr>
        <w:rPr/>
      </w:pPr>
      <w:r>
        <w:rPr/>
        <w:t>Respectfulness.</w:t>
      </w:r>
    </w:p>
    <w:p>
      <w:pPr>
        <w:pStyle w:val="Compact"/>
        <w:numPr>
          <w:ilvl w:val="0"/>
          <w:numId w:val="109"/>
        </w:numPr>
        <w:rPr/>
      </w:pPr>
      <w:r>
        <w:rPr/>
        <w:t>Accessibility.</w:t>
      </w:r>
    </w:p>
    <w:p>
      <w:pPr>
        <w:pStyle w:val="Compact"/>
        <w:numPr>
          <w:ilvl w:val="0"/>
          <w:numId w:val="110"/>
        </w:numPr>
        <w:rPr/>
      </w:pPr>
      <w:r>
        <w:rPr/>
        <w:t>Professionalism.</w:t>
      </w:r>
    </w:p>
    <w:p>
      <w:pPr>
        <w:pStyle w:val="Compact"/>
        <w:numPr>
          <w:ilvl w:val="0"/>
          <w:numId w:val="111"/>
        </w:numPr>
        <w:rPr/>
      </w:pPr>
      <w:r>
        <w:rPr/>
        <w:t>Inclusiveness.</w:t>
      </w:r>
    </w:p>
    <w:p>
      <w:pPr>
        <w:pStyle w:val="Normal"/>
        <w:rPr/>
      </w:pPr>
      <w:bookmarkStart w:id="9" w:name="d5-professional-condu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/>
      </w:pPr>
      <w:r>
        <w:rPr/>
        <w:t>D6: Student Learning Experience</w:t>
      </w:r>
    </w:p>
    <w:p>
      <w:pPr>
        <w:pStyle w:val="FirstParagraph"/>
        <w:rPr/>
      </w:pPr>
      <w:r>
        <w:rPr/>
        <w:t>Derived from:</w:t>
      </w:r>
    </w:p>
    <w:p>
      <w:pPr>
        <w:pStyle w:val="Compact"/>
        <w:numPr>
          <w:ilvl w:val="0"/>
          <w:numId w:val="112"/>
        </w:numPr>
        <w:rPr/>
      </w:pPr>
      <w:r>
        <w:rPr/>
        <w:t>Open comments.</w:t>
      </w:r>
    </w:p>
    <w:p>
      <w:pPr>
        <w:pStyle w:val="Compact"/>
        <w:numPr>
          <w:ilvl w:val="0"/>
          <w:numId w:val="113"/>
        </w:numPr>
        <w:rPr/>
      </w:pPr>
      <w:r>
        <w:rPr/>
        <w:t>Perceived learning gains.</w:t>
      </w:r>
    </w:p>
    <w:p>
      <w:pPr>
        <w:pStyle w:val="Compact"/>
        <w:numPr>
          <w:ilvl w:val="0"/>
          <w:numId w:val="114"/>
        </w:numPr>
        <w:rPr/>
      </w:pPr>
      <w:r>
        <w:rPr/>
        <w:t>Overall classroom experience.</w:t>
      </w:r>
    </w:p>
    <w:p>
      <w:pPr>
        <w:pStyle w:val="Normal"/>
        <w:rPr/>
      </w:pPr>
      <w:bookmarkStart w:id="10" w:name="d6-student-learning-experience"/>
      <w:bookmarkStart w:id="11" w:name="evaluation-dimen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1"/>
        <w:rPr/>
      </w:pPr>
      <w:r>
        <w:rPr/>
        <w:t>4. Measurement Model</w:t>
      </w:r>
    </w:p>
    <w:p>
      <w:pPr>
        <w:pStyle w:val="FirstParagraph"/>
        <w:rPr/>
      </w:pPr>
      <w:r>
        <w:rPr/>
        <w:t>Each dimension shall be treated independently.</w:t>
      </w:r>
    </w:p>
    <w:p>
      <w:pPr>
        <w:pStyle w:val="BodyText"/>
        <w:rPr/>
      </w:pPr>
      <w:r>
        <w:rPr/>
        <w:t>Dimension scores shall not be aggregated into a single score.</w:t>
      </w:r>
    </w:p>
    <w:p>
      <w:pPr>
        <w:pStyle w:val="BodyText"/>
        <w:rPr/>
      </w:pPr>
      <w:r>
        <w:rPr/>
        <w:t>This prevents loss of information and discourages ranking.</w:t>
      </w:r>
    </w:p>
    <w:p>
      <w:pPr>
        <w:pStyle w:val="Normal"/>
        <w:rPr/>
      </w:pPr>
      <w:bookmarkStart w:id="12" w:name="measurement-mod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1"/>
        <w:rPr/>
      </w:pPr>
      <w:r>
        <w:rPr/>
        <w:t xml:space="preserve">5. Response Normalization </w:t>
      </w:r>
      <w:r>
        <w:rPr/>
        <w:commentReference w:id="0"/>
      </w:r>
    </w:p>
    <w:p>
      <w:pPr>
        <w:pStyle w:val="FirstParagraph"/>
        <w:rPr/>
      </w:pPr>
      <w:r>
        <w:rPr/>
        <w:t>Responses shall be normalized to a common scale.</w:t>
      </w:r>
    </w:p>
    <w:p>
      <w:pPr>
        <w:pStyle w:val="FirstParagraph"/>
        <w:rPr/>
      </w:pPr>
      <w:r>
        <w:rPr/>
        <w:t>Let</w:t>
      </w:r>
    </w:p>
    <w:p>
      <w:pPr>
        <w:pStyle w:val="BodyText"/>
        <w:rPr/>
      </w:pPr>
      <w:r>
        <w:rPr/>
        <w:t>R(i,j)</w:t>
      </w:r>
    </w:p>
    <w:p>
      <w:pPr>
        <w:pStyle w:val="BodyText"/>
        <w:rPr/>
      </w:pPr>
      <w:r>
        <w:rPr/>
        <w:t>represent response from student i to question j.</w:t>
      </w:r>
    </w:p>
    <w:p>
      <w:pPr>
        <w:pStyle w:val="BodyText"/>
        <w:rPr/>
      </w:pPr>
      <w:r>
        <w:rPr/>
        <w:t>For a 5-point scale:</w:t>
      </w:r>
    </w:p>
    <w:p>
      <w:pPr>
        <w:pStyle w:val="BodyText"/>
        <w:rPr/>
      </w:pPr>
      <w:r>
        <w:rPr/>
        <w:t>Normalized Score</w:t>
      </w:r>
    </w:p>
    <w:p>
      <w:pPr>
        <w:pStyle w:val="BodyText"/>
        <w:rPr/>
      </w:pPr>
      <w:r>
        <w:rPr/>
        <w:t>N(i,j)</w:t>
      </w:r>
    </w:p>
    <w:p>
      <w:pPr>
        <w:pStyle w:val="BodyText"/>
        <w:rPr/>
      </w:pPr>
      <w:r>
        <w:rPr/>
        <w:t>=</w:t>
      </w:r>
    </w:p>
    <w:p>
      <w:pPr>
        <w:pStyle w:val="BodyText"/>
        <w:rPr/>
      </w:pPr>
      <w:r>
        <w:rPr/>
        <w:t>(R(i,j)-1)/4</w:t>
      </w:r>
    </w:p>
    <w:p>
      <w:pPr>
        <w:pStyle w:val="BodyText"/>
        <w:rPr/>
      </w:pPr>
      <w:r>
        <w:rPr/>
        <w:t>Resulting range:</w:t>
      </w:r>
    </w:p>
    <w:p>
      <w:pPr>
        <w:pStyle w:val="BodyText"/>
        <w:rPr/>
      </w:pPr>
      <w:r>
        <w:rPr/>
        <w:t>0 to 1</w:t>
      </w:r>
    </w:p>
    <w:p>
      <w:pPr>
        <w:pStyle w:val="BodyText"/>
        <w:rPr/>
      </w:pPr>
      <w:r>
        <w:rPr/>
        <w:t>or</w:t>
      </w:r>
    </w:p>
    <w:p>
      <w:pPr>
        <w:pStyle w:val="BodyText"/>
        <w:rPr/>
      </w:pPr>
      <w:r>
        <w:rPr/>
        <w:t>0 to 100 after scaling.</w:t>
      </w:r>
    </w:p>
    <w:p>
      <w:pPr>
        <w:pStyle w:val="Normal"/>
        <w:rPr/>
      </w:pPr>
      <w:bookmarkStart w:id="13" w:name="response-norm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1"/>
        <w:rPr/>
      </w:pPr>
      <w:r>
        <w:rPr/>
        <w:t>6. Robust Dimension Estimation</w:t>
      </w:r>
      <w:r>
        <w:rPr/>
        <w:commentReference w:id="1"/>
      </w:r>
    </w:p>
    <w:p>
      <w:pPr>
        <w:pStyle w:val="FirstParagraph"/>
        <w:rPr/>
      </w:pPr>
      <w:r>
        <w:rPr/>
        <w:t>For each dimension compute:</w:t>
      </w:r>
    </w:p>
    <w:p>
      <w:pPr>
        <w:pStyle w:val="Compact"/>
        <w:numPr>
          <w:ilvl w:val="0"/>
          <w:numId w:val="115"/>
        </w:numPr>
        <w:rPr/>
      </w:pPr>
      <w:r>
        <w:rPr/>
        <w:t>Mean (μ)</w:t>
      </w:r>
    </w:p>
    <w:p>
      <w:pPr>
        <w:pStyle w:val="Compact"/>
        <w:numPr>
          <w:ilvl w:val="0"/>
          <w:numId w:val="116"/>
        </w:numPr>
        <w:rPr/>
      </w:pPr>
      <w:r>
        <w:rPr/>
        <w:t>Median (M)</w:t>
      </w:r>
    </w:p>
    <w:p>
      <w:pPr>
        <w:pStyle w:val="Compact"/>
        <w:numPr>
          <w:ilvl w:val="0"/>
          <w:numId w:val="117"/>
        </w:numPr>
        <w:rPr/>
      </w:pPr>
      <w:r>
        <w:rPr/>
        <w:t>Trimmed Mean (T) – 10% Trimming</w:t>
      </w:r>
    </w:p>
    <w:p>
      <w:pPr>
        <w:pStyle w:val="Compact"/>
        <w:numPr>
          <w:ilvl w:val="0"/>
          <w:numId w:val="118"/>
        </w:numPr>
        <w:rPr/>
      </w:pPr>
      <w:r>
        <w:rPr/>
        <w:t>Standard Deviation</w:t>
      </w:r>
    </w:p>
    <w:p>
      <w:pPr>
        <w:pStyle w:val="FirstParagraph"/>
        <w:rPr/>
      </w:pPr>
      <w:r>
        <w:rPr/>
        <w:t>Dimension Estimate</w:t>
      </w:r>
    </w:p>
    <w:p>
      <w:pPr>
        <w:pStyle w:val="BodyText"/>
        <w:rPr/>
      </w:pPr>
      <w:r>
        <w:rPr/>
        <w:t>=</w:t>
      </w:r>
    </w:p>
    <w:p>
      <w:pPr>
        <w:pStyle w:val="BodyText"/>
        <w:rPr/>
      </w:pPr>
      <w:r>
        <w:rPr/>
        <w:t>Robust combination of:</w:t>
      </w:r>
    </w:p>
    <w:p>
      <w:pPr>
        <w:pStyle w:val="BodyText"/>
        <w:rPr/>
      </w:pPr>
      <w:r>
        <w:rPr/>
        <w:t>Median and Trimmed Mean</w:t>
      </w:r>
    </w:p>
    <w:p>
      <w:pPr>
        <w:pStyle w:val="BodyText"/>
        <w:rPr/>
      </w:pPr>
      <w:r>
        <w:rPr/>
        <w:t>Eg.: D = 0.3μ + 0.4M + 0.3T</w:t>
      </w:r>
    </w:p>
    <w:p>
      <w:pPr>
        <w:pStyle w:val="BodyText"/>
        <w:rPr/>
      </w:pPr>
      <w:r>
        <w:rPr/>
        <w:t>Median shall be preferred because of resistance to outliers.</w:t>
      </w:r>
    </w:p>
    <w:p>
      <w:pPr>
        <w:pStyle w:val="Normal"/>
        <w:rPr/>
      </w:pPr>
      <w:bookmarkStart w:id="14" w:name="robust-dimension-estim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1"/>
        <w:rPr/>
      </w:pPr>
      <w:r>
        <w:rPr/>
        <w:t>7. Response Reliability Index</w:t>
      </w:r>
    </w:p>
    <w:p>
      <w:pPr>
        <w:pStyle w:val="FirstParagraph"/>
        <w:rPr/>
      </w:pPr>
      <w:r>
        <w:rPr/>
        <w:t>Not all responses carry equal evidential value.</w:t>
      </w:r>
    </w:p>
    <w:p>
      <w:pPr>
        <w:pStyle w:val="BodyText"/>
        <w:rPr/>
      </w:pPr>
      <w:r>
        <w:rPr/>
        <w:t>Each response receives a Reliability Index.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Component A</w:t>
      </w:r>
    </w:p>
    <w:p>
      <w:pPr>
        <w:pStyle w:val="FirstParagraph"/>
        <w:rPr/>
      </w:pPr>
      <w:r>
        <w:rPr/>
        <w:t>Completion Score C.</w:t>
      </w:r>
    </w:p>
    <w:p>
      <w:pPr>
        <w:pStyle w:val="BodyText"/>
        <w:rPr/>
      </w:pPr>
      <w:r>
        <w:rPr/>
        <w:t>Measures completeness of submission. Range: 0–1</w:t>
      </w:r>
    </w:p>
    <w:p>
      <w:pPr>
        <w:pStyle w:val="Normal"/>
        <w:rPr/>
      </w:pPr>
      <w:bookmarkStart w:id="15" w:name="component-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Component B</w:t>
      </w:r>
    </w:p>
    <w:p>
      <w:pPr>
        <w:pStyle w:val="FirstParagraph"/>
        <w:rPr/>
      </w:pPr>
      <w:r>
        <w:rPr/>
        <w:t>Consistency Score K.</w:t>
      </w:r>
    </w:p>
    <w:p>
      <w:pPr>
        <w:pStyle w:val="BodyText"/>
        <w:rPr/>
      </w:pPr>
      <w:r>
        <w:rPr/>
        <w:t>Measures logical consistency among related responses.</w:t>
      </w:r>
    </w:p>
    <w:p>
      <w:pPr>
        <w:pStyle w:val="BodyText"/>
        <w:rPr/>
      </w:pPr>
      <w:r>
        <w:rPr/>
        <w:t>Range: 0–1</w:t>
      </w:r>
    </w:p>
    <w:p>
      <w:pPr>
        <w:pStyle w:val="Normal"/>
        <w:rPr/>
      </w:pPr>
      <w:bookmarkStart w:id="16" w:name="component-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2"/>
        <w:rPr/>
      </w:pPr>
      <w:r>
        <w:rPr/>
        <w:t>Component C</w:t>
      </w:r>
    </w:p>
    <w:p>
      <w:pPr>
        <w:pStyle w:val="FirstParagraph"/>
        <w:rPr/>
      </w:pPr>
      <w:r>
        <w:rPr/>
        <w:t>Comment Quality Score Q.</w:t>
      </w:r>
    </w:p>
    <w:p>
      <w:pPr>
        <w:pStyle w:val="BodyText"/>
        <w:rPr/>
      </w:pPr>
      <w:r>
        <w:rPr/>
        <w:t>Measures:</w:t>
      </w:r>
    </w:p>
    <w:p>
      <w:pPr>
        <w:pStyle w:val="Compact"/>
        <w:numPr>
          <w:ilvl w:val="0"/>
          <w:numId w:val="119"/>
        </w:numPr>
        <w:rPr/>
      </w:pPr>
      <w:r>
        <w:rPr/>
        <w:t>Specificity</w:t>
      </w:r>
    </w:p>
    <w:p>
      <w:pPr>
        <w:pStyle w:val="Compact"/>
        <w:numPr>
          <w:ilvl w:val="0"/>
          <w:numId w:val="120"/>
        </w:numPr>
        <w:rPr/>
      </w:pPr>
      <w:r>
        <w:rPr/>
        <w:t>Relevance</w:t>
      </w:r>
    </w:p>
    <w:p>
      <w:pPr>
        <w:pStyle w:val="Compact"/>
        <w:numPr>
          <w:ilvl w:val="0"/>
          <w:numId w:val="121"/>
        </w:numPr>
        <w:rPr/>
      </w:pPr>
      <w:r>
        <w:rPr/>
        <w:t>Constructiveness (Absence of abuse/spam)</w:t>
      </w:r>
    </w:p>
    <w:p>
      <w:pPr>
        <w:pStyle w:val="FirstParagraph"/>
        <w:rPr/>
      </w:pPr>
      <w:r>
        <w:rPr/>
        <w:t>Range: 0–1</w:t>
      </w:r>
    </w:p>
    <w:p>
      <w:pPr>
        <w:pStyle w:val="Normal"/>
        <w:rPr/>
      </w:pPr>
      <w:bookmarkStart w:id="17" w:name="component-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7"/>
    </w:p>
    <w:p>
      <w:pPr>
        <w:pStyle w:val="Heading2"/>
        <w:rPr/>
      </w:pPr>
      <w:r>
        <w:rPr/>
        <w:t>Component D</w:t>
      </w:r>
    </w:p>
    <w:p>
      <w:pPr>
        <w:pStyle w:val="FirstParagraph"/>
        <w:rPr/>
      </w:pPr>
      <w:r>
        <w:rPr/>
        <w:t>Response Behaviour Score/ Participation Context P.</w:t>
      </w:r>
    </w:p>
    <w:p>
      <w:pPr>
        <w:pStyle w:val="BodyText"/>
        <w:rPr/>
      </w:pPr>
      <w:r>
        <w:rPr/>
        <w:t>Future provision.</w:t>
      </w:r>
    </w:p>
    <w:p>
      <w:pPr>
        <w:pStyle w:val="BodyText"/>
        <w:rPr/>
      </w:pPr>
      <w:r>
        <w:rPr/>
        <w:t xml:space="preserve">May consider: </w:t>
      </w:r>
    </w:p>
    <w:p>
      <w:pPr>
        <w:pStyle w:val="Compact"/>
        <w:numPr>
          <w:ilvl w:val="0"/>
          <w:numId w:val="122"/>
        </w:numPr>
        <w:rPr/>
      </w:pPr>
      <w:r>
        <w:rPr/>
        <w:t>Random answering patterns</w:t>
      </w:r>
    </w:p>
    <w:p>
      <w:pPr>
        <w:pStyle w:val="Compact"/>
        <w:numPr>
          <w:ilvl w:val="0"/>
          <w:numId w:val="123"/>
        </w:numPr>
        <w:rPr/>
      </w:pPr>
      <w:r>
        <w:rPr/>
        <w:t>Straight-lining behaviour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Reliability Index RI</w:t>
      </w:r>
    </w:p>
    <w:p>
      <w:pPr>
        <w:pStyle w:val="FirstParagraph"/>
        <w:rPr/>
      </w:pPr>
      <w:r>
        <w:rPr/>
        <w:t>Overall Reliability: RI = 0.4C + 0.3K + 0.3Q</w:t>
      </w:r>
    </w:p>
    <w:p>
      <w:pPr>
        <w:pStyle w:val="BodyText"/>
        <w:rPr/>
      </w:pPr>
      <w:r>
        <w:rPr/>
        <w:t>Range: 0 to 1</w:t>
      </w:r>
    </w:p>
    <w:p>
      <w:pPr>
        <w:pStyle w:val="BodyText"/>
        <w:rPr/>
      </w:pPr>
      <w:r>
        <w:rPr/>
        <w:t>Used as a weighting factor.</w:t>
      </w:r>
    </w:p>
    <w:p>
      <w:pPr>
        <w:pStyle w:val="Normal"/>
        <w:rPr/>
      </w:pPr>
      <w:bookmarkStart w:id="18" w:name="component-d"/>
      <w:bookmarkStart w:id="19" w:name="response-reliability-frame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1"/>
        <w:rPr/>
      </w:pPr>
      <w:r>
        <w:rPr/>
        <w:t>8. Outlier Handling</w:t>
      </w:r>
    </w:p>
    <w:p>
      <w:pPr>
        <w:pStyle w:val="FirstParagraph"/>
        <w:rPr/>
      </w:pPr>
      <w:r>
        <w:rPr/>
        <w:t>Objective:</w:t>
      </w:r>
    </w:p>
    <w:p>
      <w:pPr>
        <w:pStyle w:val="FirstParagraph"/>
        <w:rPr/>
      </w:pPr>
      <w:r>
        <w:rPr/>
        <w:t>Reduce influence of revenge ratings and anomalous responses.</w:t>
      </w:r>
    </w:p>
    <w:p>
      <w:pPr>
        <w:pStyle w:val="FirstParagraph"/>
        <w:rPr/>
      </w:pPr>
      <w:r>
        <w:rPr/>
        <w:t>Extreme responses shall not be removed. Instead, their influence shall be reduced.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Statistical Detection Methods:</w:t>
      </w:r>
    </w:p>
    <w:p>
      <w:pPr>
        <w:pStyle w:val="FirstParagraph"/>
        <w:rPr/>
      </w:pPr>
      <w:r>
        <w:rPr/>
        <w:t>Calculate:</w:t>
      </w:r>
    </w:p>
    <w:p>
      <w:pPr>
        <w:pStyle w:val="BodyText"/>
        <w:rPr/>
      </w:pPr>
      <w:r>
        <w:rPr/>
        <w:t>Median M,</w:t>
      </w:r>
    </w:p>
    <w:p>
      <w:pPr>
        <w:pStyle w:val="BodyText"/>
        <w:rPr/>
      </w:pPr>
      <w:r>
        <w:rPr/>
        <w:t>Median Absolute Deviation (MAD)</w:t>
      </w:r>
    </w:p>
    <w:p>
      <w:pPr>
        <w:pStyle w:val="BodyText"/>
        <w:rPr/>
      </w:pPr>
      <w:r>
        <w:rPr/>
        <w:t>e.g.: Modified Z-score, Z= 0.6745 (R-M)/MAD</w:t>
      </w:r>
    </w:p>
    <w:p>
      <w:pPr>
        <w:pStyle w:val="FirstParagraph"/>
        <w:rPr/>
      </w:pPr>
      <w:r>
        <w:rPr/>
        <w:t>If |Z| &gt; 3.5, response is considered an outlier.</w:t>
      </w:r>
    </w:p>
    <w:p>
      <w:pPr>
        <w:pStyle w:val="BodyText"/>
        <w:rPr/>
      </w:pPr>
      <w:r>
        <w:rPr/>
        <w:t>Robust weighting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Purpose:</w:t>
      </w:r>
    </w:p>
    <w:p>
      <w:pPr>
        <w:pStyle w:val="BodyText"/>
        <w:rPr/>
      </w:pPr>
      <w:r>
        <w:rPr/>
        <w:t>Reduce influence of:</w:t>
      </w:r>
    </w:p>
    <w:p>
      <w:pPr>
        <w:pStyle w:val="Compact"/>
        <w:numPr>
          <w:ilvl w:val="0"/>
          <w:numId w:val="124"/>
        </w:numPr>
        <w:rPr/>
      </w:pPr>
      <w:r>
        <w:rPr/>
        <w:t>Revenge evaluations</w:t>
      </w:r>
    </w:p>
    <w:p>
      <w:pPr>
        <w:pStyle w:val="Compact"/>
        <w:numPr>
          <w:ilvl w:val="0"/>
          <w:numId w:val="125"/>
        </w:numPr>
        <w:rPr/>
      </w:pPr>
      <w:r>
        <w:rPr/>
        <w:t>Emotional responses</w:t>
      </w:r>
    </w:p>
    <w:p>
      <w:pPr>
        <w:pStyle w:val="Compact"/>
        <w:numPr>
          <w:ilvl w:val="0"/>
          <w:numId w:val="126"/>
        </w:numPr>
        <w:rPr/>
      </w:pPr>
      <w:r>
        <w:rPr/>
        <w:t>Accidental entries</w:t>
      </w:r>
    </w:p>
    <w:p>
      <w:pPr>
        <w:pStyle w:val="FirstParagraph"/>
        <w:rPr/>
      </w:pPr>
      <w:r>
        <w:rPr/>
        <w:t>without discarding potentially useful information.</w:t>
      </w:r>
    </w:p>
    <w:p>
      <w:pPr>
        <w:pStyle w:val="FirstParagraph"/>
        <w:rPr/>
      </w:pPr>
      <w:r>
        <w:rPr/>
        <w:t>Treatment:</w:t>
      </w:r>
    </w:p>
    <w:p>
      <w:pPr>
        <w:pStyle w:val="BodyText"/>
        <w:rPr/>
      </w:pPr>
      <w:r>
        <w:rPr/>
        <w:t>Do not remove. Apply reduced weight.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Normal Response: Weight = 1.0</w:t>
      </w:r>
    </w:p>
    <w:p>
      <w:pPr>
        <w:pStyle w:val="BodyText"/>
        <w:rPr/>
      </w:pPr>
      <w:r>
        <w:rPr/>
        <w:t>Outlier: Weight = 0.3</w:t>
      </w:r>
    </w:p>
    <w:p>
      <w:pPr>
        <w:pStyle w:val="Normal"/>
        <w:rPr/>
      </w:pPr>
      <w:bookmarkStart w:id="20" w:name="outlie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1"/>
        <w:rPr/>
      </w:pPr>
      <w:r>
        <w:rPr/>
        <w:t>9. Statistical Confidence</w:t>
      </w:r>
    </w:p>
    <w:p>
      <w:pPr>
        <w:pStyle w:val="FirstParagraph"/>
        <w:rPr/>
      </w:pPr>
      <w:r>
        <w:rPr/>
        <w:t>Every indicator shall include uncertainty measures. Small classes should not generate unstable rankings.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Reported Metrics</w:t>
      </w:r>
    </w:p>
    <w:p>
      <w:pPr>
        <w:pStyle w:val="BodyText"/>
        <w:rPr/>
      </w:pPr>
      <w:r>
        <w:rPr/>
        <w:t>Sample Size (number of responses, n)</w:t>
      </w:r>
    </w:p>
    <w:p>
      <w:pPr>
        <w:pStyle w:val="BodyText"/>
        <w:rPr/>
      </w:pPr>
      <w:r>
        <w:rPr/>
        <w:t>Standard Deviation (σ)</w:t>
      </w:r>
    </w:p>
    <w:p>
      <w:pPr>
        <w:pStyle w:val="BodyText"/>
        <w:rPr/>
      </w:pPr>
      <w:r>
        <w:rPr/>
        <w:t>Confidence Interval (CI)</w:t>
      </w:r>
    </w:p>
    <w:p>
      <w:pPr>
        <w:pStyle w:val="BodyText"/>
        <w:rPr/>
      </w:pPr>
      <w:r>
        <w:rPr/>
        <w:t>Response Reliability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Example:</w:t>
      </w:r>
    </w:p>
    <w:p>
      <w:pPr>
        <w:pStyle w:val="BodyText"/>
        <w:rPr/>
      </w:pPr>
      <w:r>
        <w:rPr/>
        <w:t>Teaching Clarity</w:t>
      </w:r>
    </w:p>
    <w:p>
      <w:pPr>
        <w:pStyle w:val="BodyText"/>
        <w:rPr/>
      </w:pPr>
      <w:r>
        <w:rPr/>
        <w:t>82/100</w:t>
      </w:r>
    </w:p>
    <w:p>
      <w:pPr>
        <w:pStyle w:val="BodyText"/>
        <w:rPr/>
      </w:pPr>
      <w:r>
        <w:rPr/>
        <w:t>Confidence Interval:</w:t>
      </w:r>
    </w:p>
    <w:p>
      <w:pPr>
        <w:pStyle w:val="BodyText"/>
        <w:rPr/>
      </w:pPr>
      <w:r>
        <w:rPr/>
        <w:t>78–86</w:t>
      </w:r>
    </w:p>
    <w:p>
      <w:pPr>
        <w:pStyle w:val="BodyText"/>
        <w:rPr/>
      </w:pPr>
      <w:r>
        <w:rPr/>
        <w:t>Confidence Level: High</w:t>
      </w:r>
    </w:p>
    <w:p>
      <w:pPr>
        <w:pStyle w:val="FirstParagraph"/>
        <w:rPr/>
      </w:pPr>
      <w:r>
        <w:rPr/>
        <w:t>For each faculty:</w:t>
      </w:r>
    </w:p>
    <w:p>
      <w:pPr>
        <w:pStyle w:val="BodyText"/>
        <w:rPr/>
      </w:pPr>
      <w:r>
        <w:rPr/>
        <w:t>n = number of responses</w:t>
      </w:r>
    </w:p>
    <w:p>
      <w:pPr>
        <w:pStyle w:val="BodyText"/>
        <w:rPr/>
      </w:pPr>
      <w:r>
        <w:rPr/>
        <w:t>σ = standard deviation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95% Confidence Interval</w:t>
      </w:r>
    </w:p>
    <w:p>
      <w:pPr>
        <w:pStyle w:val="BodyText"/>
        <w:rPr/>
      </w:pPr>
      <w:r>
        <w:rPr/>
        <w:t>CI = μ ± 1.96σ/√n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Displayed in reports.</w:t>
      </w:r>
    </w:p>
    <w:p>
      <w:pPr>
        <w:pStyle w:val="BodyText"/>
        <w:rPr/>
      </w:pPr>
      <w:r>
        <w:rPr/>
        <w:t>Example: Teaching Effectiveness</w:t>
      </w:r>
    </w:p>
    <w:p>
      <w:pPr>
        <w:pStyle w:val="BodyText"/>
        <w:rPr/>
      </w:pPr>
      <w:r>
        <w:rPr/>
        <w:t>82 ± 4</w:t>
      </w:r>
    </w:p>
    <w:p>
      <w:pPr>
        <w:pStyle w:val="BodyText"/>
        <w:rPr/>
      </w:pPr>
      <w:r>
        <w:rPr/>
        <w:t>Confidence: High</w:t>
      </w:r>
    </w:p>
    <w:p>
      <w:pPr>
        <w:pStyle w:val="Normal"/>
        <w:rPr/>
      </w:pPr>
      <w:bookmarkStart w:id="21" w:name="statistical-conf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1"/>
        <w:rPr/>
      </w:pPr>
      <w:r>
        <w:rPr/>
        <w:t>10. Bayesian Stabilization</w:t>
      </w:r>
    </w:p>
    <w:p>
      <w:pPr>
        <w:pStyle w:val="FirstParagraph"/>
        <w:rPr/>
      </w:pPr>
      <w:r>
        <w:rPr/>
        <w:t>Small classes produce unstable estimates.</w:t>
      </w:r>
    </w:p>
    <w:p>
      <w:pPr>
        <w:pStyle w:val="FirstParagraph"/>
        <w:rPr/>
      </w:pPr>
      <w:r>
        <w:rPr/>
        <w:t>Problem:</w:t>
      </w:r>
    </w:p>
    <w:p>
      <w:pPr>
        <w:pStyle w:val="BodyText"/>
        <w:rPr/>
      </w:pPr>
      <w:r>
        <w:rPr/>
        <w:t>Faculty A: 5 responses; Average = 95</w:t>
      </w:r>
    </w:p>
    <w:p>
      <w:pPr>
        <w:pStyle w:val="BodyText"/>
        <w:rPr/>
      </w:pPr>
      <w:r>
        <w:rPr/>
        <w:t>Faculty B: 100 responses; Average = 88</w:t>
      </w:r>
    </w:p>
    <w:p>
      <w:pPr>
        <w:pStyle w:val="BodyText"/>
        <w:rPr/>
      </w:pPr>
      <w:r>
        <w:rPr/>
        <w:t>Faculty A should not automatically appear superior.</w:t>
      </w:r>
    </w:p>
    <w:p>
      <w:pPr>
        <w:pStyle w:val="BodyText"/>
        <w:rPr/>
      </w:pPr>
      <w:r>
        <w:rPr/>
        <w:t>To avoid this:</w:t>
      </w:r>
    </w:p>
    <w:p>
      <w:pPr>
        <w:pStyle w:val="BodyText"/>
        <w:rPr/>
      </w:pPr>
      <w:r>
        <w:rPr/>
        <w:t>Bayesian shrinkage shall be applied.</w:t>
      </w:r>
    </w:p>
    <w:p>
      <w:pPr>
        <w:pStyle w:val="BodyText"/>
        <w:rPr/>
      </w:pPr>
      <w:r>
        <w:rPr/>
        <w:t>Dimension estimates shall be partially adjusted toward institutional and statewide reference values.</w:t>
      </w:r>
    </w:p>
    <w:p>
      <w:pPr>
        <w:pStyle w:val="BodyText"/>
        <w:rPr/>
      </w:pPr>
      <w:r>
        <w:rPr/>
        <w:t>This prevents misleading conclusions from very small sample sizes.</w:t>
      </w:r>
    </w:p>
    <w:p>
      <w:pPr>
        <w:pStyle w:val="BodyText"/>
        <w:rPr/>
      </w:pPr>
      <w:r>
        <w:rPr/>
        <w:t>Adjusted Score = (n × Faculty Score + m × Global Mean)/(n + m)</w:t>
      </w:r>
    </w:p>
    <w:p>
      <w:pPr>
        <w:pStyle w:val="BodyText"/>
        <w:rPr/>
      </w:pPr>
      <w:r>
        <w:rPr/>
        <w:t>where:</w:t>
      </w:r>
    </w:p>
    <w:p>
      <w:pPr>
        <w:pStyle w:val="BodyText"/>
        <w:rPr/>
      </w:pPr>
      <w:r>
        <w:rPr/>
        <w:t>m = stabilization constant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m = 30</w:t>
      </w:r>
    </w:p>
    <w:p>
      <w:pPr>
        <w:pStyle w:val="Normal"/>
        <w:rPr/>
      </w:pPr>
      <w:bookmarkStart w:id="22" w:name="bayesian-stabi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"/>
    </w:p>
    <w:p>
      <w:pPr>
        <w:pStyle w:val="Heading1"/>
        <w:rPr/>
      </w:pPr>
      <w:r>
        <w:rPr/>
        <w:t>11. Longitudinal Analysis</w:t>
      </w:r>
    </w:p>
    <w:p>
      <w:pPr>
        <w:pStyle w:val="FirstParagraph"/>
        <w:rPr/>
      </w:pPr>
      <w:r>
        <w:rPr/>
        <w:t>The primary comparison shall be:</w:t>
      </w:r>
    </w:p>
    <w:p>
      <w:pPr>
        <w:pStyle w:val="BodyText"/>
        <w:rPr/>
      </w:pPr>
      <w:r>
        <w:rPr/>
        <w:t>Faculty versus their own historical performance.</w:t>
      </w:r>
    </w:p>
    <w:p>
      <w:pPr>
        <w:pStyle w:val="BodyText"/>
        <w:rPr/>
      </w:pPr>
      <w:r>
        <w:rPr/>
        <w:t>Not:</w:t>
      </w:r>
    </w:p>
    <w:p>
      <w:pPr>
        <w:pStyle w:val="BodyText"/>
        <w:rPr/>
      </w:pPr>
      <w:r>
        <w:rPr/>
        <w:t>Faculty versus other faculty.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Trend Categories:</w:t>
      </w:r>
    </w:p>
    <w:p>
      <w:pPr>
        <w:pStyle w:val="BodyText"/>
        <w:rPr/>
      </w:pPr>
      <w:r>
        <w:rPr/>
        <w:tab/>
        <w:t>Improving</w:t>
      </w:r>
    </w:p>
    <w:p>
      <w:pPr>
        <w:pStyle w:val="BodyText"/>
        <w:rPr/>
      </w:pPr>
      <w:r>
        <w:rPr/>
        <w:tab/>
        <w:t>Stable</w:t>
      </w:r>
    </w:p>
    <w:p>
      <w:pPr>
        <w:pStyle w:val="BodyText"/>
        <w:rPr/>
      </w:pPr>
      <w:r>
        <w:rPr/>
        <w:tab/>
        <w:t>Declining</w:t>
      </w:r>
    </w:p>
    <w:p>
      <w:pPr>
        <w:pStyle w:val="FirstParagraph"/>
        <w:rPr/>
      </w:pPr>
      <w:r>
        <w:rPr/>
        <w:t>Trend significance shall be statistically evaluated.</w:t>
      </w:r>
    </w:p>
    <w:p>
      <w:pPr>
        <w:pStyle w:val="Normal"/>
        <w:rPr/>
      </w:pPr>
      <w:bookmarkStart w:id="23" w:name="longitudinal-analys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</w:p>
    <w:p>
      <w:pPr>
        <w:pStyle w:val="Heading1"/>
        <w:rPr/>
      </w:pPr>
      <w:r>
        <w:rPr/>
        <w:t>12. Benchmarking Framework</w:t>
      </w:r>
    </w:p>
    <w:p>
      <w:pPr>
        <w:pStyle w:val="FirstParagraph"/>
        <w:rPr/>
      </w:pPr>
      <w:r>
        <w:rPr/>
        <w:t>Benchmarking shall be used only for context.</w:t>
      </w:r>
    </w:p>
    <w:p>
      <w:pPr>
        <w:pStyle w:val="BodyText"/>
        <w:rPr/>
      </w:pPr>
      <w:r>
        <w:rPr/>
        <w:t>Examples:</w:t>
      </w:r>
    </w:p>
    <w:p>
      <w:pPr>
        <w:pStyle w:val="Compact"/>
        <w:numPr>
          <w:ilvl w:val="0"/>
          <w:numId w:val="127"/>
        </w:numPr>
        <w:rPr/>
      </w:pPr>
      <w:r>
        <w:rPr/>
        <w:t>Similar courses.</w:t>
      </w:r>
    </w:p>
    <w:p>
      <w:pPr>
        <w:pStyle w:val="Compact"/>
        <w:numPr>
          <w:ilvl w:val="0"/>
          <w:numId w:val="128"/>
        </w:numPr>
        <w:rPr/>
      </w:pPr>
      <w:r>
        <w:rPr/>
        <w:t>Similar disciplines.</w:t>
      </w:r>
    </w:p>
    <w:p>
      <w:pPr>
        <w:pStyle w:val="Compact"/>
        <w:numPr>
          <w:ilvl w:val="0"/>
          <w:numId w:val="129"/>
        </w:numPr>
        <w:rPr/>
      </w:pPr>
      <w:r>
        <w:rPr/>
        <w:t>Similar institutions.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Benchmarking shall not be used to generate rankings.</w:t>
      </w:r>
    </w:p>
    <w:p>
      <w:pPr>
        <w:pStyle w:val="Normal"/>
        <w:rPr/>
      </w:pPr>
      <w:bookmarkStart w:id="24" w:name="benchmarking-frame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</w:p>
    <w:p>
      <w:pPr>
        <w:pStyle w:val="Heading1"/>
        <w:rPr/>
      </w:pPr>
      <w:r>
        <w:rPr/>
        <w:t>13. Course Context (Difficulty) Adjustment</w:t>
      </w:r>
    </w:p>
    <w:p>
      <w:pPr>
        <w:pStyle w:val="FirstParagraph"/>
        <w:rPr/>
      </w:pPr>
      <w:r>
        <w:rPr/>
        <w:t>Student feedback is influenced by course characteristics.</w:t>
      </w:r>
    </w:p>
    <w:p>
      <w:pPr>
        <w:pStyle w:val="BodyText"/>
        <w:rPr/>
      </w:pPr>
      <w:r>
        <w:rPr/>
        <w:t>Adjustments may be applied for:</w:t>
      </w:r>
    </w:p>
    <w:p>
      <w:pPr>
        <w:pStyle w:val="Compact"/>
        <w:numPr>
          <w:ilvl w:val="0"/>
          <w:numId w:val="130"/>
        </w:numPr>
        <w:rPr/>
      </w:pPr>
      <w:r>
        <w:rPr/>
        <w:t>Course difficulty.</w:t>
      </w:r>
    </w:p>
    <w:p>
      <w:pPr>
        <w:pStyle w:val="Compact"/>
        <w:numPr>
          <w:ilvl w:val="0"/>
          <w:numId w:val="131"/>
        </w:numPr>
        <w:rPr/>
      </w:pPr>
      <w:r>
        <w:rPr/>
        <w:t>Laboratory intensity.</w:t>
      </w:r>
    </w:p>
    <w:p>
      <w:pPr>
        <w:pStyle w:val="Compact"/>
        <w:numPr>
          <w:ilvl w:val="0"/>
          <w:numId w:val="132"/>
        </w:numPr>
        <w:rPr/>
      </w:pPr>
      <w:r>
        <w:rPr/>
        <w:t>Mathematical complexity.</w:t>
      </w:r>
    </w:p>
    <w:p>
      <w:pPr>
        <w:pStyle w:val="Compact"/>
        <w:numPr>
          <w:ilvl w:val="0"/>
          <w:numId w:val="133"/>
        </w:numPr>
        <w:rPr/>
      </w:pPr>
      <w:r>
        <w:rPr/>
        <w:t>Enrollment size.</w:t>
      </w:r>
    </w:p>
    <w:p>
      <w:pPr>
        <w:pStyle w:val="FirstParagraph"/>
        <w:rPr/>
      </w:pPr>
      <w:r>
        <w:rPr/>
        <w:t>Comparisons shall be performed primarily within comparable course categories.</w:t>
      </w:r>
    </w:p>
    <w:p>
      <w:pPr>
        <w:pStyle w:val="FirstParagraph"/>
        <w:rPr/>
      </w:pPr>
      <w:r>
        <w:rPr/>
        <w:t>Course Difficulty Index (CDI) derived from historical state-level data.</w:t>
      </w:r>
    </w:p>
    <w:p>
      <w:pPr>
        <w:pStyle w:val="FirstParagraph"/>
        <w:rPr/>
      </w:pPr>
      <w:r>
        <w:rPr/>
        <w:t>Example</w:t>
      </w:r>
    </w:p>
    <w:p>
      <w:pPr>
        <w:pStyle w:val="BodyText"/>
        <w:rPr/>
      </w:pPr>
      <w:r>
        <w:rPr/>
        <w:t>Average statewide scores:</w:t>
      </w:r>
    </w:p>
    <w:p>
      <w:pPr>
        <w:pStyle w:val="BodyText"/>
        <w:rPr/>
      </w:pPr>
      <w:r>
        <w:rPr/>
        <w:t>Power Electronics: 74</w:t>
      </w:r>
    </w:p>
    <w:p>
      <w:pPr>
        <w:pStyle w:val="BodyText"/>
        <w:rPr/>
      </w:pPr>
      <w:r>
        <w:rPr/>
        <w:t>Programming Fundamentals: 86</w:t>
      </w:r>
    </w:p>
    <w:p>
      <w:pPr>
        <w:pStyle w:val="BodyText"/>
        <w:rPr/>
      </w:pPr>
      <w:r>
        <w:rPr/>
        <w:t>English: 90</w:t>
      </w:r>
    </w:p>
    <w:p>
      <w:pPr>
        <w:pStyle w:val="FirstParagraph"/>
        <w:rPr>
          <w:color w:val="C9211E"/>
        </w:rPr>
      </w:pPr>
      <w:r>
        <w:rPr>
          <w:color w:val="C9211E"/>
        </w:rPr>
        <w:t>Adjusted Score = Faculty Score − Course Mean x State Mean</w:t>
      </w:r>
      <w:r>
        <w:rPr/>
        <w:commentReference w:id="2"/>
      </w:r>
    </w:p>
    <w:p>
      <w:pPr>
        <w:pStyle w:val="Normal"/>
        <w:rPr/>
      </w:pPr>
      <w:bookmarkStart w:id="25" w:name="course-context-adjust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1"/>
        <w:rPr/>
      </w:pPr>
      <w:r>
        <w:rPr/>
        <w:t>14. Grade Bias Adjustment</w:t>
      </w:r>
    </w:p>
    <w:p>
      <w:pPr>
        <w:pStyle w:val="FirstParagraph"/>
        <w:rPr/>
      </w:pPr>
      <w:r>
        <w:rPr/>
        <w:t>Known phenomenon:</w:t>
      </w:r>
    </w:p>
    <w:p>
      <w:pPr>
        <w:pStyle w:val="BodyText"/>
        <w:rPr/>
      </w:pPr>
      <w:r>
        <w:rPr/>
        <w:t>Higher grades often produce higher ratings.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For each course:</w:t>
      </w:r>
    </w:p>
    <w:p>
      <w:pPr>
        <w:pStyle w:val="BodyText"/>
        <w:rPr/>
      </w:pPr>
      <w:r>
        <w:rPr/>
        <w:t>Calculate correlation ρ between Grade Distribution and Feedback Score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If strong positive correlation exists:</w:t>
      </w:r>
    </w:p>
    <w:p>
      <w:pPr>
        <w:pStyle w:val="BodyText"/>
        <w:rPr/>
      </w:pPr>
      <w:r>
        <w:rPr/>
        <w:t>Confidence reduced.</w:t>
      </w:r>
    </w:p>
    <w:p>
      <w:pPr>
        <w:pStyle w:val="BodyText"/>
        <w:rPr/>
      </w:pPr>
      <w:r>
        <w:rPr/>
        <w:t>Score adjustment optional.</w:t>
      </w:r>
    </w:p>
    <w:p>
      <w:pPr>
        <w:pStyle w:val="Normal"/>
        <w:rPr/>
      </w:pPr>
      <w:bookmarkStart w:id="26" w:name="grade-bias-adjust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1"/>
        <w:rPr/>
      </w:pPr>
      <w:r>
        <w:rPr/>
        <w:t>15. Sentiment Analysis Framework</w:t>
      </w:r>
    </w:p>
    <w:p>
      <w:pPr>
        <w:pStyle w:val="FirstParagraph"/>
        <w:rPr/>
      </w:pPr>
      <w:r>
        <w:rPr/>
        <w:t>Student comments shall undergo NLP-based analysis.</w:t>
      </w:r>
    </w:p>
    <w:p>
      <w:pPr>
        <w:pStyle w:val="BodyText"/>
        <w:rPr/>
      </w:pPr>
      <w:r>
        <w:rPr/>
        <w:t>Outputs:</w:t>
      </w:r>
    </w:p>
    <w:p>
      <w:pPr>
        <w:pStyle w:val="Compact"/>
        <w:numPr>
          <w:ilvl w:val="0"/>
          <w:numId w:val="134"/>
        </w:numPr>
        <w:rPr/>
      </w:pPr>
      <w:r>
        <w:rPr/>
        <w:t>Positive sentiment</w:t>
      </w:r>
    </w:p>
    <w:p>
      <w:pPr>
        <w:pStyle w:val="Compact"/>
        <w:numPr>
          <w:ilvl w:val="0"/>
          <w:numId w:val="135"/>
        </w:numPr>
        <w:rPr/>
      </w:pPr>
      <w:r>
        <w:rPr/>
        <w:t>Negative sentiment</w:t>
      </w:r>
    </w:p>
    <w:p>
      <w:pPr>
        <w:pStyle w:val="Compact"/>
        <w:numPr>
          <w:ilvl w:val="0"/>
          <w:numId w:val="136"/>
        </w:numPr>
        <w:rPr/>
      </w:pPr>
      <w:r>
        <w:rPr/>
        <w:t>Mixed sentiment</w:t>
      </w:r>
    </w:p>
    <w:p>
      <w:pPr>
        <w:pStyle w:val="Compact"/>
        <w:numPr>
          <w:ilvl w:val="0"/>
          <w:numId w:val="137"/>
        </w:numPr>
        <w:rPr/>
      </w:pPr>
      <w:r>
        <w:rPr/>
        <w:t>Neutral sentiment</w:t>
      </w:r>
    </w:p>
    <w:p>
      <w:pPr>
        <w:pStyle w:val="FirstParagraph"/>
        <w:rPr/>
      </w:pPr>
      <w:r>
        <w:rPr/>
        <w:t>Sentiment shall not directly determine faculty evaluation.</w:t>
      </w:r>
    </w:p>
    <w:p>
      <w:pPr>
        <w:pStyle w:val="BodyText"/>
        <w:rPr/>
      </w:pPr>
      <w:r>
        <w:rPr/>
        <w:t>Instead, it shall serve as contextual evidence.</w:t>
      </w:r>
    </w:p>
    <w:p>
      <w:pPr>
        <w:pStyle w:val="FirstParagraph"/>
        <w:rPr/>
      </w:pPr>
      <w:r>
        <w:rPr/>
        <w:t>Sentiment Score SS.</w:t>
      </w:r>
    </w:p>
    <w:p>
      <w:pPr>
        <w:pStyle w:val="BodyText"/>
        <w:rPr/>
      </w:pPr>
      <w:r>
        <w:rPr/>
        <w:t>Range: 0–100</w:t>
      </w:r>
    </w:p>
    <w:p>
      <w:pPr>
        <w:pStyle w:val="FirstParagraph"/>
        <w:rPr/>
      </w:pPr>
      <w:r>
        <w:rPr/>
        <w:t>Generated using:</w:t>
      </w:r>
    </w:p>
    <w:p>
      <w:pPr>
        <w:pStyle w:val="BodyText"/>
        <w:rPr/>
      </w:pPr>
      <w:r>
        <w:rPr/>
        <w:tab/>
        <w:t>Fine-tuned educational NLP model.</w:t>
      </w:r>
    </w:p>
    <w:p>
      <w:pPr>
        <w:pStyle w:val="BodyText"/>
        <w:rPr/>
      </w:pPr>
      <w:r>
        <w:rPr/>
        <w:t>Not generic social-media sentiment models.</w:t>
      </w:r>
    </w:p>
    <w:p>
      <w:pPr>
        <w:pStyle w:val="Normal"/>
        <w:rPr/>
      </w:pPr>
      <w:bookmarkStart w:id="27" w:name="sentiment-analysis-frame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1"/>
        <w:rPr/>
      </w:pPr>
      <w:r>
        <w:rPr/>
        <w:t>16. Theme Extraction Framework</w:t>
      </w:r>
    </w:p>
    <w:p>
      <w:pPr>
        <w:pStyle w:val="FirstParagraph"/>
        <w:rPr/>
      </w:pPr>
      <w:r>
        <w:rPr/>
        <w:t>Comments shall be classified/clustered into themes.</w:t>
      </w:r>
    </w:p>
    <w:p>
      <w:pPr>
        <w:pStyle w:val="BodyText"/>
        <w:rPr/>
      </w:pPr>
      <w:r>
        <w:rPr/>
        <w:t>Examples:</w:t>
      </w:r>
    </w:p>
    <w:p>
      <w:pPr>
        <w:pStyle w:val="BodyText"/>
        <w:rPr/>
      </w:pPr>
      <w:r>
        <w:rPr/>
        <w:t>Teaching Clarity, Pace</w:t>
      </w:r>
    </w:p>
    <w:p>
      <w:pPr>
        <w:pStyle w:val="BodyText"/>
        <w:rPr/>
      </w:pPr>
      <w:r>
        <w:rPr/>
        <w:t>Assessment Fairness Feedback</w:t>
      </w:r>
    </w:p>
    <w:p>
      <w:pPr>
        <w:pStyle w:val="BodyText"/>
        <w:rPr/>
      </w:pPr>
      <w:r>
        <w:rPr/>
        <w:t>Communication</w:t>
      </w:r>
    </w:p>
    <w:p>
      <w:pPr>
        <w:pStyle w:val="BodyText"/>
        <w:rPr/>
      </w:pPr>
      <w:r>
        <w:rPr/>
        <w:t>Learning Materials</w:t>
      </w:r>
    </w:p>
    <w:p>
      <w:pPr>
        <w:pStyle w:val="BodyText"/>
        <w:rPr/>
      </w:pPr>
      <w:r>
        <w:rPr/>
        <w:t>Laboratory Support</w:t>
      </w:r>
    </w:p>
    <w:p>
      <w:pPr>
        <w:pStyle w:val="BodyText"/>
        <w:rPr/>
      </w:pPr>
      <w:r>
        <w:rPr/>
        <w:t>Infrastructure</w:t>
      </w:r>
    </w:p>
    <w:p>
      <w:pPr>
        <w:pStyle w:val="BodyText"/>
        <w:rPr/>
      </w:pPr>
      <w:r>
        <w:rPr/>
        <w:t>Curriculum Load</w:t>
      </w:r>
    </w:p>
    <w:p>
      <w:pPr>
        <w:pStyle w:val="BodyText"/>
        <w:rPr/>
      </w:pPr>
      <w:r>
        <w:rPr/>
        <w:t>Student Support</w:t>
      </w:r>
    </w:p>
    <w:p>
      <w:pPr>
        <w:pStyle w:val="BodyText"/>
        <w:rPr/>
      </w:pPr>
      <w:r>
        <w:rPr/>
        <w:t>Availability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Each theme shall be assigned:</w:t>
      </w:r>
    </w:p>
    <w:p>
      <w:pPr>
        <w:pStyle w:val="BodyText"/>
        <w:rPr/>
      </w:pPr>
      <w:r>
        <w:rPr/>
        <w:t>Frequency</w:t>
      </w:r>
    </w:p>
    <w:p>
      <w:pPr>
        <w:pStyle w:val="BodyText"/>
        <w:rPr/>
      </w:pPr>
      <w:r>
        <w:rPr/>
        <w:t>Sentiment</w:t>
      </w:r>
    </w:p>
    <w:p>
      <w:pPr>
        <w:pStyle w:val="BodyText"/>
        <w:rPr/>
      </w:pPr>
      <w:r>
        <w:rPr/>
        <w:t>Severity</w:t>
      </w:r>
    </w:p>
    <w:p>
      <w:pPr>
        <w:pStyle w:val="BodyText"/>
        <w:rPr/>
      </w:pPr>
      <w:r>
        <w:rPr/>
        <w:t>Confidence</w:t>
      </w:r>
    </w:p>
    <w:p>
      <w:pPr>
        <w:pStyle w:val="Normal"/>
        <w:rPr/>
      </w:pPr>
      <w:bookmarkStart w:id="28" w:name="theme-extraction-frame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</w:p>
    <w:p>
      <w:pPr>
        <w:pStyle w:val="Heading1"/>
        <w:rPr/>
      </w:pPr>
      <w:r>
        <w:rPr/>
        <w:t>17. Constructive Feedback Index</w:t>
      </w:r>
    </w:p>
    <w:p>
      <w:pPr>
        <w:pStyle w:val="FirstParagraph"/>
        <w:rPr/>
      </w:pPr>
      <w:r>
        <w:rPr/>
        <w:t>Not all negative comments are useful.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Examples:</w:t>
      </w:r>
    </w:p>
    <w:p>
      <w:pPr>
        <w:pStyle w:val="BodyText"/>
        <w:rPr/>
      </w:pPr>
      <w:r>
        <w:rPr/>
        <w:t>Useful:</w:t>
      </w:r>
    </w:p>
    <w:p>
      <w:pPr>
        <w:pStyle w:val="BodyText"/>
        <w:rPr/>
      </w:pPr>
      <w:r>
        <w:rPr/>
        <w:t>“</w:t>
      </w:r>
      <w:r>
        <w:rPr/>
        <w:t>Too few worked examples before assignments.”</w:t>
      </w:r>
    </w:p>
    <w:p>
      <w:pPr>
        <w:pStyle w:val="BodyText"/>
        <w:rPr/>
      </w:pPr>
      <w:r>
        <w:rPr/>
        <w:t>Not Useful:</w:t>
      </w:r>
    </w:p>
    <w:p>
      <w:pPr>
        <w:pStyle w:val="BodyText"/>
        <w:rPr/>
      </w:pPr>
      <w:r>
        <w:rPr/>
        <w:t>“</w:t>
      </w:r>
      <w:r>
        <w:rPr/>
        <w:t>Worst teacher ever.”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Constructive Feedback Index</w:t>
      </w:r>
    </w:p>
    <w:p>
      <w:pPr>
        <w:pStyle w:val="BodyText"/>
        <w:rPr/>
      </w:pPr>
      <w:r>
        <w:rPr/>
        <w:t>CFI</w:t>
      </w:r>
    </w:p>
    <w:p>
      <w:pPr>
        <w:pStyle w:val="BodyText"/>
        <w:rPr/>
      </w:pPr>
      <w:r>
        <w:rPr/>
        <w:t>measures:</w:t>
      </w:r>
    </w:p>
    <w:p>
      <w:pPr>
        <w:pStyle w:val="BodyText"/>
        <w:rPr/>
      </w:pPr>
      <w:r>
        <w:rPr/>
        <w:tab/>
        <w:t>Specificity</w:t>
      </w:r>
    </w:p>
    <w:p>
      <w:pPr>
        <w:pStyle w:val="BodyText"/>
        <w:rPr/>
      </w:pPr>
      <w:r>
        <w:rPr/>
        <w:tab/>
        <w:t>Actionability</w:t>
      </w:r>
    </w:p>
    <w:p>
      <w:pPr>
        <w:pStyle w:val="BodyText"/>
        <w:rPr/>
      </w:pPr>
      <w:r>
        <w:rPr/>
        <w:tab/>
        <w:t>Clarity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Range: 0–1</w:t>
      </w:r>
    </w:p>
    <w:p>
      <w:pPr>
        <w:pStyle w:val="Heading1"/>
        <w:rPr/>
      </w:pPr>
      <w:r>
        <w:rPr/>
        <w:t>18. Multi-Level Issue Attribution Framework</w:t>
      </w:r>
    </w:p>
    <w:p>
      <w:pPr>
        <w:pStyle w:val="FirstParagraph"/>
        <w:rPr/>
      </w:pPr>
      <w:r>
        <w:rPr/>
        <w:t>Every identified issue shall be classified according to likely origin.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Faculty-Level Issues</w:t>
      </w:r>
    </w:p>
    <w:p>
      <w:pPr>
        <w:pStyle w:val="FirstParagraph"/>
        <w:rPr/>
      </w:pPr>
      <w:r>
        <w:rPr/>
        <w:t>Examples:</w:t>
      </w:r>
    </w:p>
    <w:p>
      <w:pPr>
        <w:pStyle w:val="Compact"/>
        <w:numPr>
          <w:ilvl w:val="0"/>
          <w:numId w:val="138"/>
        </w:numPr>
        <w:rPr/>
      </w:pPr>
      <w:r>
        <w:rPr/>
        <w:t>Explanation quality.</w:t>
      </w:r>
    </w:p>
    <w:p>
      <w:pPr>
        <w:pStyle w:val="Compact"/>
        <w:numPr>
          <w:ilvl w:val="0"/>
          <w:numId w:val="139"/>
        </w:numPr>
        <w:rPr/>
      </w:pPr>
      <w:r>
        <w:rPr/>
        <w:t>Interaction quality.</w:t>
      </w:r>
    </w:p>
    <w:p>
      <w:pPr>
        <w:pStyle w:val="Compact"/>
        <w:numPr>
          <w:ilvl w:val="0"/>
          <w:numId w:val="140"/>
        </w:numPr>
        <w:rPr/>
      </w:pPr>
      <w:r>
        <w:rPr/>
        <w:t>Assessment delays.</w:t>
      </w:r>
    </w:p>
    <w:p>
      <w:pPr>
        <w:pStyle w:val="Normal"/>
        <w:rPr/>
      </w:pPr>
      <w:bookmarkStart w:id="29" w:name="faculty-level-iss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</w:p>
    <w:p>
      <w:pPr>
        <w:pStyle w:val="Heading2"/>
        <w:rPr/>
      </w:pPr>
      <w:r>
        <w:rPr/>
        <w:t>Department-Level Issues</w:t>
      </w:r>
    </w:p>
    <w:p>
      <w:pPr>
        <w:pStyle w:val="FirstParagraph"/>
        <w:rPr/>
      </w:pPr>
      <w:r>
        <w:rPr/>
        <w:t>Examples:</w:t>
      </w:r>
    </w:p>
    <w:p>
      <w:pPr>
        <w:pStyle w:val="Compact"/>
        <w:numPr>
          <w:ilvl w:val="0"/>
          <w:numId w:val="141"/>
        </w:numPr>
        <w:rPr/>
      </w:pPr>
      <w:r>
        <w:rPr/>
        <w:t>Timetable structure.</w:t>
      </w:r>
    </w:p>
    <w:p>
      <w:pPr>
        <w:pStyle w:val="Compact"/>
        <w:numPr>
          <w:ilvl w:val="0"/>
          <w:numId w:val="142"/>
        </w:numPr>
        <w:rPr/>
      </w:pPr>
      <w:r>
        <w:rPr/>
        <w:t>Laboratory scheduling.</w:t>
      </w:r>
    </w:p>
    <w:p>
      <w:pPr>
        <w:pStyle w:val="Compact"/>
        <w:numPr>
          <w:ilvl w:val="0"/>
          <w:numId w:val="143"/>
        </w:numPr>
        <w:rPr/>
      </w:pPr>
      <w:r>
        <w:rPr/>
        <w:t>Faculty workload distribution.</w:t>
      </w:r>
    </w:p>
    <w:p>
      <w:pPr>
        <w:pStyle w:val="Compact"/>
        <w:numPr>
          <w:ilvl w:val="0"/>
          <w:numId w:val="144"/>
        </w:numPr>
        <w:rPr/>
      </w:pPr>
      <w:r>
        <w:rPr/>
        <w:t>Course Sequencing</w:t>
      </w:r>
    </w:p>
    <w:p>
      <w:pPr>
        <w:pStyle w:val="Normal"/>
        <w:rPr/>
      </w:pPr>
      <w:bookmarkStart w:id="30" w:name="department-level-iss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0"/>
    </w:p>
    <w:p>
      <w:pPr>
        <w:pStyle w:val="Heading2"/>
        <w:rPr/>
      </w:pPr>
      <w:r>
        <w:rPr/>
        <w:t>Institution-Level Issues</w:t>
      </w:r>
    </w:p>
    <w:p>
      <w:pPr>
        <w:pStyle w:val="FirstParagraph"/>
        <w:rPr/>
      </w:pPr>
      <w:r>
        <w:rPr/>
        <w:t>Examples:</w:t>
      </w:r>
    </w:p>
    <w:p>
      <w:pPr>
        <w:pStyle w:val="Compact"/>
        <w:numPr>
          <w:ilvl w:val="0"/>
          <w:numId w:val="145"/>
        </w:numPr>
        <w:rPr/>
      </w:pPr>
      <w:r>
        <w:rPr/>
        <w:t>Internet connectivity.</w:t>
      </w:r>
    </w:p>
    <w:p>
      <w:pPr>
        <w:pStyle w:val="Compact"/>
        <w:numPr>
          <w:ilvl w:val="0"/>
          <w:numId w:val="146"/>
        </w:numPr>
        <w:rPr/>
      </w:pPr>
      <w:r>
        <w:rPr/>
        <w:t>Classroom facilities.</w:t>
      </w:r>
    </w:p>
    <w:p>
      <w:pPr>
        <w:pStyle w:val="Compact"/>
        <w:numPr>
          <w:ilvl w:val="0"/>
          <w:numId w:val="147"/>
        </w:numPr>
        <w:rPr/>
      </w:pPr>
      <w:r>
        <w:rPr/>
        <w:t>Equipment shortages.</w:t>
      </w:r>
    </w:p>
    <w:p>
      <w:pPr>
        <w:pStyle w:val="Normal"/>
        <w:rPr/>
      </w:pPr>
      <w:bookmarkStart w:id="31" w:name="institution-level-iss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1"/>
    </w:p>
    <w:p>
      <w:pPr>
        <w:pStyle w:val="Heading2"/>
        <w:rPr/>
      </w:pPr>
      <w:r>
        <w:rPr/>
        <w:t>Curriculum-Level Issues</w:t>
      </w:r>
    </w:p>
    <w:p>
      <w:pPr>
        <w:pStyle w:val="FirstParagraph"/>
        <w:rPr/>
      </w:pPr>
      <w:r>
        <w:rPr/>
        <w:t>Examples:</w:t>
      </w:r>
    </w:p>
    <w:p>
      <w:pPr>
        <w:pStyle w:val="Compact"/>
        <w:numPr>
          <w:ilvl w:val="0"/>
          <w:numId w:val="148"/>
        </w:numPr>
        <w:rPr/>
      </w:pPr>
      <w:r>
        <w:rPr/>
        <w:t>Excessive syllabus.</w:t>
      </w:r>
    </w:p>
    <w:p>
      <w:pPr>
        <w:pStyle w:val="Compact"/>
        <w:numPr>
          <w:ilvl w:val="0"/>
          <w:numId w:val="149"/>
        </w:numPr>
        <w:rPr/>
      </w:pPr>
      <w:r>
        <w:rPr/>
        <w:t>Outdated content</w:t>
      </w:r>
    </w:p>
    <w:p>
      <w:pPr>
        <w:pStyle w:val="Compact"/>
        <w:numPr>
          <w:ilvl w:val="0"/>
          <w:numId w:val="150"/>
        </w:numPr>
        <w:rPr/>
      </w:pPr>
      <w:r>
        <w:rPr/>
        <w:t>Unrealistic contact hours/workload.</w:t>
      </w:r>
    </w:p>
    <w:p>
      <w:pPr>
        <w:pStyle w:val="Compact"/>
        <w:numPr>
          <w:ilvl w:val="0"/>
          <w:numId w:val="151"/>
        </w:numPr>
        <w:rPr/>
      </w:pPr>
      <w:r>
        <w:rPr/>
        <w:t>Poor prerequisite sequencing.</w:t>
      </w:r>
    </w:p>
    <w:p>
      <w:pPr>
        <w:pStyle w:val="Normal"/>
        <w:rPr/>
      </w:pPr>
      <w:bookmarkStart w:id="32" w:name="curriculum-level-iss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</w:p>
    <w:p>
      <w:pPr>
        <w:pStyle w:val="Heading2"/>
        <w:rPr/>
      </w:pPr>
      <w:r>
        <w:rPr/>
        <w:t>Policy-Level Issues</w:t>
      </w:r>
    </w:p>
    <w:p>
      <w:pPr>
        <w:pStyle w:val="FirstParagraph"/>
        <w:rPr/>
      </w:pPr>
      <w:r>
        <w:rPr/>
        <w:t>Examples:</w:t>
      </w:r>
    </w:p>
    <w:p>
      <w:pPr>
        <w:pStyle w:val="Compact"/>
        <w:numPr>
          <w:ilvl w:val="0"/>
          <w:numId w:val="152"/>
        </w:numPr>
        <w:rPr/>
      </w:pPr>
      <w:r>
        <w:rPr/>
        <w:t>Evaluation regulations</w:t>
      </w:r>
    </w:p>
    <w:p>
      <w:pPr>
        <w:pStyle w:val="Compact"/>
        <w:numPr>
          <w:ilvl w:val="0"/>
          <w:numId w:val="153"/>
        </w:numPr>
        <w:rPr/>
      </w:pPr>
      <w:r>
        <w:rPr/>
        <w:t>University regulations.</w:t>
      </w:r>
    </w:p>
    <w:p>
      <w:pPr>
        <w:pStyle w:val="Compact"/>
        <w:numPr>
          <w:ilvl w:val="0"/>
          <w:numId w:val="154"/>
        </w:numPr>
        <w:rPr/>
      </w:pPr>
      <w:r>
        <w:rPr/>
        <w:t>Examination structures.</w:t>
      </w:r>
    </w:p>
    <w:p>
      <w:pPr>
        <w:pStyle w:val="Compact"/>
        <w:numPr>
          <w:ilvl w:val="0"/>
          <w:numId w:val="155"/>
        </w:numPr>
        <w:rPr/>
      </w:pPr>
      <w:r>
        <w:rPr/>
        <w:t>Credit requirements.</w:t>
      </w:r>
    </w:p>
    <w:p>
      <w:pPr>
        <w:pStyle w:val="Compact"/>
        <w:numPr>
          <w:ilvl w:val="0"/>
          <w:numId w:val="156"/>
        </w:numPr>
        <w:rPr/>
      </w:pPr>
      <w:r>
        <w:rPr/>
        <w:t>Academic Calendar constraints</w:t>
      </w:r>
    </w:p>
    <w:p>
      <w:pPr>
        <w:pStyle w:val="Normal"/>
        <w:rPr/>
      </w:pPr>
      <w:bookmarkStart w:id="33" w:name="policy-level-issues"/>
      <w:bookmarkStart w:id="34" w:name="issue-attribution-framewor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3"/>
      <w:bookmarkEnd w:id="34"/>
    </w:p>
    <w:p>
      <w:pPr>
        <w:pStyle w:val="Heading1"/>
        <w:rPr/>
      </w:pPr>
      <w:r>
        <w:rPr/>
        <w:t>19. Faculty Reflection Integration</w:t>
      </w:r>
    </w:p>
    <w:p>
      <w:pPr>
        <w:pStyle w:val="FirstParagraph"/>
        <w:rPr/>
      </w:pPr>
      <w:r>
        <w:rPr/>
        <w:t>Student feedback shall be complemented by faculty self-reflection.</w:t>
      </w:r>
    </w:p>
    <w:p>
      <w:pPr>
        <w:pStyle w:val="BodyText"/>
        <w:rPr/>
      </w:pPr>
      <w:r>
        <w:rPr/>
        <w:t>Faculty responses may include:</w:t>
      </w:r>
    </w:p>
    <w:p>
      <w:pPr>
        <w:pStyle w:val="Compact"/>
        <w:numPr>
          <w:ilvl w:val="0"/>
          <w:numId w:val="157"/>
        </w:numPr>
        <w:rPr/>
      </w:pPr>
      <w:r>
        <w:rPr/>
        <w:t>Innovations attempted.</w:t>
      </w:r>
    </w:p>
    <w:p>
      <w:pPr>
        <w:pStyle w:val="Compact"/>
        <w:numPr>
          <w:ilvl w:val="0"/>
          <w:numId w:val="158"/>
        </w:numPr>
        <w:rPr/>
      </w:pPr>
      <w:r>
        <w:rPr/>
        <w:t>Constraints/Challenges experienced.</w:t>
      </w:r>
    </w:p>
    <w:p>
      <w:pPr>
        <w:pStyle w:val="Compact"/>
        <w:numPr>
          <w:ilvl w:val="0"/>
          <w:numId w:val="159"/>
        </w:numPr>
        <w:rPr/>
      </w:pPr>
      <w:r>
        <w:rPr/>
        <w:t>Areas of concern.</w:t>
      </w:r>
    </w:p>
    <w:p>
      <w:pPr>
        <w:pStyle w:val="Compact"/>
        <w:numPr>
          <w:ilvl w:val="0"/>
          <w:numId w:val="160"/>
        </w:numPr>
        <w:rPr/>
      </w:pPr>
      <w:r>
        <w:rPr/>
        <w:t>Support required.</w:t>
      </w:r>
    </w:p>
    <w:p>
      <w:pPr>
        <w:pStyle w:val="Compact"/>
        <w:numPr>
          <w:ilvl w:val="0"/>
          <w:numId w:val="161"/>
        </w:numPr>
        <w:rPr/>
      </w:pPr>
      <w:r>
        <w:rPr/>
        <w:t>Reflection on student feedback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The system shall compare:</w:t>
      </w:r>
    </w:p>
    <w:p>
      <w:pPr>
        <w:pStyle w:val="BodyText"/>
        <w:rPr/>
      </w:pPr>
      <w:r>
        <w:rPr/>
        <w:t>Student Perception and Faculty Reflection to identify alignment and mismatch, and to improve diagnostic accuracy.</w:t>
      </w:r>
    </w:p>
    <w:p>
      <w:pPr>
        <w:pStyle w:val="BodyText"/>
        <w:rPr/>
      </w:pPr>
      <w:r>
        <w:rPr/>
        <w:t>Example</w:t>
      </w:r>
    </w:p>
    <w:p>
      <w:pPr>
        <w:pStyle w:val="BodyText"/>
        <w:rPr/>
      </w:pPr>
      <w:r>
        <w:rPr/>
        <w:t>Students: "Course pace too fast."</w:t>
      </w:r>
    </w:p>
    <w:p>
      <w:pPr>
        <w:pStyle w:val="BodyText"/>
        <w:rPr/>
      </w:pPr>
      <w:r>
        <w:rPr/>
        <w:t>Faculty: "Unable to complete syllabus within allotted hours."</w:t>
      </w:r>
    </w:p>
    <w:p>
      <w:pPr>
        <w:pStyle w:val="BodyText"/>
        <w:rPr/>
      </w:pPr>
      <w:r>
        <w:rPr/>
        <w:t>Classification:</w:t>
      </w:r>
    </w:p>
    <w:p>
      <w:pPr>
        <w:pStyle w:val="BodyText"/>
        <w:rPr/>
      </w:pPr>
      <w:r>
        <w:rPr/>
        <w:t>Curriculum-Level Issue rather than Faculty-Level Issue.</w:t>
      </w:r>
    </w:p>
    <w:p>
      <w:pPr>
        <w:pStyle w:val="Normal"/>
        <w:rPr/>
      </w:pPr>
      <w:bookmarkStart w:id="35" w:name="faculty-reflection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5"/>
    </w:p>
    <w:p>
      <w:pPr>
        <w:pStyle w:val="Heading1"/>
        <w:rPr/>
      </w:pPr>
      <w:r>
        <w:rPr/>
        <w:t>20</w:t>
      </w:r>
      <w:bookmarkStart w:id="36" w:name="educational-quality-profile-eqp"/>
      <w:r>
        <w:rPr/>
        <w:t>. Educational Quality Profile (EQP)</w:t>
      </w:r>
    </w:p>
    <w:p>
      <w:pPr>
        <w:pStyle w:val="FirstParagraph"/>
        <w:rPr/>
      </w:pPr>
      <w:r>
        <w:rPr/>
        <w:t>The principal output of the system.</w:t>
      </w:r>
    </w:p>
    <w:p>
      <w:pPr>
        <w:pStyle w:val="BodyText"/>
        <w:rPr/>
      </w:pPr>
      <w:r>
        <w:rPr/>
        <w:t>Each faculty member receives a multidimensional profile.</w:t>
      </w:r>
    </w:p>
    <w:p>
      <w:pPr>
        <w:pStyle w:val="BodyText"/>
        <w:rPr/>
      </w:pPr>
      <w:r>
        <w:rPr/>
        <w:t>Components:</w:t>
      </w:r>
    </w:p>
    <w:p>
      <w:pPr>
        <w:pStyle w:val="Heading3"/>
        <w:rPr/>
      </w:pPr>
      <w:r>
        <w:rPr/>
        <w:t>Dimension Scores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Teaching Clarity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Student Engagement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Assessment Practices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Learning Resources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Professional Conduct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Student Perception/Learning Experience</w:t>
      </w:r>
    </w:p>
    <w:p>
      <w:pPr>
        <w:pStyle w:val="Heading3"/>
        <w:rPr/>
      </w:pPr>
      <w:r>
        <w:rPr/>
        <w:t>Confidence Levels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High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Medium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Low </w:t>
      </w:r>
    </w:p>
    <w:p>
      <w:pPr>
        <w:pStyle w:val="Heading3"/>
        <w:rPr/>
      </w:pPr>
      <w:r>
        <w:rPr/>
        <w:t>Trend Indicators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Improving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Stable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Declining </w:t>
      </w:r>
    </w:p>
    <w:p>
      <w:pPr>
        <w:pStyle w:val="Heading3"/>
        <w:rPr/>
      </w:pPr>
      <w:r>
        <w:rPr/>
        <w:t>AI-Generated Insights</w:t>
      </w:r>
    </w:p>
    <w:p>
      <w:pPr>
        <w:pStyle w:val="BodyText"/>
        <w:rPr/>
      </w:pPr>
      <w:r>
        <w:rPr/>
        <w:t>Strengths</w:t>
      </w:r>
    </w:p>
    <w:p>
      <w:pPr>
        <w:pStyle w:val="BodyText"/>
        <w:rPr/>
      </w:pPr>
      <w:r>
        <w:rPr/>
        <w:t>Areas for Improvement</w:t>
      </w:r>
    </w:p>
    <w:p>
      <w:pPr>
        <w:pStyle w:val="BodyText"/>
        <w:rPr/>
      </w:pPr>
      <w:r>
        <w:rPr/>
        <w:t>Key Themes</w:t>
      </w:r>
    </w:p>
    <w:p>
      <w:pPr>
        <w:pStyle w:val="BodyText"/>
        <w:rPr/>
      </w:pPr>
      <w:r>
        <w:rPr/>
        <w:t>Suggested Actions/Recommendations</w:t>
      </w:r>
    </w:p>
    <w:p>
      <w:pPr>
        <w:pStyle w:val="BodyText"/>
        <w:rPr/>
      </w:pPr>
      <w:r>
        <w:rPr/>
        <w:t>Faculty Reflections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No composite score shall be displayed.</w:t>
      </w:r>
    </w:p>
    <w:p>
      <w:pPr>
        <w:pStyle w:val="BodyText"/>
        <w:rPr/>
      </w:pPr>
      <w:r>
        <w:rPr>
          <w:b/>
          <w:bCs/>
        </w:rPr>
        <w:t>Example:</w:t>
      </w:r>
      <w:r>
        <w:rPr/>
        <w:t xml:space="preserve"> </w:t>
      </w:r>
    </w:p>
    <w:tbl>
      <w:tblPr>
        <w:tblW w:w="7692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23"/>
        <w:gridCol w:w="972"/>
        <w:gridCol w:w="1704"/>
        <w:gridCol w:w="792"/>
      </w:tblGrid>
      <w:tr>
        <w:trPr>
          <w:tblHeader w:val="true"/>
        </w:trPr>
        <w:tc>
          <w:tcPr>
            <w:tcW w:w="4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200"/>
              <w:rPr/>
            </w:pPr>
            <w:r>
              <w:rPr/>
              <w:t>Dimension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200"/>
              <w:rPr/>
            </w:pPr>
            <w:r>
              <w:rPr/>
              <w:t>Score</w:t>
            </w:r>
          </w:p>
        </w:tc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200"/>
              <w:rPr/>
            </w:pPr>
            <w:r>
              <w:rPr/>
              <w:t>Confidence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spacing w:before="0" w:after="200"/>
              <w:rPr/>
            </w:pPr>
            <w:r>
              <w:rPr/>
              <w:t>Trend</w:t>
            </w:r>
          </w:p>
        </w:tc>
      </w:tr>
      <w:tr>
        <w:trPr/>
        <w:tc>
          <w:tcPr>
            <w:tcW w:w="42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Teaching Clarity</w:t>
            </w:r>
          </w:p>
        </w:tc>
        <w:tc>
          <w:tcPr>
            <w:tcW w:w="97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87</w:t>
            </w:r>
          </w:p>
        </w:tc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High</w:t>
            </w: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↑</w:t>
            </w:r>
          </w:p>
        </w:tc>
      </w:tr>
      <w:tr>
        <w:trPr/>
        <w:tc>
          <w:tcPr>
            <w:tcW w:w="42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Student Engagement</w:t>
            </w:r>
          </w:p>
        </w:tc>
        <w:tc>
          <w:tcPr>
            <w:tcW w:w="97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69</w:t>
            </w:r>
          </w:p>
        </w:tc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High</w:t>
            </w: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↓</w:t>
            </w:r>
          </w:p>
        </w:tc>
      </w:tr>
      <w:tr>
        <w:trPr/>
        <w:tc>
          <w:tcPr>
            <w:tcW w:w="42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Assessment Practices</w:t>
            </w:r>
          </w:p>
        </w:tc>
        <w:tc>
          <w:tcPr>
            <w:tcW w:w="97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82</w:t>
            </w:r>
          </w:p>
        </w:tc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Medium</w:t>
            </w: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>→</w:t>
            </w:r>
          </w:p>
        </w:tc>
      </w:tr>
      <w:tr>
        <w:trPr/>
        <w:tc>
          <w:tcPr>
            <w:tcW w:w="42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Etc.</w:t>
            </w:r>
          </w:p>
        </w:tc>
        <w:tc>
          <w:tcPr>
            <w:tcW w:w="97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0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7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 xml:space="preserve">If a Total Quality Indicator is required for Faculty, it can also be done along with dimensional profile, since such a score is usually used for CAS placements (e.g.: TQI = 0.7OS + 0.2SS + 0.1CFI, wher OS = Objective Score, SS is Sentiment Score and CFI is Constructive Feedback Index). It is suggested to incorporate multidimensional profile instead of a single score in placement/grade promotion also, to avoid a redundant feedback exercise.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6"/>
    </w:p>
    <w:p>
      <w:pPr>
        <w:pStyle w:val="Heading1"/>
        <w:rPr/>
      </w:pPr>
      <w:r>
        <w:rPr/>
        <w:t>2</w:t>
      </w:r>
      <w:bookmarkStart w:id="37" w:name="recommendation-engine"/>
      <w:bookmarkEnd w:id="37"/>
      <w:r>
        <w:rPr/>
        <w:t>1. Recommendation Engine</w:t>
      </w:r>
    </w:p>
    <w:p>
      <w:pPr>
        <w:pStyle w:val="FirstParagraph"/>
        <w:rPr/>
      </w:pPr>
      <w:r>
        <w:rPr/>
        <w:t>Recommendations shall be generated only when supported by evidence.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Examples</w:t>
      </w:r>
    </w:p>
    <w:p>
      <w:pPr>
        <w:pStyle w:val="BodyText"/>
        <w:rPr/>
      </w:pPr>
      <w:r>
        <w:rPr/>
        <w:t>Student Engagement &lt; 60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Possible Causes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Lecture-dominated teaching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Large class size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Limited interaction</w:t>
      </w:r>
    </w:p>
    <w:p>
      <w:pPr>
        <w:pStyle w:val="BodyText"/>
        <w:rPr/>
      </w:pPr>
      <w:r>
        <w:rPr/>
        <w:t>Recommendation: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hanging="283" w:left="720"/>
        <w:rPr/>
      </w:pPr>
      <w:r>
        <w:rPr/>
        <w:t xml:space="preserve">Active-learning/Interactive Teaching Workshop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20"/>
        <w:rPr/>
      </w:pPr>
      <w:r>
        <w:rPr/>
        <w:t xml:space="preserve">Classroom response systems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20"/>
        <w:rPr/>
      </w:pPr>
      <w:r>
        <w:rPr/>
        <w:t>Peer observation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5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Assessment Practices &lt; 55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Recommendation:</w:t>
      </w:r>
    </w:p>
    <w:p>
      <w:pPr>
        <w:pStyle w:val="BodyText"/>
        <w:rPr/>
      </w:pPr>
      <w:r>
        <w:rPr/>
        <w:t>Outcome-Based Assessment FDP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Technology Integration Issues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Digital Pedagogy Certification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Infrastructure Issues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Institutional Action Recommendation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Start w:id="38" w:name="recommendation-engine_Copy_1"/>
      <w:bookmarkEnd w:id="38"/>
    </w:p>
    <w:p>
      <w:pPr>
        <w:pStyle w:val="Heading1"/>
        <w:rPr/>
      </w:pPr>
      <w:r>
        <w:rPr/>
        <w:t>22. Department and Institution Analytics</w:t>
      </w:r>
    </w:p>
    <w:p>
      <w:pPr>
        <w:pStyle w:val="FirstParagraph"/>
        <w:rPr/>
      </w:pPr>
      <w:r>
        <w:rPr/>
        <w:t>Aggregated outputs shall focus on:</w:t>
      </w:r>
    </w:p>
    <w:p>
      <w:pPr>
        <w:pStyle w:val="BodyText"/>
        <w:rPr/>
      </w:pPr>
      <w:r>
        <w:rPr/>
        <w:tab/>
        <w:t>Recurring themes</w:t>
      </w:r>
    </w:p>
    <w:p>
      <w:pPr>
        <w:pStyle w:val="BodyText"/>
        <w:rPr/>
      </w:pPr>
      <w:r>
        <w:rPr/>
        <w:tab/>
        <w:t>Training requirements</w:t>
      </w:r>
    </w:p>
    <w:p>
      <w:pPr>
        <w:pStyle w:val="BodyText"/>
        <w:rPr/>
      </w:pPr>
      <w:r>
        <w:rPr/>
        <w:tab/>
        <w:t>Infrastructure bottlenecks</w:t>
      </w:r>
    </w:p>
    <w:p>
      <w:pPr>
        <w:pStyle w:val="BodyText"/>
        <w:rPr/>
      </w:pPr>
      <w:r>
        <w:rPr/>
        <w:tab/>
        <w:t>Curriculum concerns</w:t>
      </w:r>
    </w:p>
    <w:p>
      <w:pPr>
        <w:pStyle w:val="BodyText"/>
        <w:rPr/>
      </w:pPr>
      <w:r>
        <w:rPr/>
        <w:tab/>
        <w:t>Student engagement patterns</w:t>
      </w:r>
    </w:p>
    <w:p>
      <w:pPr>
        <w:pStyle w:val="FirstParagraph"/>
        <w:rPr/>
      </w:pPr>
      <w:r>
        <w:rPr/>
        <w:t>Aggregated metric Combines:</w:t>
      </w:r>
    </w:p>
    <w:p>
      <w:pPr>
        <w:pStyle w:val="BodyText"/>
        <w:rPr/>
      </w:pPr>
      <w:r>
        <w:rPr/>
        <w:tab/>
        <w:t>Faculty Scores</w:t>
      </w:r>
    </w:p>
    <w:p>
      <w:pPr>
        <w:pStyle w:val="BodyText"/>
        <w:rPr/>
      </w:pPr>
      <w:r>
        <w:rPr/>
        <w:tab/>
        <w:t>Trend Stability</w:t>
      </w:r>
    </w:p>
    <w:p>
      <w:pPr>
        <w:pStyle w:val="BodyText"/>
        <w:rPr/>
      </w:pPr>
      <w:r>
        <w:rPr/>
        <w:tab/>
        <w:t>Participation Rates</w:t>
      </w:r>
    </w:p>
    <w:p>
      <w:pPr>
        <w:pStyle w:val="BodyText"/>
        <w:rPr/>
      </w:pPr>
      <w:r>
        <w:rPr/>
        <w:tab/>
        <w:t>Student Satisfaction</w:t>
      </w:r>
    </w:p>
    <w:p>
      <w:pPr>
        <w:pStyle w:val="FirstParagraph"/>
        <w:rPr/>
      </w:pPr>
      <w:r>
        <w:rPr/>
        <w:t>Produces:</w:t>
      </w:r>
    </w:p>
    <w:p>
      <w:pPr>
        <w:pStyle w:val="BodyText"/>
        <w:rPr/>
      </w:pPr>
      <w:r>
        <w:rPr/>
        <w:t>Department Health Index DHI (0–100)</w:t>
      </w:r>
    </w:p>
    <w:p>
      <w:pPr>
        <w:pStyle w:val="FirstParagraph"/>
        <w:rPr/>
      </w:pPr>
      <w:r>
        <w:rPr/>
        <w:t>Institution Teaching and Learning Index:</w:t>
      </w:r>
    </w:p>
    <w:p>
      <w:pPr>
        <w:pStyle w:val="FirstParagraph"/>
        <w:rPr/>
      </w:pPr>
      <w:r>
        <w:rPr/>
        <w:tab/>
        <w:t>Aggregated from departments.</w:t>
      </w:r>
    </w:p>
    <w:p>
      <w:pPr>
        <w:pStyle w:val="BodyText"/>
        <w:rPr/>
      </w:pPr>
      <w:r>
        <w:rPr/>
        <w:tab/>
        <w:t>Provides institutional benchmarking.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/>
        <w:t>No department or institution rankings shall be generated.</w:t>
      </w:r>
    </w:p>
    <w:p>
      <w:pPr>
        <w:pStyle w:val="Normal"/>
        <w:rPr/>
      </w:pPr>
      <w:bookmarkStart w:id="39" w:name="department-and-institution-analyt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9"/>
    </w:p>
    <w:p>
      <w:pPr>
        <w:pStyle w:val="Heading1"/>
        <w:rPr/>
      </w:pPr>
      <w:r>
        <w:rPr/>
        <w:t>23. State-Level Analytics</w:t>
      </w:r>
    </w:p>
    <w:p>
      <w:pPr>
        <w:pStyle w:val="FirstParagraph"/>
        <w:rPr/>
      </w:pPr>
      <w:r>
        <w:rPr/>
        <w:t>State dashboards shall identify:</w:t>
      </w:r>
    </w:p>
    <w:p>
      <w:pPr>
        <w:pStyle w:val="BodyText"/>
        <w:rPr/>
      </w:pPr>
      <w:r>
        <w:rPr/>
        <w:tab/>
        <w:t>Discipline-specific concerns</w:t>
      </w:r>
    </w:p>
    <w:p>
      <w:pPr>
        <w:pStyle w:val="BodyText"/>
        <w:rPr/>
      </w:pPr>
      <w:r>
        <w:rPr/>
        <w:tab/>
        <w:t>Regional patterns</w:t>
      </w:r>
    </w:p>
    <w:p>
      <w:pPr>
        <w:pStyle w:val="BodyText"/>
        <w:rPr/>
      </w:pPr>
      <w:r>
        <w:rPr/>
        <w:tab/>
        <w:t>Faculty development needs</w:t>
      </w:r>
    </w:p>
    <w:p>
      <w:pPr>
        <w:pStyle w:val="BodyText"/>
        <w:rPr/>
      </w:pPr>
      <w:r>
        <w:rPr/>
        <w:tab/>
        <w:t>Curriculum concerns</w:t>
      </w:r>
    </w:p>
    <w:p>
      <w:pPr>
        <w:pStyle w:val="BodyText"/>
        <w:rPr/>
      </w:pPr>
      <w:r>
        <w:rPr/>
        <w:tab/>
        <w:t>Infrastructure deficits</w:t>
      </w:r>
    </w:p>
    <w:p>
      <w:pPr>
        <w:pStyle w:val="BodyText"/>
        <w:rPr/>
      </w:pPr>
      <w:r>
        <w:rPr/>
        <w:tab/>
        <w:t>Policy bottlenecks</w:t>
      </w:r>
    </w:p>
    <w:p>
      <w:pPr>
        <w:pStyle w:val="BodyText"/>
        <w:rPr/>
      </w:pPr>
      <w:r>
        <w:rPr/>
        <w:tab/>
        <w:t>Emerging educational trends and issues</w:t>
      </w:r>
    </w:p>
    <w:p>
      <w:pPr>
        <w:pStyle w:val="Normal"/>
        <w:rPr/>
      </w:pPr>
      <w:bookmarkStart w:id="40" w:name="state-level-analyt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0"/>
    </w:p>
    <w:p>
      <w:pPr>
        <w:pStyle w:val="Heading1"/>
        <w:rPr/>
      </w:pPr>
      <w:r>
        <w:rPr/>
        <w:t>24. Reporting Principles</w:t>
      </w:r>
    </w:p>
    <w:p>
      <w:pPr>
        <w:pStyle w:val="FirstParagraph"/>
        <w:rPr/>
      </w:pPr>
      <w:r>
        <w:rPr/>
        <w:t>All reports shall:</w:t>
      </w:r>
    </w:p>
    <w:p>
      <w:pPr>
        <w:pStyle w:val="BodyText"/>
        <w:rPr/>
      </w:pPr>
      <w:r>
        <w:rPr/>
        <w:t>Present confidence measures.</w:t>
      </w:r>
    </w:p>
    <w:p>
      <w:pPr>
        <w:pStyle w:val="BodyText"/>
        <w:rPr/>
      </w:pPr>
      <w:r>
        <w:rPr/>
        <w:t>Avoid simplistic rankings.</w:t>
      </w:r>
    </w:p>
    <w:p>
      <w:pPr>
        <w:pStyle w:val="BodyText"/>
        <w:rPr/>
      </w:pPr>
      <w:r>
        <w:rPr/>
        <w:t>Avoid punitive interpretation.</w:t>
      </w:r>
    </w:p>
    <w:p>
      <w:pPr>
        <w:pStyle w:val="BodyText"/>
        <w:rPr/>
      </w:pPr>
      <w:r>
        <w:rPr/>
        <w:t>Avoid single-score evaluation.</w:t>
      </w:r>
    </w:p>
    <w:p>
      <w:pPr>
        <w:pStyle w:val="BodyText"/>
        <w:rPr/>
      </w:pPr>
      <w:r>
        <w:rPr/>
        <w:t>Emphasize strengths and growth opportunities.</w:t>
      </w:r>
    </w:p>
    <w:p>
      <w:pPr>
        <w:pStyle w:val="BodyText"/>
        <w:rPr>
          <w:u w:val="double"/>
        </w:rPr>
      </w:pPr>
      <w:r>
        <w:rPr/>
        <w:t>Focus on improvement actions.</w:t>
      </w:r>
    </w:p>
    <w:p>
      <w:pPr>
        <w:pStyle w:val="BodyText"/>
        <w:rPr/>
      </w:pPr>
      <w:r>
        <w:rPr/>
        <w:t>Provide historical trends.</w:t>
      </w:r>
    </w:p>
    <w:p>
      <w:pPr>
        <w:pStyle w:val="BodyText"/>
        <w:rPr/>
      </w:pPr>
      <w:r>
        <w:rPr/>
        <w:t>Provide actionable recommendations.</w:t>
      </w:r>
    </w:p>
    <w:p>
      <w:pPr>
        <w:pStyle w:val="BodyText"/>
        <w:rPr/>
      </w:pPr>
      <w:r>
        <w:rPr/>
        <w:t>Clearly distinguish faculty issues from systemic issues.</w:t>
      </w:r>
    </w:p>
    <w:p>
      <w:pPr>
        <w:pStyle w:val="Normal"/>
        <w:rPr/>
      </w:pPr>
      <w:bookmarkStart w:id="41" w:name="reporting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1"/>
    </w:p>
    <w:p>
      <w:pPr>
        <w:pStyle w:val="Heading1"/>
        <w:rPr/>
      </w:pPr>
      <w:r>
        <w:rPr/>
        <w:t>25. Future Research Extensions</w:t>
      </w:r>
    </w:p>
    <w:p>
      <w:pPr>
        <w:pStyle w:val="FirstParagraph"/>
        <w:rPr/>
      </w:pPr>
      <w:r>
        <w:rPr/>
        <w:t>Item Response Theory (IRT)</w:t>
      </w:r>
    </w:p>
    <w:p>
      <w:pPr>
        <w:pStyle w:val="BodyText"/>
        <w:rPr/>
      </w:pPr>
      <w:r>
        <w:rPr/>
        <w:t>Hierarchical (multi-level) Bayesian Models</w:t>
      </w:r>
    </w:p>
    <w:p>
      <w:pPr>
        <w:pStyle w:val="BodyText"/>
        <w:rPr/>
      </w:pPr>
      <w:r>
        <w:rPr/>
        <w:t>Causal Intervention Analysis</w:t>
      </w:r>
    </w:p>
    <w:p>
      <w:pPr>
        <w:pStyle w:val="BodyText"/>
        <w:rPr/>
      </w:pPr>
      <w:r>
        <w:rPr/>
        <w:t>Educational Knowledge Graphs</w:t>
      </w:r>
    </w:p>
    <w:p>
      <w:pPr>
        <w:pStyle w:val="BodyText"/>
        <w:rPr/>
      </w:pPr>
      <w:r>
        <w:rPr/>
        <w:t>Federated Learning</w:t>
      </w:r>
    </w:p>
    <w:p>
      <w:pPr>
        <w:pStyle w:val="BodyText"/>
        <w:rPr/>
      </w:pPr>
      <w:r>
        <w:rPr/>
        <w:t>Explainable AI for Educational Analytics</w:t>
      </w:r>
    </w:p>
    <w:p>
      <w:pPr>
        <w:pStyle w:val="BodyText"/>
        <w:rPr/>
      </w:pPr>
      <w:r>
        <w:rPr/>
        <w:t>Predictive Learning Analytics</w:t>
      </w:r>
    </w:p>
    <w:p>
      <w:pPr>
        <w:pStyle w:val="BodyText"/>
        <w:rPr/>
      </w:pPr>
      <w:r>
        <w:rPr/>
        <w:t>Predictive Faculty Development Models</w:t>
      </w:r>
    </w:p>
    <w:p>
      <w:pPr>
        <w:pStyle w:val="BodyText"/>
        <w:rPr/>
      </w:pPr>
      <w:r>
        <w:rPr/>
        <w:t>Multimodal Classroom Analytics</w:t>
      </w:r>
    </w:p>
    <w:p>
      <w:pPr>
        <w:pStyle w:val="BodyText"/>
        <w:rPr/>
      </w:pPr>
      <w:r>
        <w:rPr/>
        <w:t>Federated Educational Analytics</w:t>
      </w:r>
    </w:p>
    <w:p>
      <w:pPr>
        <w:pStyle w:val="Normal"/>
        <w:rPr/>
      </w:pPr>
      <w:bookmarkStart w:id="42" w:name="future-research-exten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2"/>
    </w:p>
    <w:p>
      <w:pPr>
        <w:pStyle w:val="Heading1"/>
        <w:rPr/>
      </w:pPr>
      <w:r>
        <w:rPr/>
        <w:t>26. Core Design Principle</w:t>
      </w:r>
    </w:p>
    <w:p>
      <w:pPr>
        <w:pStyle w:val="FirstParagraph"/>
        <w:rPr/>
      </w:pPr>
      <w:r>
        <w:rPr/>
        <w:t>The fundamental question addressed by every metric in the framework shall be:</w:t>
      </w:r>
    </w:p>
    <w:p>
      <w:pPr>
        <w:pStyle w:val="BodyText"/>
        <w:rPr/>
      </w:pPr>
      <w:r>
        <w:rPr/>
        <w:t>“</w:t>
      </w:r>
      <w:r>
        <w:rPr/>
        <w:t>What action can be taken to improve teaching, learning, and educational quality?”</w:t>
      </w:r>
    </w:p>
    <w:p>
      <w:pPr>
        <w:pStyle w:val="BodyText"/>
        <w:spacing w:before="180" w:after="180"/>
        <w:rPr/>
      </w:pPr>
      <w:bookmarkStart w:id="43" w:name="core-design-principle"/>
      <w:r>
        <w:rPr/>
        <w:t>Metrics that do not contribute to diagnosis, improvement, or decision support should not be included in the system.</w:t>
      </w:r>
      <w:bookmarkEnd w:id="4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Dinesh Gopinath" w:date="2026-06-21T21:19:49Z" w:initials="DG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 UI"/>
          <w:lang w:val="en-US" w:eastAsia="en-US" w:bidi="en-US"/>
        </w:rPr>
        <w:t>To be reviewed</w:t>
      </w:r>
    </w:p>
  </w:comment>
  <w:comment w:id="1" w:author="Dinesh Gopinath" w:date="2026-06-21T21:20:07Z" w:initials="DG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 UI"/>
          <w:lang w:val="en-US" w:eastAsia="en-US" w:bidi="en-US"/>
        </w:rPr>
        <w:t>REview</w:t>
      </w:r>
    </w:p>
  </w:comment>
  <w:comment w:id="2" w:author="Dinesh Gopinath" w:date="2026-06-21T17:07:30Z" w:initials="DG">
    <w:p>
      <w:pPr>
        <w:overflowPunct w:val="true"/>
        <w:spacing w:before="0" w:after="0"/>
        <w:rPr/>
      </w:pPr>
      <w:r>
        <w:rPr>
          <w:rFonts w:ascii="Liberation Serif" w:hAnsi="Liberation Serif" w:eastAsia="DejaVu Sans" w:cs="Noto Sans Arabic UI"/>
          <w:lang w:val="en-US" w:eastAsia="en-US" w:bidi="en-US"/>
        </w:rPr>
        <w:t>Check!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20</Pages>
  <Words>1608</Words>
  <Characters>10443</Characters>
  <CharactersWithSpaces>11562</CharactersWithSpaces>
  <Paragraphs>490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2026-06-21T11:05:14Z</dcterms:created>
  <dc:creator/>
  <dc:description/>
  <dc:language>en-US</dc:language>
  <cp:lastModifiedBy>Dinesh Gopinath</cp:lastModifiedBy>
  <dcterms:modified xsi:type="dcterms:W3CDTF">2026-06-21T21:20:33Z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