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5B6460"/>
          <w:spacing w:val="20"/>
          <w:sz w:val="18"/>
          <w:szCs w:val="18"/>
        </w:rPr>
        <w:t xml:space="preserve">DRAFT PROPOSAL — FOR STAKEHOLDER REVIEW</w:t>
      </w:r>
    </w:p>
    <w:p>
      <w:pPr>
        <w:spacing w:after="0" w:before="320"/>
        <w:jc w:val="center"/>
      </w:pPr>
      <w:r>
        <w:rPr>
          <w:rFonts w:ascii="Georgia" w:cs="Georgia" w:eastAsia="Georgia" w:hAnsi="Georgia"/>
          <w:b/>
          <w:bCs/>
          <w:color w:val="1B3A39"/>
          <w:sz w:val="52"/>
          <w:szCs w:val="52"/>
        </w:rPr>
        <w:t xml:space="preserve">Kerala Faculty Feedback &amp;</w:t>
      </w:r>
    </w:p>
    <w:p>
      <w:pPr>
        <w:spacing w:after="0" w:before="0"/>
        <w:jc w:val="center"/>
      </w:pPr>
      <w:r>
        <w:rPr>
          <w:rFonts w:ascii="Georgia" w:cs="Georgia" w:eastAsia="Georgia" w:hAnsi="Georgia"/>
          <w:b/>
          <w:bCs/>
          <w:color w:val="1B3A39"/>
          <w:sz w:val="52"/>
          <w:szCs w:val="52"/>
        </w:rPr>
        <w:t xml:space="preserve">Improvement System</w:t>
      </w:r>
    </w:p>
    <w:p>
      <w:pPr>
        <w:spacing w:after="0" w:before="200"/>
        <w:jc w:val="center"/>
      </w:pPr>
      <w:r>
        <w:rPr>
          <w:rFonts w:ascii="Calibri" w:cs="Calibri" w:eastAsia="Calibri" w:hAnsi="Calibri"/>
          <w:i/>
          <w:iCs/>
          <w:color w:val="5B6460"/>
          <w:sz w:val="28"/>
          <w:szCs w:val="28"/>
        </w:rPr>
        <w:t xml:space="preserve">Architecture and Implementation Blueprint</w:t>
      </w:r>
    </w:p>
    <w:p>
      <w:pPr>
        <w:pBdr>
          <w:top w:val="single" w:color="D4D9D2" w:sz="6" w:space="12"/>
        </w:pBdr>
        <w:spacing w:after="0" w:before="900"/>
        <w:jc w:val="center"/>
      </w:pPr>
      <w:r>
        <w:rPr>
          <w:rFonts w:ascii="Calibri" w:cs="Calibri" w:eastAsia="Calibri" w:hAnsi="Calibri"/>
          <w:sz w:val="4"/>
          <w:szCs w:val="4"/>
        </w:rPr>
        <w:t xml:space="preserve"> </w:t>
      </w:r>
    </w:p>
    <w:p>
      <w:pPr>
        <w:spacing w:after="60" w:before="500"/>
        <w:jc w:val="center"/>
      </w:pPr>
      <w:r>
        <w:rPr>
          <w:rFonts w:ascii="Calibri" w:cs="Calibri" w:eastAsia="Calibri" w:hAnsi="Calibri"/>
          <w:color w:val="232323"/>
          <w:sz w:val="22"/>
          <w:szCs w:val="22"/>
        </w:rPr>
        <w:t xml:space="preserve">Prepared for: Kerala State Higher Education Council / Department of Higher Education</w:t>
      </w:r>
    </w:p>
    <w:p>
      <w:pPr>
        <w:spacing w:after="60" w:before="0"/>
        <w:jc w:val="center"/>
      </w:pPr>
      <w:r>
        <w:rPr>
          <w:rFonts w:ascii="Calibri" w:cs="Calibri" w:eastAsia="Calibri" w:hAnsi="Calibri"/>
          <w:color w:val="232323"/>
          <w:sz w:val="22"/>
          <w:szCs w:val="22"/>
        </w:rPr>
        <w:t xml:space="preserve">Prepared by: [Author Name], [Department / Institution]</w:t>
      </w:r>
    </w:p>
    <w:p>
      <w:pPr>
        <w:spacing w:after="60" w:before="0"/>
        <w:jc w:val="center"/>
      </w:pPr>
      <w:r>
        <w:rPr>
          <w:rFonts w:ascii="Calibri" w:cs="Calibri" w:eastAsia="Calibri" w:hAnsi="Calibri"/>
          <w:color w:val="232323"/>
          <w:sz w:val="22"/>
          <w:szCs w:val="22"/>
        </w:rPr>
        <w:t xml:space="preserve">Status: Draft — Pre-pilot stakeholder review</w:t>
      </w:r>
    </w:p>
    <w:p>
      <w:pPr>
        <w:spacing w:after="0" w:before="0"/>
        <w:jc w:val="center"/>
      </w:pPr>
      <w:r>
        <w:rPr>
          <w:rFonts w:ascii="Calibri" w:cs="Calibri" w:eastAsia="Calibri" w:hAnsi="Calibri"/>
          <w:color w:val="232323"/>
          <w:sz w:val="22"/>
          <w:szCs w:val="22"/>
        </w:rPr>
        <w:t xml:space="preserve">Date: June 2026</w:t>
      </w:r>
    </w:p>
    <w:p>
      <w:r>
        <w:br w:type="page"/>
      </w:r>
    </w:p>
    <w:p>
      <w:pPr>
        <w:pStyle w:val="Heading2"/>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B6460"/>
          <w:sz w:val="18"/>
          <w:szCs w:val="18"/>
        </w:rPr>
        <w:t xml:space="preserve">(This table updates automatically when opened in Microsoft Word. If entries do not appear, right-click the table and select “Update Field.”)</w:t>
      </w:r>
    </w:p>
    <w:p>
      <w:r>
        <w:br w:type="page"/>
      </w:r>
    </w:p>
    <w:p>
      <w:pPr>
        <w:pStyle w:val="Heading1"/>
        <w:pageBreakBefore/>
      </w:pPr>
      <w:r>
        <w:t xml:space="preserve">Executive Summary</w:t>
      </w:r>
    </w:p>
    <w:p>
      <w:pPr>
        <w:spacing w:after="160"/>
      </w:pPr>
      <w:r>
        <w:rPr>
          <w:rFonts w:ascii="Calibri" w:cs="Calibri" w:eastAsia="Calibri" w:hAnsi="Calibri"/>
          <w:color w:val="232323"/>
          <w:sz w:val="22"/>
          <w:szCs w:val="22"/>
        </w:rPr>
        <w:t xml:space="preserve">This document outlines a faculty feedback system for Kerala’s state higher education institutions, designed around four non-negotiable principles.</w:t>
      </w:r>
    </w:p>
    <w:p>
      <w:pPr>
        <w:pStyle w:val="ListParagraph"/>
        <w:numPr>
          <w:ilvl w:val="0"/>
          <w:numId w:val="2"/>
        </w:numPr>
        <w:spacing w:after="100"/>
      </w:pPr>
      <w:r>
        <w:rPr>
          <w:rFonts w:ascii="Calibri" w:cs="Calibri" w:eastAsia="Calibri" w:hAnsi="Calibri"/>
          <w:color w:val="232323"/>
          <w:sz w:val="22"/>
          <w:szCs w:val="22"/>
        </w:rPr>
        <w:t xml:space="preserve">De-identification by construction — student identity and feedback content are technically separated at the database and access-role level, not just by policy.</w:t>
      </w:r>
    </w:p>
    <w:p>
      <w:pPr>
        <w:pStyle w:val="ListParagraph"/>
        <w:numPr>
          <w:ilvl w:val="0"/>
          <w:numId w:val="2"/>
        </w:numPr>
        <w:spacing w:after="100"/>
      </w:pPr>
      <w:r>
        <w:rPr>
          <w:rFonts w:ascii="Calibri" w:cs="Calibri" w:eastAsia="Calibri" w:hAnsi="Calibri"/>
          <w:color w:val="232323"/>
          <w:sz w:val="22"/>
          <w:szCs w:val="22"/>
        </w:rPr>
        <w:t xml:space="preserve">Statistically defensible scoring — objective and subjective signals are combined using cohort-relative normalization, outlier control, and Empirical Bayes shrinkage, so a faculty member is never judged on a handful of unrepresentative responses.</w:t>
      </w:r>
    </w:p>
    <w:p>
      <w:pPr>
        <w:pStyle w:val="ListParagraph"/>
        <w:numPr>
          <w:ilvl w:val="0"/>
          <w:numId w:val="2"/>
        </w:numPr>
        <w:spacing w:after="100"/>
      </w:pPr>
      <w:r>
        <w:rPr>
          <w:rFonts w:ascii="Calibri" w:cs="Calibri" w:eastAsia="Calibri" w:hAnsi="Calibri"/>
          <w:color w:val="232323"/>
          <w:sz w:val="22"/>
          <w:szCs w:val="22"/>
        </w:rPr>
        <w:t xml:space="preserve">Corrective, not punitive, by legal design — the system produces formative reports with concrete development pathways (methodology changes, NPTEL/SWAYAM certifications), not disciplinary scores, backed by an explicit governance instrument rather than intent alone.</w:t>
      </w:r>
    </w:p>
    <w:p>
      <w:pPr>
        <w:pStyle w:val="ListParagraph"/>
        <w:numPr>
          <w:ilvl w:val="0"/>
          <w:numId w:val="2"/>
        </w:numPr>
        <w:spacing w:after="100"/>
      </w:pPr>
      <w:r>
        <w:rPr>
          <w:rFonts w:ascii="Calibri" w:cs="Calibri" w:eastAsia="Calibri" w:hAnsi="Calibri"/>
          <w:color w:val="232323"/>
          <w:sz w:val="22"/>
          <w:szCs w:val="22"/>
        </w:rPr>
        <w:t xml:space="preserve">Government infrastructure, not a vendor product — built to run on state/NIC infrastructure, integrated with existing accreditation requirements (the NAAC Student Satisfaction Survey) rather than competing with them, with a separate licensing track reserved for self-financing institutions later.</w:t>
      </w:r>
    </w:p>
    <w:p>
      <w:pPr>
        <w:pStyle w:val="Heading1"/>
        <w:pageBreakBefore/>
      </w:pPr>
      <w:r>
        <w:t xml:space="preserve">1. Positioning and Institutional Anchoring</w:t>
      </w:r>
    </w:p>
    <w:p>
      <w:pPr>
        <w:spacing w:after="160"/>
      </w:pPr>
      <w:r>
        <w:rPr>
          <w:rFonts w:ascii="Calibri" w:cs="Calibri" w:eastAsia="Calibri" w:hAnsi="Calibri"/>
          <w:color w:val="232323"/>
          <w:sz w:val="22"/>
          <w:szCs w:val="22"/>
        </w:rPr>
        <w:t xml:space="preserve">Rather than launching as a standalone new mandate, the system should be anchored to infrastructure that already exists and already carries institutional weight.</w:t>
      </w:r>
    </w:p>
    <w:p>
      <w:pPr>
        <w:pStyle w:val="Heading2"/>
      </w:pPr>
      <w:r>
        <w:t xml:space="preserve">1.1 Anchor to an existing mandate</w:t>
      </w:r>
    </w:p>
    <w:p>
      <w:pPr>
        <w:spacing w:after="160"/>
      </w:pPr>
      <w:r>
        <w:rPr>
          <w:rFonts w:ascii="Calibri" w:cs="Calibri" w:eastAsia="Calibri" w:hAnsi="Calibri"/>
          <w:color w:val="232323"/>
          <w:sz w:val="22"/>
          <w:szCs w:val="22"/>
        </w:rPr>
        <w:t xml:space="preserve">NAAC's Student Satisfaction Survey (SSS) is already a mandatory input for accreditation. Positioning this system as the official digital instrument that fulfils that requirement — with richer, AI-assisted analysis — converts “another portal to comply with” into “the tool that already does what we must do anyway.”</w:t>
      </w:r>
    </w:p>
    <w:p>
      <w:pPr>
        <w:pStyle w:val="Heading2"/>
      </w:pPr>
      <w:r>
        <w:t xml:space="preserve">1.2 Institutional home</w:t>
      </w:r>
    </w:p>
    <w:p>
      <w:pPr>
        <w:spacing w:after="160"/>
      </w:pPr>
      <w:r>
        <w:rPr>
          <w:rFonts w:ascii="Calibri" w:cs="Calibri" w:eastAsia="Calibri" w:hAnsi="Calibri"/>
          <w:color w:val="232323"/>
          <w:sz w:val="22"/>
          <w:szCs w:val="22"/>
        </w:rPr>
        <w:t xml:space="preserve">The likely institutional home is the Department of Higher Education / Kerala State Higher Education Council (or equivalent state academic governance body), in partnership with the state IT implementation agency for hosting and security certification. Universities act as the academic governance layer above individual colleges.</w:t>
      </w:r>
    </w:p>
    <w:p>
      <w:pPr>
        <w:pStyle w:val="Heading2"/>
      </w:pPr>
      <w:r>
        <w:t xml:space="preserve">1.3 Stakeholder council before code</w:t>
      </w:r>
    </w:p>
    <w:p>
      <w:pPr>
        <w:spacing w:after="160"/>
      </w:pPr>
      <w:r>
        <w:rPr>
          <w:rFonts w:ascii="Calibri" w:cs="Calibri" w:eastAsia="Calibri" w:hAnsi="Calibri"/>
          <w:color w:val="232323"/>
          <w:sz w:val="22"/>
          <w:szCs w:val="22"/>
        </w:rPr>
        <w:t xml:space="preserve">A standing oversight committee with faculty-association representation, student-union representation, and IQAC coordinators should approve the question instrument, the scoring weights, and the release thresholds before the pilot begins. Faculty buy-in is the single biggest determinant of whether this succeeds politically — a system perceived as imposed top-down invites boycott or gaming.</w:t>
      </w:r>
    </w:p>
    <w:p>
      <w:pPr>
        <w:pStyle w:val="Heading2"/>
      </w:pPr>
      <w:r>
        <w:t xml:space="preserve">1.4 Private-institution licensing</w:t>
      </w:r>
    </w:p>
    <w:p>
      <w:pPr>
        <w:spacing w:after="160"/>
      </w:pPr>
      <w:r>
        <w:rPr>
          <w:rFonts w:ascii="Calibri" w:cs="Calibri" w:eastAsia="Calibri" w:hAnsi="Calibri"/>
          <w:color w:val="232323"/>
          <w:sz w:val="22"/>
          <w:szCs w:val="22"/>
        </w:rPr>
        <w:t xml:space="preserve">Phased licensing for private institutions is a separate downstream decision (Section 11). The system should be architecturally multi-tenant from day one without conflating that commercial path with the government rollout.</w:t>
      </w:r>
    </w:p>
    <w:p>
      <w:pPr>
        <w:pStyle w:val="Heading1"/>
        <w:pageBreakBefore/>
      </w:pPr>
      <w:r>
        <w:t xml:space="preserve">2. Governance and Legal Considerations</w:t>
      </w:r>
    </w:p>
    <w:p>
      <w:pPr>
        <w:pStyle w:val="Heading2"/>
      </w:pPr>
      <w:r>
        <w:t xml:space="preserve">2.1 Data protection</w:t>
      </w:r>
    </w:p>
    <w:p>
      <w:pPr>
        <w:spacing w:after="160"/>
      </w:pPr>
      <w:r>
        <w:rPr>
          <w:rFonts w:ascii="Calibri" w:cs="Calibri" w:eastAsia="Calibri" w:hAnsi="Calibri"/>
          <w:color w:val="232323"/>
          <w:sz w:val="22"/>
          <w:szCs w:val="22"/>
        </w:rPr>
        <w:t xml:space="preserve">The system should be designed for compliance with India's Digital Personal Data Protection Act, 2023 — with explicit purpose limitation (formative feedback only), defined retention periods, and a documented lawful basis, likely framed as part of the institution's academic-quality function rather than per-submission consent, given the operational need for participation.</w:t>
      </w:r>
    </w:p>
    <w:p>
      <w:pPr>
        <w:pStyle w:val="Heading2"/>
      </w:pPr>
      <w:r>
        <w:t xml:space="preserve">2.2 Non-punitive ring-fencing</w:t>
      </w:r>
    </w:p>
    <w:p>
      <w:pPr>
        <w:spacing w:after="160"/>
      </w:pPr>
      <w:r>
        <w:rPr>
          <w:rFonts w:ascii="Calibri" w:cs="Calibri" w:eastAsia="Calibri" w:hAnsi="Calibri"/>
          <w:color w:val="232323"/>
          <w:sz w:val="22"/>
          <w:szCs w:val="22"/>
        </w:rPr>
        <w:t xml:space="preserve">This requires a Government Order or equivalent binding instrument stating that system-generated scores cannot be used as the sole basis for adverse service action against a faculty member. Reports should explicitly route into a Faculty Development Program (FDP) / mentoring pathway, with any disciplinary process — if ever triggered — required to go through existing, independent service rules and due process. This system's output should be treated as one input among several, never a verdict.</w:t>
      </w:r>
    </w:p>
    <w:p>
      <w:pPr>
        <w:pStyle w:val="Heading2"/>
      </w:pPr>
      <w:r>
        <w:t xml:space="preserve">2.3 Liability from free-text comments</w:t>
      </w:r>
    </w:p>
    <w:p>
      <w:pPr>
        <w:spacing w:after="160"/>
      </w:pPr>
      <w:r>
        <w:rPr>
          <w:rFonts w:ascii="Calibri" w:cs="Calibri" w:eastAsia="Calibri" w:hAnsi="Calibri"/>
          <w:color w:val="232323"/>
          <w:sz w:val="22"/>
          <w:szCs w:val="22"/>
        </w:rPr>
        <w:t xml:space="preserve">Moderation rules should be defined and published. A comment alleging a specific serious act, for instance, should route to a separate grievance/vigilance process rather than appearing verbatim in a routine report.</w:t>
      </w:r>
    </w:p>
    <w:p>
      <w:pPr>
        <w:pStyle w:val="Heading2"/>
      </w:pPr>
      <w:r>
        <w:t xml:space="preserve">2.4 Security certification</w:t>
      </w:r>
    </w:p>
    <w:p>
      <w:pPr>
        <w:spacing w:after="160"/>
      </w:pPr>
      <w:r>
        <w:rPr>
          <w:rFonts w:ascii="Calibri" w:cs="Calibri" w:eastAsia="Calibri" w:hAnsi="Calibri"/>
          <w:color w:val="232323"/>
          <w:sz w:val="22"/>
          <w:szCs w:val="22"/>
        </w:rPr>
        <w:t xml:space="preserve">Government portals handling personal data in India typically require an independent security audit (for example, by a CERT-In empanelled auditor) before public launch. This should be budgeted for from the outset, not treated as an afterthought.</w:t>
      </w:r>
    </w:p>
    <w:p>
      <w:pPr>
        <w:pStyle w:val="Heading1"/>
        <w:pageBreakBefore/>
      </w:pPr>
      <w:r>
        <w:t xml:space="preserve">3. System Architecture</w:t>
      </w:r>
    </w:p>
    <w:p>
      <w:pPr>
        <w:spacing w:after="160"/>
      </w:pPr>
      <w:r>
        <w:rPr>
          <w:rFonts w:ascii="Calibri" w:cs="Calibri" w:eastAsia="Calibri" w:hAnsi="Calibri"/>
          <w:color w:val="232323"/>
          <w:sz w:val="22"/>
          <w:szCs w:val="22"/>
        </w:rPr>
        <w:t xml:space="preserve">The system is organized into six layers, with anonymization treated as a structural boundary rather than a single feature:</w:t>
      </w:r>
    </w:p>
    <w:p>
      <w:pPr>
        <w:spacing w:after="160"/>
      </w:pPr>
      <w:r>
        <w:rPr>
          <w:rFonts w:ascii="Calibri" w:cs="Calibri" w:eastAsia="Calibri" w:hAnsi="Calibri"/>
          <w:i/>
          <w:iCs/>
          <w:color w:val="5B6460"/>
          <w:sz w:val="22"/>
          <w:szCs w:val="22"/>
        </w:rPr>
        <w:t xml:space="preserve">Student-Facing Layer → Anonymization &amp; Code Registry → Core Data &amp; Processing → AI/LLM Layer (codes-only) → Role-Based Dashboards → Audit &amp; Compliance (cross-cutting)</w:t>
      </w:r>
    </w:p>
    <w:p>
      <w:pPr>
        <w:spacing w:after="200" w:before="200"/>
        <w:jc w:val="center"/>
      </w:pPr>
      <w:r>
        <w:drawing>
          <wp:inline distT="0" distB="0" distL="0" distR="0">
            <wp:extent cx="5715000" cy="3200400"/>
            <wp:effectExtent t="0" r="0" b="0" l="0"/>
            <wp:docPr id="1" name="architecture" descr="System architecture overview"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160"/>
      </w:pPr>
      <w:r>
        <w:rPr>
          <w:rFonts w:ascii="Calibri" w:cs="Calibri" w:eastAsia="Calibri" w:hAnsi="Calibri"/>
          <w:b/>
          <w:bCs/>
          <w:color w:val="232323"/>
          <w:sz w:val="22"/>
          <w:szCs w:val="22"/>
        </w:rPr>
        <w:t xml:space="preserve">Key points:</w:t>
      </w:r>
    </w:p>
    <w:p>
      <w:pPr>
        <w:pStyle w:val="ListParagraph"/>
        <w:numPr>
          <w:ilvl w:val="0"/>
          <w:numId w:val="3"/>
        </w:numPr>
        <w:spacing w:after="100"/>
      </w:pPr>
      <w:r>
        <w:rPr>
          <w:rFonts w:ascii="Calibri" w:cs="Calibri" w:eastAsia="Calibri" w:hAnsi="Calibri"/>
          <w:color w:val="232323"/>
          <w:sz w:val="22"/>
          <w:szCs w:val="22"/>
        </w:rPr>
        <w:t xml:space="preserve">Identity verification happens once, at the edge. A student authenticates via college SSO/existing student database to prove enrollment, and the Token Service immediately issues a one-time, non-reversible response token. No table downstream of token issuance contains a student identifier.</w:t>
      </w:r>
    </w:p>
    <w:p>
      <w:pPr>
        <w:pStyle w:val="ListParagraph"/>
        <w:numPr>
          <w:ilvl w:val="0"/>
          <w:numId w:val="3"/>
        </w:numPr>
        <w:spacing w:after="100"/>
      </w:pPr>
      <w:r>
        <w:rPr>
          <w:rFonts w:ascii="Calibri" w:cs="Calibri" w:eastAsia="Calibri" w:hAnsi="Calibri"/>
          <w:color w:val="232323"/>
          <w:sz w:val="22"/>
          <w:szCs w:val="22"/>
        </w:rPr>
        <w:t xml:space="preserve">The AI/LLM layer never has a path to identity-bearing tables. This is enforced with separate database schemas and role-based grants (see the accompanying database_schema.sql reference file), so “anonymized data only” is a property of the access-control system, not a coding convention someone could forget.</w:t>
      </w:r>
    </w:p>
    <w:p>
      <w:pPr>
        <w:pStyle w:val="ListParagraph"/>
        <w:numPr>
          <w:ilvl w:val="0"/>
          <w:numId w:val="3"/>
        </w:numPr>
        <w:spacing w:after="100"/>
      </w:pPr>
      <w:r>
        <w:rPr>
          <w:rFonts w:ascii="Calibri" w:cs="Calibri" w:eastAsia="Calibri" w:hAnsi="Calibri"/>
          <w:color w:val="232323"/>
          <w:sz w:val="22"/>
          <w:szCs w:val="22"/>
        </w:rPr>
        <w:t xml:space="preserve">Dashboards read only pre-aggregated, gated outputs — never raw responses — regardless of which authority level is viewing them.</w:t>
      </w:r>
    </w:p>
    <w:p>
      <w:pPr>
        <w:pStyle w:val="Heading1"/>
        <w:pageBreakBefore/>
      </w:pPr>
      <w:r>
        <w:t xml:space="preserve">4. Anonymization Protocol</w:t>
      </w:r>
    </w:p>
    <w:p>
      <w:pPr>
        <w:spacing w:after="160"/>
      </w:pPr>
      <w:r>
        <w:rPr>
          <w:rFonts w:ascii="Calibri" w:cs="Calibri" w:eastAsia="Calibri" w:hAnsi="Calibri"/>
          <w:color w:val="232323"/>
          <w:sz w:val="22"/>
          <w:szCs w:val="22"/>
        </w:rPr>
        <w:t xml:space="preserve">Step by step, for a single feedback submission:</w:t>
      </w:r>
    </w:p>
    <w:p>
      <w:pPr>
        <w:pStyle w:val="ListParagraph"/>
        <w:numPr>
          <w:ilvl w:val="0"/>
          <w:numId w:val="4"/>
        </w:numPr>
        <w:spacing w:after="100"/>
      </w:pPr>
      <w:r>
        <w:rPr>
          <w:rFonts w:ascii="Calibri" w:cs="Calibri" w:eastAsia="Calibri" w:hAnsi="Calibri"/>
          <w:color w:val="232323"/>
          <w:sz w:val="22"/>
          <w:szCs w:val="22"/>
        </w:rPr>
        <w:t xml:space="preserve">Student logs in through the college's existing SSO/ERP credential.</w:t>
      </w:r>
    </w:p>
    <w:p>
      <w:pPr>
        <w:pStyle w:val="ListParagraph"/>
        <w:numPr>
          <w:ilvl w:val="0"/>
          <w:numId w:val="4"/>
        </w:numPr>
        <w:spacing w:after="100"/>
      </w:pPr>
      <w:r>
        <w:rPr>
          <w:rFonts w:ascii="Calibri" w:cs="Calibri" w:eastAsia="Calibri" w:hAnsi="Calibri"/>
          <w:color w:val="232323"/>
          <w:sz w:val="22"/>
          <w:szCs w:val="22"/>
        </w:rPr>
        <w:t xml:space="preserve">The Enrollment Verification Service confirms the student is genuinely enrolled in the specific course/section/term being rated, against the existing student database — no new identity store is created for feedback purposes.</w:t>
      </w:r>
    </w:p>
    <w:p>
      <w:pPr>
        <w:pStyle w:val="ListParagraph"/>
        <w:numPr>
          <w:ilvl w:val="0"/>
          <w:numId w:val="4"/>
        </w:numPr>
        <w:spacing w:after="100"/>
      </w:pPr>
      <w:r>
        <w:rPr>
          <w:rFonts w:ascii="Calibri" w:cs="Calibri" w:eastAsia="Calibri" w:hAnsi="Calibri"/>
          <w:color w:val="232323"/>
          <w:sz w:val="22"/>
          <w:szCs w:val="22"/>
        </w:rPr>
        <w:t xml:space="preserve">The Token Service issues a single-use pseudonymous token for that (student, course, term) triple, generated via a keyed HMAC so it cannot be reversed without a separate secret key held by a different custodian — no single party can unilaterally de-anonymize.</w:t>
      </w:r>
    </w:p>
    <w:p>
      <w:pPr>
        <w:pStyle w:val="ListParagraph"/>
        <w:numPr>
          <w:ilvl w:val="0"/>
          <w:numId w:val="4"/>
        </w:numPr>
        <w:spacing w:after="100"/>
      </w:pPr>
      <w:r>
        <w:rPr>
          <w:rFonts w:ascii="Calibri" w:cs="Calibri" w:eastAsia="Calibri" w:hAnsi="Calibri"/>
          <w:color w:val="232323"/>
          <w:sz w:val="22"/>
          <w:szCs w:val="22"/>
        </w:rPr>
        <w:t xml:space="preserve">The student submits objective ratings and a free-text comment, tagged only with token, faculty_code, course_code, and term_code.</w:t>
      </w:r>
    </w:p>
    <w:p>
      <w:pPr>
        <w:pStyle w:val="ListParagraph"/>
        <w:numPr>
          <w:ilvl w:val="0"/>
          <w:numId w:val="4"/>
        </w:numPr>
        <w:spacing w:after="100"/>
      </w:pPr>
      <w:r>
        <w:rPr>
          <w:rFonts w:ascii="Calibri" w:cs="Calibri" w:eastAsia="Calibri" w:hAnsi="Calibri"/>
          <w:color w:val="232323"/>
          <w:sz w:val="22"/>
          <w:szCs w:val="22"/>
        </w:rPr>
        <w:t xml:space="preserve">k-Anonymity gate: a faculty/course/term combination only produces a releasable report once it has at least k responses (a recommended starting point is k = 5–8, to be calibrated during the pilot). Below that threshold, no report — individual or aggregate — is generated.</w:t>
      </w:r>
    </w:p>
    <w:p>
      <w:pPr>
        <w:pStyle w:val="ListParagraph"/>
        <w:numPr>
          <w:ilvl w:val="0"/>
          <w:numId w:val="4"/>
        </w:numPr>
        <w:spacing w:after="100"/>
      </w:pPr>
      <w:r>
        <w:rPr>
          <w:rFonts w:ascii="Calibri" w:cs="Calibri" w:eastAsia="Calibri" w:hAnsi="Calibri"/>
          <w:color w:val="232323"/>
          <w:sz w:val="22"/>
          <w:szCs w:val="22"/>
        </w:rPr>
        <w:t xml:space="preserve">For very small comment samples that do clear the threshold, free-text excerpts should be paraphrased or clustered in the faculty report rather than quoted verbatim, reducing the chance that a distinctively worded comment is traceable to one student.</w:t>
      </w:r>
    </w:p>
    <w:p>
      <w:pPr>
        <w:pStyle w:val="Heading1"/>
        <w:pageBreakBefore/>
      </w:pPr>
      <w:r>
        <w:t xml:space="preserve">5. Portal Layout and Information Architecture</w:t>
      </w:r>
    </w:p>
    <w:p>
      <w:pPr>
        <w:pStyle w:val="Heading2"/>
      </w:pPr>
      <w:r>
        <w:t xml:space="preserve">5.1 Public landing</w:t>
      </w:r>
    </w:p>
    <w:p>
      <w:pPr>
        <w:spacing w:after="160"/>
      </w:pPr>
      <w:r>
        <w:rPr>
          <w:rFonts w:ascii="Calibri" w:cs="Calibri" w:eastAsia="Calibri" w:hAnsi="Calibri"/>
          <w:color w:val="232323"/>
          <w:sz w:val="22"/>
          <w:szCs w:val="22"/>
        </w:rPr>
        <w:t xml:space="preserve">What the system is, the non-punitive policy statement, FAQ, and grievance-redressal contact — transparency here is what earns legitimacy with both faculty and students.</w:t>
      </w:r>
    </w:p>
    <w:p>
      <w:pPr>
        <w:pStyle w:val="Heading2"/>
      </w:pPr>
      <w:r>
        <w:t xml:space="preserve">5.2 Student flow (logged in)</w:t>
      </w:r>
    </w:p>
    <w:p>
      <w:pPr>
        <w:spacing w:after="160"/>
      </w:pPr>
      <w:r>
        <w:rPr>
          <w:rFonts w:ascii="Calibri" w:cs="Calibri" w:eastAsia="Calibri" w:hAnsi="Calibri"/>
          <w:color w:val="232323"/>
          <w:sz w:val="22"/>
          <w:szCs w:val="22"/>
        </w:rPr>
        <w:t xml:space="preserve">My enrolled courses this term → Select course → Feedback form (objective Likert block + optional free text) → Confirmation. No score is shown back to the student — this is not a public rating site.</w:t>
      </w:r>
    </w:p>
    <w:p>
      <w:pPr>
        <w:pStyle w:val="Heading2"/>
      </w:pPr>
      <w:r>
        <w:t xml:space="preserve">5.3 Faculty dashboard (private, self-only)</w:t>
      </w:r>
    </w:p>
    <w:p>
      <w:pPr>
        <w:pStyle w:val="ListParagraph"/>
        <w:numPr>
          <w:ilvl w:val="0"/>
          <w:numId w:val="3"/>
        </w:numPr>
        <w:spacing w:after="100"/>
      </w:pPr>
      <w:r>
        <w:rPr>
          <w:rFonts w:ascii="Calibri" w:cs="Calibri" w:eastAsia="Calibri" w:hAnsi="Calibri"/>
          <w:color w:val="232323"/>
          <w:sz w:val="22"/>
          <w:szCs w:val="22"/>
        </w:rPr>
        <w:t xml:space="preserve">Overview: current-term composite score band (not a raw punitive number — see Section 6.4) and trend across terms.</w:t>
      </w:r>
    </w:p>
    <w:p>
      <w:pPr>
        <w:pStyle w:val="ListParagraph"/>
        <w:numPr>
          <w:ilvl w:val="0"/>
          <w:numId w:val="3"/>
        </w:numPr>
        <w:spacing w:after="100"/>
      </w:pPr>
      <w:r>
        <w:rPr>
          <w:rFonts w:ascii="Calibri" w:cs="Calibri" w:eastAsia="Calibri" w:hAnsi="Calibri"/>
          <w:color w:val="232323"/>
          <w:sz w:val="22"/>
          <w:szCs w:val="22"/>
        </w:rPr>
        <w:t xml:space="preserve">Dimension breakdown: where the formative detail lives, with the underlying de-identified, clustered comment themes.</w:t>
      </w:r>
    </w:p>
    <w:p>
      <w:pPr>
        <w:pStyle w:val="ListParagraph"/>
        <w:numPr>
          <w:ilvl w:val="0"/>
          <w:numId w:val="3"/>
        </w:numPr>
        <w:spacing w:after="100"/>
      </w:pPr>
      <w:r>
        <w:rPr>
          <w:rFonts w:ascii="Calibri" w:cs="Calibri" w:eastAsia="Calibri" w:hAnsi="Calibri"/>
          <w:color w:val="232323"/>
          <w:sz w:val="22"/>
          <w:szCs w:val="22"/>
        </w:rPr>
        <w:t xml:space="preserve">Suggested actions: methodology suggestions and matched NPTEL/SWAYAM certification recommendations.</w:t>
      </w:r>
    </w:p>
    <w:p>
      <w:pPr>
        <w:pStyle w:val="ListParagraph"/>
        <w:numPr>
          <w:ilvl w:val="0"/>
          <w:numId w:val="3"/>
        </w:numPr>
        <w:spacing w:after="100"/>
      </w:pPr>
      <w:r>
        <w:rPr>
          <w:rFonts w:ascii="Calibri" w:cs="Calibri" w:eastAsia="Calibri" w:hAnsi="Calibri"/>
          <w:color w:val="232323"/>
          <w:sz w:val="22"/>
          <w:szCs w:val="22"/>
        </w:rPr>
        <w:t xml:space="preserve">Response-count and confidence indicator, so the faculty member can see how statistically stable their score is.</w:t>
      </w:r>
    </w:p>
    <w:p>
      <w:pPr>
        <w:pStyle w:val="Heading2"/>
      </w:pPr>
      <w:r>
        <w:t xml:space="preserve">5.4 HoD / Principal dashboard</w:t>
      </w:r>
    </w:p>
    <w:p>
      <w:pPr>
        <w:pStyle w:val="ListParagraph"/>
        <w:numPr>
          <w:ilvl w:val="0"/>
          <w:numId w:val="3"/>
        </w:numPr>
        <w:spacing w:after="100"/>
      </w:pPr>
      <w:r>
        <w:rPr>
          <w:rFonts w:ascii="Calibri" w:cs="Calibri" w:eastAsia="Calibri" w:hAnsi="Calibri"/>
          <w:color w:val="232323"/>
          <w:sz w:val="22"/>
          <w:szCs w:val="22"/>
        </w:rPr>
        <w:t xml:space="preserve">Department roster with score bands (not raw ranks — see Section 8) and flags such as temporal-clustering anomalies and low-response-count courses.</w:t>
      </w:r>
    </w:p>
    <w:p>
      <w:pPr>
        <w:pStyle w:val="ListParagraph"/>
        <w:numPr>
          <w:ilvl w:val="0"/>
          <w:numId w:val="3"/>
        </w:numPr>
        <w:spacing w:after="100"/>
      </w:pPr>
      <w:r>
        <w:rPr>
          <w:rFonts w:ascii="Calibri" w:cs="Calibri" w:eastAsia="Calibri" w:hAnsi="Calibri"/>
          <w:color w:val="232323"/>
          <w:sz w:val="22"/>
          <w:szCs w:val="22"/>
        </w:rPr>
        <w:t xml:space="preserve">Cohort comparisons to contextualize any single faculty member's standing.</w:t>
      </w:r>
    </w:p>
    <w:p>
      <w:pPr>
        <w:pStyle w:val="Heading2"/>
      </w:pPr>
      <w:r>
        <w:t xml:space="preserve">5.5 University / State authority dashboard</w:t>
      </w:r>
    </w:p>
    <w:p>
      <w:pPr>
        <w:pStyle w:val="ListParagraph"/>
        <w:numPr>
          <w:ilvl w:val="0"/>
          <w:numId w:val="3"/>
        </w:numPr>
        <w:spacing w:after="100"/>
      </w:pPr>
      <w:r>
        <w:rPr>
          <w:rFonts w:ascii="Calibri" w:cs="Calibri" w:eastAsia="Calibri" w:hAnsi="Calibri"/>
          <w:color w:val="232323"/>
          <w:sz w:val="22"/>
          <w:szCs w:val="22"/>
        </w:rPr>
        <w:t xml:space="preserve">Aggregated, anonymized-at-the-faculty-level system health: participation rates, dimension-level trends across institutions, and FDP-uptake correlation with subsequent score movement.</w:t>
      </w:r>
    </w:p>
    <w:p>
      <w:pPr>
        <w:pStyle w:val="ListParagraph"/>
        <w:numPr>
          <w:ilvl w:val="0"/>
          <w:numId w:val="3"/>
        </w:numPr>
        <w:spacing w:after="100"/>
      </w:pPr>
      <w:r>
        <w:rPr>
          <w:rFonts w:ascii="Calibri" w:cs="Calibri" w:eastAsia="Calibri" w:hAnsi="Calibri"/>
          <w:color w:val="232323"/>
          <w:sz w:val="22"/>
          <w:szCs w:val="22"/>
        </w:rPr>
        <w:t xml:space="preserve">No individual faculty drill-down by default; any escalation beyond the aggregate view requires a logged, authorized, due-process-triggered access request.</w:t>
      </w:r>
    </w:p>
    <w:p>
      <w:pPr>
        <w:pStyle w:val="Heading1"/>
        <w:pageBreakBefore/>
      </w:pPr>
      <w:r>
        <w:t xml:space="preserve">6. Scoring Methodology</w:t>
      </w:r>
    </w:p>
    <w:p>
      <w:pPr>
        <w:pStyle w:val="Heading2"/>
      </w:pPr>
      <w:r>
        <w:t xml:space="preserve">6.1 Objective Score</w:t>
      </w:r>
    </w:p>
    <w:p>
      <w:pPr>
        <w:spacing w:after="160"/>
      </w:pPr>
      <w:r>
        <w:rPr>
          <w:rFonts w:ascii="Calibri" w:cs="Calibri" w:eastAsia="Calibri" w:hAnsi="Calibri"/>
          <w:color w:val="232323"/>
          <w:sz w:val="22"/>
          <w:szCs w:val="22"/>
        </w:rPr>
        <w:t xml:space="preserve">A multi-dimensional Likert instrument (1–5) should be used rather than a single “overall rating” — this is what makes the report formative rather than purely evaluative. Suggested starting dimensions and sample items, to be refined with the oversight committee and pilot data, are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Dimension</w:t>
            </w:r>
          </w:p>
        </w:tc>
        <w:tc>
          <w:tcPr>
            <w:tcW w:type="dxa" w:w="6626"/>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Sample item</w:t>
            </w:r>
          </w:p>
        </w:tc>
      </w:tr>
      <w:tr>
        <w:tc>
          <w:tcPr>
            <w:tcW w:type="dxa" w:w="24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Clarity</w:t>
            </w:r>
          </w:p>
        </w:tc>
        <w:tc>
          <w:tcPr>
            <w:tcW w:type="dxa" w:w="66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“The instructor explains concepts in a way I can follow.”</w:t>
            </w:r>
          </w:p>
        </w:tc>
      </w:tr>
      <w:tr>
        <w:tc>
          <w:tcPr>
            <w:tcW w:type="dxa" w:w="24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Punctuality</w:t>
            </w:r>
          </w:p>
        </w:tc>
        <w:tc>
          <w:tcPr>
            <w:tcW w:type="dxa" w:w="66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“Classes start/end on schedule and the full allotted hours are conducted.”</w:t>
            </w:r>
          </w:p>
        </w:tc>
      </w:tr>
      <w:tr>
        <w:tc>
          <w:tcPr>
            <w:tcW w:type="dxa" w:w="24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Fairness</w:t>
            </w:r>
          </w:p>
        </w:tc>
        <w:tc>
          <w:tcPr>
            <w:tcW w:type="dxa" w:w="66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“Internal assessments and grading are applied consistently.”</w:t>
            </w:r>
          </w:p>
        </w:tc>
      </w:tr>
      <w:tr>
        <w:tc>
          <w:tcPr>
            <w:tcW w:type="dxa" w:w="24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Approachability</w:t>
            </w:r>
          </w:p>
        </w:tc>
        <w:tc>
          <w:tcPr>
            <w:tcW w:type="dxa" w:w="66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“The instructor is accessible for doubt-clearing outside class hours.”</w:t>
            </w:r>
          </w:p>
        </w:tc>
      </w:tr>
      <w:tr>
        <w:tc>
          <w:tcPr>
            <w:tcW w:type="dxa" w:w="24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Methodology</w:t>
            </w:r>
          </w:p>
        </w:tc>
        <w:tc>
          <w:tcPr>
            <w:tcW w:type="dxa" w:w="66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“The instructor uses examples, demonstrations, or teaching aids effectively.”</w:t>
            </w:r>
          </w:p>
        </w:tc>
      </w:tr>
      <w:tr>
        <w:tc>
          <w:tcPr>
            <w:tcW w:type="dxa" w:w="24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Pacing</w:t>
            </w:r>
          </w:p>
        </w:tc>
        <w:tc>
          <w:tcPr>
            <w:tcW w:type="dxa" w:w="66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“The syllabus is covered at an appropriate pace without rushing near the end.”</w:t>
            </w:r>
          </w:p>
        </w:tc>
      </w:tr>
    </w:tbl>
    <w:p>
      <w:pPr>
        <w:spacing w:after="160" w:before="160"/>
      </w:pPr>
      <w:r>
        <w:rPr>
          <w:rFonts w:ascii="Calibri" w:cs="Calibri" w:eastAsia="Calibri" w:hAnsi="Calibri"/>
          <w:color w:val="232323"/>
          <w:sz w:val="22"/>
          <w:szCs w:val="22"/>
        </w:rPr>
        <w:t xml:space="preserve">Dimension weights should be derived empirically from pilot data — for example, via factor analysis or an expert-elicited weighting such as the Analytic Hierarchy Process — not hard-coded as equal weights by default.</w:t>
      </w:r>
    </w:p>
    <w:p>
      <w:pPr>
        <w:pStyle w:val="Heading2"/>
      </w:pPr>
      <w:r>
        <w:t xml:space="preserve">6.2 Subjective (Sentiment) Score</w:t>
      </w:r>
    </w:p>
    <w:p>
      <w:pPr>
        <w:spacing w:after="160"/>
      </w:pPr>
      <w:r>
        <w:rPr>
          <w:rFonts w:ascii="Calibri" w:cs="Calibri" w:eastAsia="Calibri" w:hAnsi="Calibri"/>
          <w:color w:val="232323"/>
          <w:sz w:val="22"/>
          <w:szCs w:val="22"/>
        </w:rPr>
        <w:t xml:space="preserve">Free-text comments are processed through an aspect-based sentiment pipeline: each comment is classified by polarity (typically −1 to +1) and tagged to the dimension(s) it addresses, so a comment about fairness is not blended anonymously into an overall “vibe” score. Given Kerala's classrooms, the NLP pipeline needs to handle Malayalam, English, and Malayalam-English code-mixed text — a multilingual model should be evaluated against real, locally collected pilot comments before being locked in.</w:t>
      </w:r>
    </w:p>
    <w:p>
      <w:pPr>
        <w:pStyle w:val="Heading2"/>
      </w:pPr>
      <w:r>
        <w:t xml:space="preserve">6.3 Bias and “Revenge Rating” Correction</w:t>
      </w:r>
    </w:p>
    <w:p>
      <w:pPr>
        <w:spacing w:after="160"/>
      </w:pPr>
      <w:r>
        <w:rPr>
          <w:rFonts w:ascii="Calibri" w:cs="Calibri" w:eastAsia="Calibri" w:hAnsi="Calibri"/>
          <w:color w:val="232323"/>
          <w:sz w:val="22"/>
          <w:szCs w:val="22"/>
        </w:rPr>
        <w:t xml:space="preserve">This is the area where most rating systems fail, and it deserves the most rigor.</w:t>
      </w:r>
    </w:p>
    <w:p>
      <w:pPr>
        <w:pStyle w:val="ListParagraph"/>
        <w:numPr>
          <w:ilvl w:val="0"/>
          <w:numId w:val="3"/>
        </w:numPr>
        <w:spacing w:after="100"/>
      </w:pPr>
      <w:r>
        <w:rPr>
          <w:rFonts w:ascii="Calibri" w:cs="Calibri" w:eastAsia="Calibri" w:hAnsi="Calibri"/>
          <w:color w:val="232323"/>
          <w:sz w:val="22"/>
          <w:szCs w:val="22"/>
        </w:rPr>
        <w:t xml:space="preserve">Winsorizing: capping (not deleting) extreme values at the 5th/95th percentile within each dimension blunts the effect of a spite-driven rating burst without discarding genuine signal.</w:t>
      </w:r>
    </w:p>
    <w:p>
      <w:pPr>
        <w:pStyle w:val="ListParagraph"/>
        <w:numPr>
          <w:ilvl w:val="0"/>
          <w:numId w:val="3"/>
        </w:numPr>
        <w:spacing w:after="100"/>
      </w:pPr>
      <w:r>
        <w:rPr>
          <w:rFonts w:ascii="Calibri" w:cs="Calibri" w:eastAsia="Calibri" w:hAnsi="Calibri"/>
          <w:color w:val="232323"/>
          <w:sz w:val="22"/>
          <w:szCs w:val="22"/>
        </w:rPr>
        <w:t xml:space="preserve">Cohort-relative z-score normalization: comparing a faculty member's score against peers teaching structurally similar courses controls for the fact that inherently harder or compulsory courses systematically attract lower satisfaction regardless of teaching quality.</w:t>
      </w:r>
    </w:p>
    <w:p>
      <w:pPr>
        <w:pStyle w:val="ListParagraph"/>
        <w:numPr>
          <w:ilvl w:val="0"/>
          <w:numId w:val="3"/>
        </w:numPr>
        <w:spacing w:after="100"/>
      </w:pPr>
      <w:r>
        <w:rPr>
          <w:rFonts w:ascii="Calibri" w:cs="Calibri" w:eastAsia="Calibri" w:hAnsi="Calibri"/>
          <w:color w:val="232323"/>
          <w:sz w:val="22"/>
          <w:szCs w:val="22"/>
        </w:rPr>
        <w:t xml:space="preserve">Empirical Bayes shrinkage: for courses with few respondents, the raw score is shrunk toward the cohort mean (formula below).</w:t>
      </w:r>
    </w:p>
    <w:p>
      <w:pPr>
        <w:pBdr>
          <w:left w:val="single" w:color="1B3A39" w:sz="12" w:space="8"/>
        </w:pBdr>
        <w:spacing w:after="160" w:before="80"/>
        <w:ind w:left="360"/>
      </w:pPr>
      <w:r>
        <w:rPr>
          <w:rFonts w:ascii="Consolas" w:cs="Consolas" w:eastAsia="Consolas" w:hAnsi="Consolas"/>
          <w:color w:val="15302F"/>
          <w:sz w:val="21"/>
          <w:szCs w:val="21"/>
        </w:rPr>
        <w:t xml:space="preserve">Shrunk_Score = (n / (n + k)) × Faculty_Mean + (k / (n + k)) × Cohort_Mean</w:t>
      </w:r>
    </w:p>
    <w:p>
      <w:pPr>
        <w:spacing w:after="160"/>
      </w:pPr>
      <w:r>
        <w:rPr>
          <w:rFonts w:ascii="Calibri" w:cs="Calibri" w:eastAsia="Calibri" w:hAnsi="Calibri"/>
          <w:color w:val="232323"/>
          <w:sz w:val="22"/>
          <w:szCs w:val="22"/>
        </w:rPr>
        <w:t xml:space="preserve">Here, n is the response count and k is a governance-set “equivalent prior sample size” (a reasonable starting point is k ≈ 8, calibrated on pilot variance). This is the same logic used in any small-sample rating problem — a handful of votes, friendly or hostile, cannot swing the score far from a defensible baseline.</w:t>
      </w:r>
    </w:p>
    <w:p>
      <w:pPr>
        <w:pStyle w:val="ListParagraph"/>
        <w:numPr>
          <w:ilvl w:val="0"/>
          <w:numId w:val="3"/>
        </w:numPr>
        <w:spacing w:after="100"/>
      </w:pPr>
      <w:r>
        <w:rPr>
          <w:rFonts w:ascii="Calibri" w:cs="Calibri" w:eastAsia="Calibri" w:hAnsi="Calibri"/>
          <w:color w:val="232323"/>
          <w:sz w:val="22"/>
          <w:szCs w:val="22"/>
        </w:rPr>
        <w:t xml:space="preserve">Temporal-cluster flagging: if a disproportionate share of extreme-low ratings arrive within a short window of each other — for example, immediately after a grade release — the course is flagged for human review rather than having the data silently excluded.</w:t>
      </w:r>
    </w:p>
    <w:p>
      <w:pPr>
        <w:pStyle w:val="ListParagraph"/>
        <w:numPr>
          <w:ilvl w:val="0"/>
          <w:numId w:val="3"/>
        </w:numPr>
        <w:spacing w:after="100"/>
      </w:pPr>
      <w:r>
        <w:rPr>
          <w:rFonts w:ascii="Calibri" w:cs="Calibri" w:eastAsia="Calibri" w:hAnsi="Calibri"/>
          <w:color w:val="232323"/>
          <w:sz w:val="22"/>
          <w:szCs w:val="22"/>
        </w:rPr>
        <w:t xml:space="preserve">Non-constructive comment filtering: comments are classified as substantive-critique versus personal-attack/non-actionable; the count of the latter is reported separately and excluded from the sentiment score, while never being deleted outright.</w:t>
      </w:r>
    </w:p>
    <w:p>
      <w:pPr>
        <w:pStyle w:val="Heading2"/>
      </w:pPr>
      <w:r>
        <w:t xml:space="preserve">6.4 Composite Score and Confidence Reporting</w:t>
      </w:r>
    </w:p>
    <w:p>
      <w:pPr>
        <w:pBdr>
          <w:left w:val="single" w:color="1B3A39" w:sz="12" w:space="8"/>
        </w:pBdr>
        <w:spacing w:after="160" w:before="80"/>
        <w:ind w:left="360"/>
      </w:pPr>
      <w:r>
        <w:rPr>
          <w:rFonts w:ascii="Consolas" w:cs="Consolas" w:eastAsia="Consolas" w:hAnsi="Consolas"/>
          <w:color w:val="15302F"/>
          <w:sz w:val="21"/>
          <w:szCs w:val="21"/>
        </w:rPr>
        <w:t xml:space="preserve">Composite = α × Objective_Corrected + (1 − α) × Sentiment_Corrected</w:t>
      </w:r>
    </w:p>
    <w:p>
      <w:pPr>
        <w:spacing w:after="160"/>
      </w:pPr>
      <w:r>
        <w:rPr>
          <w:rFonts w:ascii="Calibri" w:cs="Calibri" w:eastAsia="Calibri" w:hAnsi="Calibri"/>
          <w:color w:val="232323"/>
          <w:sz w:val="22"/>
          <w:szCs w:val="22"/>
        </w:rPr>
        <w:t xml:space="preserve">α is a governance parameter, reviewed periodically by the oversight committee, not an engineering default buried in code. A reasonable starting point is α ≈ 0.7, weighting structured ratings somewhat higher than free-text sentiment, but this should be revisited against pilot outcomes.</w:t>
      </w:r>
    </w:p>
    <w:p>
      <w:pPr>
        <w:spacing w:after="160"/>
      </w:pPr>
      <w:r>
        <w:rPr>
          <w:rFonts w:ascii="Calibri" w:cs="Calibri" w:eastAsia="Calibri" w:hAnsi="Calibri"/>
          <w:color w:val="232323"/>
          <w:sz w:val="22"/>
          <w:szCs w:val="22"/>
        </w:rPr>
        <w:t xml:space="preserve">Rather than displaying a bare numeric score — which invites the ranking-culture dynamics that rating-aggregator sites are often criticized for — the system should display bands (“Strong,” “Developing,” “Needs Support”) derived from control limits around the cohort distribution, alongside a confidence indicator based on response count and variance.</w:t>
      </w:r>
    </w:p>
    <w:p>
      <w:pPr>
        <w:pStyle w:val="Heading1"/>
        <w:pageBreakBefore/>
      </w:pPr>
      <w:r>
        <w:t xml:space="preserve">7. AI/LLM Integration Pattern</w:t>
      </w:r>
    </w:p>
    <w:p>
      <w:pPr>
        <w:pStyle w:val="ListParagraph"/>
        <w:numPr>
          <w:ilvl w:val="0"/>
          <w:numId w:val="3"/>
        </w:numPr>
        <w:spacing w:after="100"/>
      </w:pPr>
      <w:r>
        <w:rPr>
          <w:rFonts w:ascii="Calibri" w:cs="Calibri" w:eastAsia="Calibri" w:hAnsi="Calibri"/>
          <w:color w:val="232323"/>
          <w:sz w:val="22"/>
          <w:szCs w:val="22"/>
        </w:rPr>
        <w:t xml:space="preserve">Every payload sent to an LLM — whether a hosted API or a self-hosted open model — contains only faculty_code, course_code, department_code, numeric ratings, and de-identified comment text. Never a name, roll number, or anything from the identity registry. This is enforced at the database role level, so it cannot be violated by an oversight in application code.</w:t>
      </w:r>
    </w:p>
    <w:p>
      <w:pPr>
        <w:pStyle w:val="ListParagraph"/>
        <w:numPr>
          <w:ilvl w:val="0"/>
          <w:numId w:val="3"/>
        </w:numPr>
        <w:spacing w:after="100"/>
      </w:pPr>
      <w:r>
        <w:rPr>
          <w:rFonts w:ascii="Calibri" w:cs="Calibri" w:eastAsia="Calibri" w:hAnsi="Calibri"/>
          <w:color w:val="232323"/>
          <w:sz w:val="22"/>
          <w:szCs w:val="22"/>
        </w:rPr>
        <w:t xml:space="preserve">Given data-sovereignty expectations for a government system, self-hosting an open-weight model for the sentiment and report-drafting steps — rather than routing every comment through a third-party API — should be evaluated. This trades some capability for full data control, which is a reasonable trade-off for a state-run education system.</w:t>
      </w:r>
    </w:p>
    <w:p>
      <w:pPr>
        <w:pStyle w:val="ListParagraph"/>
        <w:numPr>
          <w:ilvl w:val="0"/>
          <w:numId w:val="3"/>
        </w:numPr>
        <w:spacing w:after="100"/>
      </w:pPr>
      <w:r>
        <w:rPr>
          <w:rFonts w:ascii="Calibri" w:cs="Calibri" w:eastAsia="Calibri" w:hAnsi="Calibri"/>
          <w:color w:val="232323"/>
          <w:sz w:val="22"/>
          <w:szCs w:val="22"/>
        </w:rPr>
        <w:t xml:space="preserve">Human-in-the-loop review before publication: AI-drafted suggestions should be reviewed by an IQAC coordinator or academic mentor before a report is finalized, guarding against tone-deaf or hallucinated suggestions reaching a faculty member without context.</w:t>
      </w:r>
    </w:p>
    <w:p>
      <w:pPr>
        <w:pStyle w:val="ListParagraph"/>
        <w:numPr>
          <w:ilvl w:val="0"/>
          <w:numId w:val="3"/>
        </w:numPr>
        <w:spacing w:after="100"/>
      </w:pPr>
      <w:r>
        <w:rPr>
          <w:rFonts w:ascii="Calibri" w:cs="Calibri" w:eastAsia="Calibri" w:hAnsi="Calibri"/>
          <w:color w:val="232323"/>
          <w:sz w:val="22"/>
          <w:szCs w:val="22"/>
        </w:rPr>
        <w:t xml:space="preserve">NPTEL/SWAYAM matching: a periodically refreshed catalog of course metadata (title, domain, level) should be matched to a faculty member's weak dimensions and subject area using semantic similarity, surfaced as suggestions rather than mandates.</w:t>
      </w:r>
    </w:p>
    <w:p>
      <w:pPr>
        <w:pStyle w:val="Heading1"/>
        <w:pageBreakBefore/>
      </w:pPr>
      <w:r>
        <w:t xml:space="preserve">8. Statistical Insights and Analytics Layer</w:t>
      </w:r>
    </w:p>
    <w:p>
      <w:pPr>
        <w:pStyle w:val="ListParagraph"/>
        <w:numPr>
          <w:ilvl w:val="0"/>
          <w:numId w:val="3"/>
        </w:numPr>
        <w:spacing w:after="100"/>
      </w:pPr>
      <w:r>
        <w:rPr>
          <w:rFonts w:ascii="Calibri" w:cs="Calibri" w:eastAsia="Calibri" w:hAnsi="Calibri"/>
          <w:color w:val="232323"/>
          <w:sz w:val="22"/>
          <w:szCs w:val="22"/>
        </w:rPr>
        <w:t xml:space="preserve">Longitudinal tracking of each faculty member's dimension scores across terms — the system's real value is in trend, not a single snapshot.</w:t>
      </w:r>
    </w:p>
    <w:p>
      <w:pPr>
        <w:pStyle w:val="ListParagraph"/>
        <w:numPr>
          <w:ilvl w:val="0"/>
          <w:numId w:val="3"/>
        </w:numPr>
        <w:spacing w:after="100"/>
      </w:pPr>
      <w:r>
        <w:rPr>
          <w:rFonts w:ascii="Calibri" w:cs="Calibri" w:eastAsia="Calibri" w:hAnsi="Calibri"/>
          <w:color w:val="232323"/>
          <w:sz w:val="22"/>
          <w:szCs w:val="22"/>
        </w:rPr>
        <w:t xml:space="preserve">Banding instead of ranking: control-chart-style limits, based on cohort mean plus or minus a multiple of robust standard deviation, should classify faculty into bands rather than publishing ordinal leaderboards, which invite gaming and morale damage without commensurate benefit.</w:t>
      </w:r>
    </w:p>
    <w:p>
      <w:pPr>
        <w:pStyle w:val="ListParagraph"/>
        <w:numPr>
          <w:ilvl w:val="0"/>
          <w:numId w:val="3"/>
        </w:numPr>
        <w:spacing w:after="100"/>
      </w:pPr>
      <w:r>
        <w:rPr>
          <w:rFonts w:ascii="Calibri" w:cs="Calibri" w:eastAsia="Calibri" w:hAnsi="Calibri"/>
          <w:color w:val="232323"/>
          <w:sz w:val="22"/>
          <w:szCs w:val="22"/>
        </w:rPr>
        <w:t xml:space="preserve">Clustering, for example k-means over dimension-score vectors, to identify common patterns across faculty — such as a cluster strong on content but weak on engagement — to target FDP topics efficiently.</w:t>
      </w:r>
    </w:p>
    <w:p>
      <w:pPr>
        <w:pStyle w:val="ListParagraph"/>
        <w:numPr>
          <w:ilvl w:val="0"/>
          <w:numId w:val="3"/>
        </w:numPr>
        <w:spacing w:after="100"/>
      </w:pPr>
      <w:r>
        <w:rPr>
          <w:rFonts w:ascii="Calibri" w:cs="Calibri" w:eastAsia="Calibri" w:hAnsi="Calibri"/>
          <w:color w:val="232323"/>
          <w:sz w:val="22"/>
          <w:szCs w:val="22"/>
        </w:rPr>
        <w:t xml:space="preserve">Dimension-outcome regression to identify which dimensions most predict negative sentiment overall, prioritizing where institutional training investment will have the most impact.</w:t>
      </w:r>
    </w:p>
    <w:p>
      <w:pPr>
        <w:pStyle w:val="ListParagraph"/>
        <w:numPr>
          <w:ilvl w:val="0"/>
          <w:numId w:val="3"/>
        </w:numPr>
        <w:spacing w:after="100"/>
      </w:pPr>
      <w:r>
        <w:rPr>
          <w:rFonts w:ascii="Calibri" w:cs="Calibri" w:eastAsia="Calibri" w:hAnsi="Calibri"/>
          <w:color w:val="232323"/>
          <w:sz w:val="22"/>
          <w:szCs w:val="22"/>
        </w:rPr>
        <w:t xml:space="preserve">Outcome-loop tracking: correlating FDP/certification completion with subsequent score movement is the evidence base that makes “corrective, not punitive” credible over time, to faculty and policymakers alike.</w:t>
      </w:r>
    </w:p>
    <w:p>
      <w:pPr>
        <w:pStyle w:val="ListParagraph"/>
        <w:numPr>
          <w:ilvl w:val="0"/>
          <w:numId w:val="3"/>
        </w:numPr>
        <w:spacing w:after="100"/>
      </w:pPr>
      <w:r>
        <w:rPr>
          <w:rFonts w:ascii="Calibri" w:cs="Calibri" w:eastAsia="Calibri" w:hAnsi="Calibri"/>
          <w:color w:val="232323"/>
          <w:sz w:val="22"/>
          <w:szCs w:val="22"/>
        </w:rPr>
        <w:t xml:space="preserve">System health metrics for administrators: participation rate by college/department (a low rate undermines validity and should itself be a tracked KPI), anomaly counts, and report-generation latency.</w:t>
      </w:r>
    </w:p>
    <w:p>
      <w:pPr>
        <w:pStyle w:val="Heading1"/>
        <w:pageBreakBefore/>
      </w:pPr>
      <w:r>
        <w:t xml:space="preserve">9. Report Content by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63"/>
        <w:gridCol w:w="2663"/>
      </w:tblGrid>
      <w:tr>
        <w:trPr>
          <w:tblHeader/>
        </w:trPr>
        <w:tc>
          <w:tcPr>
            <w:tcW w:type="dxa" w:w="1700"/>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Audience</w:t>
            </w:r>
          </w:p>
        </w:tc>
        <w:tc>
          <w:tcPr>
            <w:tcW w:type="dxa" w:w="4663"/>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Content</w:t>
            </w:r>
          </w:p>
        </w:tc>
        <w:tc>
          <w:tcPr>
            <w:tcW w:type="dxa" w:w="2663"/>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Excluded</w:t>
            </w:r>
          </w:p>
        </w:tc>
      </w:tr>
      <w:tr>
        <w:tc>
          <w:tcPr>
            <w:tcW w:type="dxa" w:w="1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Faculty (self)</w:t>
            </w:r>
          </w:p>
        </w:tc>
        <w:tc>
          <w:tcPr>
            <w:tcW w:type="dxa" w:w="4663"/>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Score band + trend, dimension breakdown, comment themes (clustered/paraphrased if n is small), specific methodology suggestions, NPTEL/SWAYAM matches, confidence indicator</w:t>
            </w:r>
          </w:p>
        </w:tc>
        <w:tc>
          <w:tcPr>
            <w:tcW w:type="dxa" w:w="2663"/>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Comparison to named peers</w:t>
            </w:r>
          </w:p>
        </w:tc>
      </w:tr>
      <w:tr>
        <w:tc>
          <w:tcPr>
            <w:tcW w:type="dxa" w:w="1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HoD / Principal</w:t>
            </w:r>
          </w:p>
        </w:tc>
        <w:tc>
          <w:tcPr>
            <w:tcW w:type="dxa" w:w="4663"/>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Department roster with bands, cohort comparisons, participation rates, anomaly/review flags</w:t>
            </w:r>
          </w:p>
        </w:tc>
        <w:tc>
          <w:tcPr>
            <w:tcW w:type="dxa" w:w="2663"/>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Raw comments, raw response-level data</w:t>
            </w:r>
          </w:p>
        </w:tc>
      </w:tr>
      <w:tr>
        <w:tc>
          <w:tcPr>
            <w:tcW w:type="dxa" w:w="1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University / State</w:t>
            </w:r>
          </w:p>
        </w:tc>
        <w:tc>
          <w:tcPr>
            <w:tcW w:type="dxa" w:w="4663"/>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Aggregated trends across institutions, FDP-uptake/outcome correlation, system health KPIs</w:t>
            </w:r>
          </w:p>
        </w:tc>
        <w:tc>
          <w:tcPr>
            <w:tcW w:type="dxa" w:w="2663"/>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Any individually identifiable faculty drill-down outside an authorized, audited escalation process</w:t>
            </w:r>
          </w:p>
        </w:tc>
      </w:tr>
    </w:tbl>
    <w:p>
      <w:pPr>
        <w:pStyle w:val="Heading1"/>
        <w:pageBreakBefore/>
      </w:pPr>
      <w:r>
        <w:t xml:space="preserve">10. Recommended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Layer</w:t>
            </w:r>
          </w:p>
        </w:tc>
        <w:tc>
          <w:tcPr>
            <w:tcW w:type="dxa" w:w="3700"/>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Suggestion</w:t>
            </w:r>
          </w:p>
        </w:tc>
        <w:tc>
          <w:tcPr>
            <w:tcW w:type="dxa" w:w="3826"/>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Rationale</w:t>
            </w:r>
          </w:p>
        </w:tc>
      </w:tr>
      <w:tr>
        <w:tc>
          <w:tcPr>
            <w:tcW w:type="dxa" w:w="1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Frontend</w:t>
            </w:r>
          </w:p>
        </w:tc>
        <w:tc>
          <w:tcPr>
            <w:tcW w:type="dxa" w:w="3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React/Next.js PWA, Malayalam + English i18n, WCAG-accessible</w:t>
            </w:r>
          </w:p>
        </w:tc>
        <w:tc>
          <w:tcPr>
            <w:tcW w:type="dxa" w:w="38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Mobile-first usage pattern expected among students</w:t>
            </w:r>
          </w:p>
        </w:tc>
      </w:tr>
      <w:tr>
        <w:tc>
          <w:tcPr>
            <w:tcW w:type="dxa" w:w="1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Backend</w:t>
            </w:r>
          </w:p>
        </w:tc>
        <w:tc>
          <w:tcPr>
            <w:tcW w:type="dxa" w:w="3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Modular monolith to start (Python/FastAPI or Node/NestJS)</w:t>
            </w:r>
          </w:p>
        </w:tc>
        <w:tc>
          <w:tcPr>
            <w:tcW w:type="dxa" w:w="38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Easier to audit and secure than a sprawling microservice mesh at government scale; split later if load demands it</w:t>
            </w:r>
          </w:p>
        </w:tc>
      </w:tr>
      <w:tr>
        <w:tc>
          <w:tcPr>
            <w:tcW w:type="dxa" w:w="1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Primary database</w:t>
            </w:r>
          </w:p>
        </w:tc>
        <w:tc>
          <w:tcPr>
            <w:tcW w:type="dxa" w:w="3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PostgreSQL, with registry and feedback schemas logically separated</w:t>
            </w:r>
          </w:p>
        </w:tc>
        <w:tc>
          <w:tcPr>
            <w:tcW w:type="dxa" w:w="38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Native row/column-level GRANT support makes the anonymization boundary enforceable, not just documented</w:t>
            </w:r>
          </w:p>
        </w:tc>
      </w:tr>
      <w:tr>
        <w:tc>
          <w:tcPr>
            <w:tcW w:type="dxa" w:w="1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Queue/async</w:t>
            </w:r>
          </w:p>
        </w:tc>
        <w:tc>
          <w:tcPr>
            <w:tcW w:type="dxa" w:w="3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RabbitMQ or a lightweight task queue for the sentiment pipeline</w:t>
            </w:r>
          </w:p>
        </w:tc>
        <w:tc>
          <w:tcPr>
            <w:tcW w:type="dxa" w:w="38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Decouples submission latency from NLP processing time</w:t>
            </w:r>
          </w:p>
        </w:tc>
      </w:tr>
      <w:tr>
        <w:tc>
          <w:tcPr>
            <w:tcW w:type="dxa" w:w="1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NLP/LLM</w:t>
            </w:r>
          </w:p>
        </w:tc>
        <w:tc>
          <w:tcPr>
            <w:tcW w:type="dxa" w:w="3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Multilingual model evaluated on real Malayalam/English/code-mixed pilot comments; self-hosted option assessed</w:t>
            </w:r>
          </w:p>
        </w:tc>
        <w:tc>
          <w:tcPr>
            <w:tcW w:type="dxa" w:w="38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Generic English-only sentiment models will under-perform on Kerala's actual comment text</w:t>
            </w:r>
          </w:p>
        </w:tc>
      </w:tr>
      <w:tr>
        <w:tc>
          <w:tcPr>
            <w:tcW w:type="dxa" w:w="1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Hosting</w:t>
            </w:r>
          </w:p>
        </w:tc>
        <w:tc>
          <w:tcPr>
            <w:tcW w:type="dxa" w:w="3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State data centre / NIC “MeghRaj” GI Cloud or equivalent in-country government infrastructure</w:t>
            </w:r>
          </w:p>
        </w:tc>
        <w:tc>
          <w:tcPr>
            <w:tcW w:type="dxa" w:w="38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Data sovereignty and public trust for a state-run education system</w:t>
            </w:r>
          </w:p>
        </w:tc>
      </w:tr>
      <w:tr>
        <w:tc>
          <w:tcPr>
            <w:tcW w:type="dxa" w:w="1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Security audit</w:t>
            </w:r>
          </w:p>
        </w:tc>
        <w:tc>
          <w:tcPr>
            <w:tcW w:type="dxa" w:w="37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CERT-In empanelled auditor (or equivalent) before public launch</w:t>
            </w:r>
          </w:p>
        </w:tc>
        <w:tc>
          <w:tcPr>
            <w:tcW w:type="dxa" w:w="38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Standard requirement for Indian government-facing portals handling personal data</w:t>
            </w:r>
          </w:p>
        </w:tc>
      </w:tr>
    </w:tbl>
    <w:p>
      <w:pPr>
        <w:pStyle w:val="Heading1"/>
        <w:pageBreakBefore/>
      </w:pPr>
      <w:r>
        <w:t xml:space="preserve">11. Rollout Plan</w:t>
      </w:r>
    </w:p>
    <w:p>
      <w:pPr>
        <w:pStyle w:val="ListParagraph"/>
        <w:numPr>
          <w:ilvl w:val="0"/>
          <w:numId w:val="5"/>
        </w:numPr>
        <w:spacing w:after="100"/>
      </w:pPr>
      <w:r>
        <w:rPr>
          <w:rFonts w:ascii="Calibri" w:cs="Calibri" w:eastAsia="Calibri" w:hAnsi="Calibri"/>
          <w:color w:val="232323"/>
          <w:sz w:val="22"/>
          <w:szCs w:val="22"/>
        </w:rPr>
        <w:t xml:space="preserve">Phase 0 — Stakeholder co-design: oversight committee formed with faculty-association, student-union, and IQAC representation; question instrument and scoring weights drafted with them, not announced to them.</w:t>
      </w:r>
    </w:p>
    <w:p>
      <w:pPr>
        <w:pStyle w:val="ListParagraph"/>
        <w:numPr>
          <w:ilvl w:val="0"/>
          <w:numId w:val="5"/>
        </w:numPr>
        <w:spacing w:after="100"/>
      </w:pPr>
      <w:r>
        <w:rPr>
          <w:rFonts w:ascii="Calibri" w:cs="Calibri" w:eastAsia="Calibri" w:hAnsi="Calibri"/>
          <w:color w:val="232323"/>
          <w:sz w:val="22"/>
          <w:szCs w:val="22"/>
        </w:rPr>
        <w:t xml:space="preserve">Phase 1 — Pilot: a small set of willing colleges/courses, with real data used to calibrate α, the shrinkage prior k, and the k-anonymity threshold; the NLP model evaluated against actual pilot comments.</w:t>
      </w:r>
    </w:p>
    <w:p>
      <w:pPr>
        <w:pStyle w:val="ListParagraph"/>
        <w:numPr>
          <w:ilvl w:val="0"/>
          <w:numId w:val="5"/>
        </w:numPr>
        <w:spacing w:after="100"/>
      </w:pPr>
      <w:r>
        <w:rPr>
          <w:rFonts w:ascii="Calibri" w:cs="Calibri" w:eastAsia="Calibri" w:hAnsi="Calibri"/>
          <w:color w:val="232323"/>
          <w:sz w:val="22"/>
          <w:szCs w:val="22"/>
        </w:rPr>
        <w:t xml:space="preserve">Phase 2 — Single-university rollout, with full integration with that university's NAAC SSS requirement; outcome-loop tracking (FDP → score movement) begins generating the evidence base for the non-punitive framing.</w:t>
      </w:r>
    </w:p>
    <w:p>
      <w:pPr>
        <w:pStyle w:val="ListParagraph"/>
        <w:numPr>
          <w:ilvl w:val="0"/>
          <w:numId w:val="5"/>
        </w:numPr>
        <w:spacing w:after="100"/>
      </w:pPr>
      <w:r>
        <w:rPr>
          <w:rFonts w:ascii="Calibri" w:cs="Calibri" w:eastAsia="Calibri" w:hAnsi="Calibri"/>
          <w:color w:val="232323"/>
          <w:sz w:val="22"/>
          <w:szCs w:val="22"/>
        </w:rPr>
        <w:t xml:space="preserve">Phase 3 — State-wide government/aided rollout, with the Government Order on non-punitive use formally in place before this phase, not after.</w:t>
      </w:r>
    </w:p>
    <w:p>
      <w:pPr>
        <w:pStyle w:val="ListParagraph"/>
        <w:numPr>
          <w:ilvl w:val="0"/>
          <w:numId w:val="5"/>
        </w:numPr>
        <w:spacing w:after="100"/>
      </w:pPr>
      <w:r>
        <w:rPr>
          <w:rFonts w:ascii="Calibri" w:cs="Calibri" w:eastAsia="Calibri" w:hAnsi="Calibri"/>
          <w:color w:val="232323"/>
          <w:sz w:val="22"/>
          <w:szCs w:val="22"/>
        </w:rPr>
        <w:t xml:space="preserve">Phase 4 (optional, separate track) — A private/self-financing licensing model, spun out as a distinct commercial/legal entity if pursued, kept architecturally possible via multi-tenancy from day one but politically and legally separate from the government deployment.</w:t>
      </w:r>
    </w:p>
    <w:p>
      <w:pPr>
        <w:pStyle w:val="Heading1"/>
        <w:pageBreakBefore/>
      </w:pPr>
      <w:r>
        <w:t xml:space="preserve">12.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Risk</w:t>
            </w:r>
          </w:p>
        </w:tc>
        <w:tc>
          <w:tcPr>
            <w:tcW w:type="dxa" w:w="5526"/>
            <w:tcBorders>
              <w:top w:val="single" w:color="D4D9D2" w:sz="2"/>
              <w:left w:val="single" w:color="D4D9D2" w:sz="2"/>
              <w:bottom w:val="single" w:color="D4D9D2" w:sz="2"/>
              <w:right w:val="single" w:color="D4D9D2" w:sz="2"/>
            </w:tcBorders>
            <w:shd w:fill="DCE8E3" w:val="clear"/>
            <w:tcMar>
              <w:top w:type="dxa" w:w="80"/>
              <w:left w:type="dxa" w:w="120"/>
              <w:bottom w:type="dxa" w:w="80"/>
              <w:right w:type="dxa" w:w="120"/>
            </w:tcMar>
          </w:tcPr>
          <w:p>
            <w:pPr>
              <w:spacing w:after="0"/>
            </w:pPr>
            <w:r>
              <w:rPr>
                <w:rFonts w:ascii="Calibri" w:cs="Calibri" w:eastAsia="Calibri" w:hAnsi="Calibri"/>
                <w:b/>
                <w:bCs/>
                <w:color w:val="232323"/>
                <w:sz w:val="20"/>
                <w:szCs w:val="20"/>
              </w:rPr>
              <w:t xml:space="preserve">Mitigation</w:t>
            </w:r>
          </w:p>
        </w:tc>
      </w:tr>
      <w:tr>
        <w:tc>
          <w:tcPr>
            <w:tcW w:type="dxa" w:w="3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Faculty distrust / perceived surveillance</w:t>
            </w:r>
          </w:p>
        </w:tc>
        <w:tc>
          <w:tcPr>
            <w:tcW w:type="dxa" w:w="55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Co-design, transparent non-punitive policy, FDP-routing instead of scores-only output</w:t>
            </w:r>
          </w:p>
        </w:tc>
      </w:tr>
      <w:tr>
        <w:tc>
          <w:tcPr>
            <w:tcW w:type="dxa" w:w="3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Student collusion to inflate/deflate scores</w:t>
            </w:r>
          </w:p>
        </w:tc>
        <w:tc>
          <w:tcPr>
            <w:tcW w:type="dxa" w:w="55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k-anonymity gate, temporal-cluster flagging, one-token-per-student-per-course enforcement</w:t>
            </w:r>
          </w:p>
        </w:tc>
      </w:tr>
      <w:tr>
        <w:tc>
          <w:tcPr>
            <w:tcW w:type="dxa" w:w="3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Re-identification via distinctive comments</w:t>
            </w:r>
          </w:p>
        </w:tc>
        <w:tc>
          <w:tcPr>
            <w:tcW w:type="dxa" w:w="55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Comment clustering/paraphrasing in small-n reports, k-anonymity threshold</w:t>
            </w:r>
          </w:p>
        </w:tc>
      </w:tr>
      <w:tr>
        <w:tc>
          <w:tcPr>
            <w:tcW w:type="dxa" w:w="3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AI hallucination in suggestions</w:t>
            </w:r>
          </w:p>
        </w:tc>
        <w:tc>
          <w:tcPr>
            <w:tcW w:type="dxa" w:w="55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Human-in-the-loop review (IQAC coordinator) before report finalization</w:t>
            </w:r>
          </w:p>
        </w:tc>
      </w:tr>
      <w:tr>
        <w:tc>
          <w:tcPr>
            <w:tcW w:type="dxa" w:w="3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Future misuse for disciplinary action</w:t>
            </w:r>
          </w:p>
        </w:tc>
        <w:tc>
          <w:tcPr>
            <w:tcW w:type="dxa" w:w="55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Government Order explicitly limiting use, independent due-process requirement</w:t>
            </w:r>
          </w:p>
        </w:tc>
      </w:tr>
      <w:tr>
        <w:tc>
          <w:tcPr>
            <w:tcW w:type="dxa" w:w="3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Low participation undermining statistical validity</w:t>
            </w:r>
          </w:p>
        </w:tc>
        <w:tc>
          <w:tcPr>
            <w:tcW w:type="dxa" w:w="55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Track participation as a system-health KPI; integrate submission into an existing mandatory academic workflow</w:t>
            </w:r>
          </w:p>
        </w:tc>
      </w:tr>
      <w:tr>
        <w:tc>
          <w:tcPr>
            <w:tcW w:type="dxa" w:w="3500"/>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Security breach of identity-mapping data</w:t>
            </w:r>
          </w:p>
        </w:tc>
        <w:tc>
          <w:tcPr>
            <w:tcW w:type="dxa" w:w="5526"/>
            <w:tcBorders>
              <w:top w:val="single" w:color="D4D9D2" w:sz="2"/>
              <w:left w:val="single" w:color="D4D9D2" w:sz="2"/>
              <w:bottom w:val="single" w:color="D4D9D2" w:sz="2"/>
              <w:right w:val="single" w:color="D4D9D2" w:sz="2"/>
            </w:tcBorders>
            <w:tcMar>
              <w:top w:type="dxa" w:w="70"/>
              <w:left w:type="dxa" w:w="120"/>
              <w:bottom w:type="dxa" w:w="70"/>
              <w:right w:type="dxa" w:w="120"/>
            </w:tcMar>
          </w:tcPr>
          <w:p>
            <w:pPr>
              <w:spacing w:after="0"/>
            </w:pPr>
            <w:r>
              <w:rPr>
                <w:rFonts w:ascii="Calibri" w:cs="Calibri" w:eastAsia="Calibri" w:hAnsi="Calibri"/>
                <w:b w:val="false"/>
                <w:bCs w:val="false"/>
                <w:color w:val="232323"/>
                <w:sz w:val="20"/>
                <w:szCs w:val="20"/>
              </w:rPr>
              <w:t xml:space="preserve">Schema/role separation, encryption at rest, CERT-In-grade audit before launch</w:t>
            </w:r>
          </w:p>
        </w:tc>
      </w:tr>
    </w:tbl>
    <w:p>
      <w:pPr>
        <w:pStyle w:val="Heading1"/>
        <w:pageBreakBefore/>
      </w:pPr>
      <w:r>
        <w:t xml:space="preserve">13. Reference Implementation Files</w:t>
      </w:r>
    </w:p>
    <w:p>
      <w:pPr>
        <w:spacing w:after="160"/>
      </w:pPr>
      <w:r>
        <w:rPr>
          <w:rFonts w:ascii="Calibri" w:cs="Calibri" w:eastAsia="Calibri" w:hAnsi="Calibri"/>
          <w:color w:val="232323"/>
          <w:sz w:val="22"/>
          <w:szCs w:val="22"/>
        </w:rPr>
        <w:t xml:space="preserve">The following accompanying files demonstrate the concepts above concretely, and are provided alongside this document:</w:t>
      </w:r>
    </w:p>
    <w:p>
      <w:pPr>
        <w:pStyle w:val="ListParagraph"/>
        <w:numPr>
          <w:ilvl w:val="0"/>
          <w:numId w:val="3"/>
        </w:numPr>
        <w:spacing w:after="100"/>
      </w:pPr>
      <w:r>
        <w:rPr>
          <w:rFonts w:ascii="Calibri" w:cs="Calibri" w:eastAsia="Calibri" w:hAnsi="Calibri"/>
          <w:color w:val="232323"/>
          <w:sz w:val="22"/>
          <w:szCs w:val="22"/>
        </w:rPr>
        <w:t xml:space="preserve">system_architecture.mermaid — the full interactive component diagram referenced in Section 3.</w:t>
      </w:r>
    </w:p>
    <w:p>
      <w:pPr>
        <w:pStyle w:val="ListParagraph"/>
        <w:numPr>
          <w:ilvl w:val="0"/>
          <w:numId w:val="3"/>
        </w:numPr>
        <w:spacing w:after="100"/>
      </w:pPr>
      <w:r>
        <w:rPr>
          <w:rFonts w:ascii="Calibri" w:cs="Calibri" w:eastAsia="Calibri" w:hAnsi="Calibri"/>
          <w:color w:val="232323"/>
          <w:sz w:val="22"/>
          <w:szCs w:val="22"/>
        </w:rPr>
        <w:t xml:space="preserve">scoring_engine.py — a runnable Python reference implementation of Winsorizing, cohort z-scores, Empirical Bayes shrinkage, temporal-cluster flagging, and the composite score (Section 6).</w:t>
      </w:r>
    </w:p>
    <w:p>
      <w:pPr>
        <w:pStyle w:val="ListParagraph"/>
        <w:numPr>
          <w:ilvl w:val="0"/>
          <w:numId w:val="3"/>
        </w:numPr>
        <w:spacing w:after="100"/>
      </w:pPr>
      <w:r>
        <w:rPr>
          <w:rFonts w:ascii="Calibri" w:cs="Calibri" w:eastAsia="Calibri" w:hAnsi="Calibri"/>
          <w:color w:val="232323"/>
          <w:sz w:val="22"/>
          <w:szCs w:val="22"/>
        </w:rPr>
        <w:t xml:space="preserve">database_schema.sql — PostgreSQL DDL demonstrating the registry vs. feedback schema separation and role-based grants that make “AI sees codes only” an enforced property of the database, not a promise in documentation (Sections 4 and 7).</w:t>
      </w:r>
    </w:p>
    <w:p>
      <w:pPr>
        <w:pStyle w:val="ListParagraph"/>
        <w:numPr>
          <w:ilvl w:val="0"/>
          <w:numId w:val="3"/>
        </w:numPr>
        <w:spacing w:after="100"/>
      </w:pPr>
      <w:r>
        <w:rPr>
          <w:rFonts w:ascii="Calibri" w:cs="Calibri" w:eastAsia="Calibri" w:hAnsi="Calibri"/>
          <w:color w:val="232323"/>
          <w:sz w:val="22"/>
          <w:szCs w:val="22"/>
        </w:rPr>
        <w:t xml:space="preserve">faculty_feedback_dashboards.html — an interactive mockup of the Faculty, HoD/Principal, and State Authority dashboard views described in Section 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60"/>
        <w:sz w:val="16"/>
        <w:szCs w:val="16"/>
      </w:rPr>
      <w:t xml:space="preserve">Page </w:t>
    </w:r>
    <w:r>
      <w:rPr>
        <w:rFonts w:ascii="Calibri" w:cs="Calibri" w:eastAsia="Calibri" w:hAnsi="Calibri"/>
        <w:color w:val="5B6460"/>
        <w:sz w:val="16"/>
        <w:szCs w:val="16"/>
      </w:rPr>
      <w:fldChar w:fldCharType="begin"/>
      <w:instrText xml:space="preserve">PAGE</w:instrText>
      <w:fldChar w:fldCharType="separate"/>
      <w:fldChar w:fldCharType="end"/>
    </w:r>
    <w:r>
      <w:rPr>
        <w:rFonts w:ascii="Calibri" w:cs="Calibri" w:eastAsia="Calibri" w:hAnsi="Calibri"/>
        <w:color w:val="5B6460"/>
        <w:sz w:val="16"/>
        <w:szCs w:val="16"/>
      </w:rPr>
      <w:t xml:space="preserve"> of </w:t>
    </w:r>
    <w:r>
      <w:rPr>
        <w:rFonts w:ascii="Calibri" w:cs="Calibri" w:eastAsia="Calibri" w:hAnsi="Calibri"/>
        <w:color w:val="5B64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9D2" w:sz="4" w:space="4"/>
      </w:pBdr>
      <w:tabs>
        <w:tab w:val="right" w:pos="9026"/>
      </w:tabs>
    </w:pPr>
    <w:r>
      <w:rPr>
        <w:rFonts w:ascii="Calibri" w:cs="Calibri" w:eastAsia="Calibri" w:hAnsi="Calibri"/>
        <w:color w:val="5B6460"/>
        <w:sz w:val="16"/>
        <w:szCs w:val="16"/>
      </w:rPr>
      <w:t xml:space="preserve">Kerala Faculty Feedback &amp; Improvement System</w:t>
    </w:r>
    <w:r>
      <w:rPr>
        <w:rFonts w:ascii="Calibri" w:cs="Calibri" w:eastAsia="Calibri" w:hAnsi="Calibri"/>
        <w:color w:val="5B6460"/>
        <w:sz w:val="16"/>
        <w:szCs w:val="16"/>
      </w:rPr>
      <w:t xml:space="preserve">	Architecture Blueprint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8E3" w:sz="6" w:space="4"/>
      </w:pBdr>
      <w:spacing w:after="220" w:before="120"/>
      <w:outlineLvl w:val="0"/>
    </w:pPr>
    <w:rPr>
      <w:rFonts w:ascii="Calibri" w:cs="Calibri" w:eastAsia="Calibri" w:hAnsi="Calibri"/>
      <w:b/>
      <w:bCs/>
      <w:color w:val="1B3A39"/>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15302F"/>
      <w:sz w:val="25"/>
      <w:szCs w:val="25"/>
    </w:rPr>
  </w:style>
  <w:style w:type="paragraph" w:styleId="Heading3">
    <w:name w:val="Heading 3"/>
    <w:basedOn w:val="Normal"/>
    <w:next w:val="Normal"/>
    <w:qFormat/>
    <w:pPr>
      <w:spacing w:after="100" w:before="180"/>
      <w:outlineLvl w:val="2"/>
    </w:pPr>
    <w:rPr>
      <w:rFonts w:ascii="Calibri" w:cs="Calibri" w:eastAsia="Calibri" w:hAnsi="Calibri"/>
      <w:b/>
      <w:bCs/>
      <w:color w:val="2323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869048a56fdb656d6cfc9520b673a02994e6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Kerala Faculty Feedback &amp; Improvement System — Architecture Blueprint</dc:title>
  <dc:creator>Claude</dc:creator>
  <cp:lastModifiedBy>Un-named</cp:lastModifiedBy>
  <cp:revision>1</cp:revision>
  <dcterms:created xsi:type="dcterms:W3CDTF">2026-06-20T09:34:18.700Z</dcterms:created>
  <dcterms:modified xsi:type="dcterms:W3CDTF">2026-06-20T09:34:18.701Z</dcterms:modified>
</cp:coreProperties>
</file>

<file path=docProps/custom.xml><?xml version="1.0" encoding="utf-8"?>
<Properties xmlns="http://schemas.openxmlformats.org/officeDocument/2006/custom-properties" xmlns:vt="http://schemas.openxmlformats.org/officeDocument/2006/docPropsVTypes"/>
</file>