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0E5E52"/>
          <w:sz w:val="40"/>
          <w:szCs w:val="40"/>
        </w:rPr>
        <w:t xml:space="preserve">Executive Summary</w:t>
      </w:r>
    </w:p>
    <w:p>
      <w:pPr>
        <w:spacing w:after="130"/>
      </w:pPr>
      <w:r>
        <w:rPr>
          <w:b/>
          <w:bCs/>
          <w:color w:val="14181F"/>
          <w:sz w:val="30"/>
          <w:szCs w:val="30"/>
        </w:rPr>
        <w:t xml:space="preserve">Accessible Academic</w:t>
      </w:r>
    </w:p>
    <w:p>
      <w:pPr>
        <w:spacing w:after="160" w:line="300"/>
      </w:pPr>
      <w:r>
        <w:rPr>
          <w:i/>
          <w:iCs/>
          <w:color w:val="56606E"/>
          <w:sz w:val="22"/>
          <w:szCs w:val="22"/>
        </w:rPr>
        <w:t xml:space="preserve">Turning lecture recordings into accessible, verified study material — and delivering it back into the systems universities already use.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rPr>
          <w:cantSplit/>
          <w:tblHeader/>
        </w:trPr>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Team</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Academic Mentor</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Project No.</w:t>
            </w:r>
          </w:p>
        </w:tc>
        <w:tc>
          <w:tcPr>
            <w:tcW w:type="dxa" w:w="2250"/>
            <w:shd w:fill="E6F1ED" w:color="auto" w:val="clear"/>
            <w:tcMar>
              <w:top w:type="dxa" w:w="90"/>
              <w:left w:type="dxa" w:w="130"/>
              <w:bottom w:type="dxa" w:w="90"/>
              <w:right w:type="dxa" w:w="130"/>
            </w:tcMar>
          </w:tcPr>
          <w:p>
            <w:pPr>
              <w:spacing w:after="0" w:line="264"/>
            </w:pPr>
            <w:r>
              <w:rPr>
                <w:b/>
                <w:bCs/>
                <w:color w:val="0E5E52"/>
                <w:sz w:val="20"/>
                <w:szCs w:val="20"/>
              </w:rPr>
              <w:t xml:space="preserve">Date</w:t>
            </w:r>
          </w:p>
        </w:tc>
      </w:tr>
      <w:tr>
        <w:trPr>
          <w:cantSplit/>
          <w:tblHeader w:val="false"/>
        </w:trPr>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Adi Tapiro · Matan Gurfinkel</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Dror Margalit</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15002930</w:t>
            </w:r>
          </w:p>
        </w:tc>
        <w:tc>
          <w:tcPr>
            <w:tcW w:type="dxa" w:w="22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September 2026</w:t>
            </w:r>
          </w:p>
        </w:tc>
      </w:tr>
    </w:tbl>
    <w:p>
      <w:pPr>
        <w:spacing w:after="70"/>
      </w:pPr>
      <w:r>
        <w:t xml:space="preserve"/>
      </w:r>
    </w:p>
    <w:p>
      <w:pPr>
        <w:spacing w:after="0" w:line="300"/>
      </w:pPr>
      <w:r>
        <w:rPr>
          <w:color w:val="56606E"/>
          <w:sz w:val="20"/>
          <w:szCs w:val="20"/>
        </w:rPr>
        <w:t xml:space="preserve">The Academic College of Tel Aviv–Yaffo · School of Computer Science · </w:t>
      </w:r>
      <w:r>
        <w:rPr>
          <w:b/>
          <w:bCs/>
          <w:color w:val="0E5E52"/>
          <w:sz w:val="20"/>
          <w:szCs w:val="20"/>
        </w:rPr>
        <w:t xml:space="preserve">Status: working pilot, running unattended in the college Panopto environment.</w:t>
      </w:r>
    </w:p>
    <w:p>
      <w:pPr>
        <w:pBdr>
          <w:bottom w:val="single" w:color="CFCABF" w:sz="6"/>
        </w:pBdr>
        <w:spacing w:after="190" w:before="80"/>
      </w:pPr>
      <w:r>
        <w:t xml:space="preserve"/>
      </w:r>
    </w:p>
    <w:p>
      <w:pPr>
        <w:pStyle w:val="Heading1"/>
        <w:spacing w:after="170" w:before="360"/>
      </w:pPr>
      <w:r>
        <w:rPr>
          <w:b/>
          <w:bCs/>
          <w:color w:val="0E5E52"/>
          <w:sz w:val="28"/>
          <w:szCs w:val="28"/>
        </w:rPr>
        <w:t xml:space="preserve">1. Overview</w:t>
      </w:r>
    </w:p>
    <w:p>
      <w:pPr>
        <w:spacing w:after="160" w:line="300"/>
      </w:pPr>
      <w:r>
        <w:rPr>
          <w:color w:val="14181F"/>
          <w:sz w:val="22"/>
          <w:szCs w:val="22"/>
        </w:rPr>
        <w:t xml:space="preserve">Accessible Academic converts ordinary lecture recordings into accessible, structured learning material: accurate Hebrew captions, topic summaries, and self-test flashcards — generated automatically and delivered back into the recording platform the institution already runs.</w:t>
      </w:r>
    </w:p>
    <w:p>
      <w:pPr>
        <w:spacing w:after="160" w:line="300"/>
      </w:pPr>
      <w:r>
        <w:rPr>
          <w:color w:val="14181F"/>
          <w:sz w:val="22"/>
          <w:szCs w:val="22"/>
        </w:rPr>
        <w:t xml:space="preserve">The distinction that matters is the last step. Comparable tools stop at producing a transcript in their own interface, leaving someone to move it. Our system closes the loop: a lecturer uploads to Panopto exactly as they always have, and a few minutes later that same recording carries our captions. No new habit, no new portal, no manual hand-off.</w:t>
      </w:r>
    </w:p>
    <w:p>
      <w:pPr>
        <w:spacing w:after="160" w:line="300"/>
      </w:pPr>
      <w:r>
        <w:rPr>
          <w:b/>
          <w:bCs/>
          <w:color w:val="14181F"/>
          <w:sz w:val="22"/>
          <w:szCs w:val="22"/>
        </w:rPr>
        <w:t xml:space="preserve">The pilot is live. </w:t>
      </w:r>
      <w:r>
        <w:rPr>
          <w:color w:val="14181F"/>
          <w:sz w:val="22"/>
          <w:szCs w:val="22"/>
        </w:rPr>
        <w:t xml:space="preserve">Recordings uploaded to the college Panopto environment have been detected, transcribed, and captioned end to end with no human involvement. The integration is built in partnership with </w:t>
      </w:r>
      <w:r>
        <w:rPr>
          <w:b/>
          <w:bCs/>
          <w:color w:val="14181F"/>
          <w:sz w:val="22"/>
          <w:szCs w:val="22"/>
        </w:rPr>
        <w:t xml:space="preserve">Bekol</w:t>
      </w:r>
      <w:r>
        <w:rPr>
          <w:color w:val="14181F"/>
          <w:sz w:val="22"/>
          <w:szCs w:val="22"/>
        </w:rPr>
        <w:t xml:space="preserve">, Israel’s organisation for people with hearing loss.</w:t>
      </w:r>
    </w:p>
    <w:p>
      <w:pPr>
        <w:pStyle w:val="Heading1"/>
        <w:spacing w:after="170" w:before="360"/>
      </w:pPr>
      <w:r>
        <w:rPr>
          <w:b/>
          <w:bCs/>
          <w:color w:val="0E5E52"/>
          <w:sz w:val="28"/>
          <w:szCs w:val="28"/>
        </w:rPr>
        <w:t xml:space="preserve">2. The Problem, the Users, and How We Validated the Need</w:t>
      </w:r>
    </w:p>
    <w:p>
      <w:pPr>
        <w:pStyle w:val="Heading2"/>
        <w:spacing w:after="120" w:before="240"/>
      </w:pPr>
      <w:r>
        <w:rPr>
          <w:b/>
          <w:bCs/>
          <w:color w:val="14181F"/>
          <w:sz w:val="23"/>
          <w:szCs w:val="23"/>
        </w:rPr>
        <w:t xml:space="preserve">The problem</w:t>
      </w:r>
    </w:p>
    <w:p>
      <w:pPr>
        <w:spacing w:after="160" w:line="300"/>
      </w:pPr>
      <w:r>
        <w:rPr>
          <w:color w:val="14181F"/>
          <w:sz w:val="22"/>
          <w:szCs w:val="22"/>
        </w:rPr>
        <w:t xml:space="preserve">Recorded lectures are now a primary study resource. For a student who is deaf or hard of hearing, a recording without accurate synchronised captions is not a resource at all — it is a locked door. Three failures compound:</w:t>
      </w:r>
    </w:p>
    <w:p>
      <w:pPr>
        <w:pStyle w:val="ListParagraph"/>
        <w:numPr>
          <w:ilvl w:val="0"/>
          <w:numId w:val="2"/>
        </w:numPr>
        <w:spacing w:after="120" w:line="300"/>
      </w:pPr>
      <w:r>
        <w:rPr>
          <w:b/>
          <w:bCs/>
          <w:color w:val="14181F"/>
          <w:sz w:val="22"/>
          <w:szCs w:val="22"/>
        </w:rPr>
        <w:t xml:space="preserve">Hebrew academic captioning is weak. </w:t>
      </w:r>
      <w:r>
        <w:rPr>
          <w:color w:val="14181F"/>
          <w:sz w:val="22"/>
          <w:szCs w:val="22"/>
        </w:rPr>
        <w:t xml:space="preserve">Generic engines mishandle technical vocabulary and mathematical language. In our own measurement, Panopto rendered the algorithms term “vertex cover” as “Jerusalem police.”</w:t>
      </w:r>
    </w:p>
    <w:p>
      <w:pPr>
        <w:pStyle w:val="ListParagraph"/>
        <w:numPr>
          <w:ilvl w:val="0"/>
          <w:numId w:val="2"/>
        </w:numPr>
        <w:spacing w:after="120" w:line="300"/>
      </w:pPr>
      <w:r>
        <w:rPr>
          <w:b/>
          <w:bCs/>
          <w:color w:val="14181F"/>
          <w:sz w:val="22"/>
          <w:szCs w:val="22"/>
        </w:rPr>
        <w:t xml:space="preserve">Lecture-hall audio is poor. </w:t>
      </w:r>
      <w:r>
        <w:rPr>
          <w:color w:val="14181F"/>
          <w:sz w:val="22"/>
          <w:szCs w:val="22"/>
        </w:rPr>
        <w:t xml:space="preserve">Distance from the microphone, room acoustics, and low recording levels degrade the input before any engine sees it — so the transcription problem often starts as an audio problem.</w:t>
      </w:r>
    </w:p>
    <w:p>
      <w:pPr>
        <w:pStyle w:val="ListParagraph"/>
        <w:numPr>
          <w:ilvl w:val="0"/>
          <w:numId w:val="2"/>
        </w:numPr>
        <w:spacing w:after="120" w:line="300"/>
      </w:pPr>
      <w:r>
        <w:rPr>
          <w:b/>
          <w:bCs/>
          <w:color w:val="14181F"/>
          <w:sz w:val="22"/>
          <w:szCs w:val="22"/>
        </w:rPr>
        <w:t xml:space="preserve">Volume without structure. </w:t>
      </w:r>
      <w:r>
        <w:rPr>
          <w:color w:val="14181F"/>
          <w:sz w:val="22"/>
          <w:szCs w:val="22"/>
        </w:rPr>
        <w:t xml:space="preserve">Even with a transcript, students re-watch hours of video to locate a single explanation.</w:t>
      </w:r>
    </w:p>
    <w:p>
      <w:pPr>
        <w:pStyle w:val="Heading2"/>
        <w:spacing w:after="120" w:before="240"/>
      </w:pPr>
      <w:r>
        <w:rPr>
          <w:b/>
          <w:bCs/>
          <w:color w:val="14181F"/>
          <w:sz w:val="23"/>
          <w:szCs w:val="23"/>
        </w:rPr>
        <w:t xml:space="preserve">Who this is for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500"/>
        <w:gridCol w:w="6500"/>
      </w:tblGrid>
      <w:tr>
        <w:trPr>
          <w:cantSplit/>
          <w:tblHeader/>
        </w:trPr>
        <w:tc>
          <w:tcPr>
            <w:tcW w:type="dxa" w:w="2500"/>
            <w:shd w:fill="E6F1ED" w:color="auto" w:val="clear"/>
            <w:tcMar>
              <w:top w:type="dxa" w:w="90"/>
              <w:left w:type="dxa" w:w="130"/>
              <w:bottom w:type="dxa" w:w="90"/>
              <w:right w:type="dxa" w:w="130"/>
            </w:tcMar>
          </w:tcPr>
          <w:p>
            <w:pPr>
              <w:spacing w:after="0" w:line="264"/>
            </w:pPr>
            <w:r>
              <w:rPr>
                <w:b/>
                <w:bCs/>
                <w:color w:val="0E5E52"/>
                <w:sz w:val="20"/>
                <w:szCs w:val="20"/>
              </w:rPr>
              <w:t xml:space="preserve">Segment</w:t>
            </w:r>
          </w:p>
        </w:tc>
        <w:tc>
          <w:tcPr>
            <w:tcW w:type="dxa" w:w="6500"/>
            <w:shd w:fill="E6F1ED" w:color="auto" w:val="clear"/>
            <w:tcMar>
              <w:top w:type="dxa" w:w="90"/>
              <w:left w:type="dxa" w:w="130"/>
              <w:bottom w:type="dxa" w:w="90"/>
              <w:right w:type="dxa" w:w="130"/>
            </w:tcMar>
          </w:tcPr>
          <w:p>
            <w:pPr>
              <w:spacing w:after="0" w:line="264"/>
            </w:pPr>
            <w:r>
              <w:rPr>
                <w:b/>
                <w:bCs/>
                <w:color w:val="0E5E52"/>
                <w:sz w:val="20"/>
                <w:szCs w:val="20"/>
              </w:rPr>
              <w:t xml:space="preserve">Why they need it</w:t>
            </w:r>
          </w:p>
        </w:tc>
      </w:tr>
      <w:tr>
        <w:trPr>
          <w:cantSplit/>
          <w:tblHeader w:val="false"/>
        </w:trPr>
        <w:tc>
          <w:tcPr>
            <w:tcW w:type="dxa" w:w="2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Deaf and hard-of-hearing students</w:t>
            </w:r>
          </w:p>
        </w:tc>
        <w:tc>
          <w:tcPr>
            <w:tcW w:type="dxa" w:w="6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Primary users. Without accurate captions the recording is inaccessible — this is access, not convenience.</w:t>
            </w:r>
          </w:p>
        </w:tc>
      </w:tr>
      <w:tr>
        <w:trPr>
          <w:cantSplit/>
          <w:tblHeader w:val="false"/>
        </w:trPr>
        <w:tc>
          <w:tcPr>
            <w:tcW w:type="dxa" w:w="2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Students with ADHD or learning differences</w:t>
            </w:r>
          </w:p>
        </w:tc>
        <w:tc>
          <w:tcPr>
            <w:tcW w:type="dxa" w:w="6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Searchable text and structured summaries are far more usable than linear video.</w:t>
            </w:r>
          </w:p>
        </w:tc>
      </w:tr>
      <w:tr>
        <w:trPr>
          <w:cantSplit/>
          <w:tblHeader w:val="false"/>
        </w:trPr>
        <w:tc>
          <w:tcPr>
            <w:tcW w:type="dxa" w:w="2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All students</w:t>
            </w:r>
          </w:p>
        </w:tc>
        <w:tc>
          <w:tcPr>
            <w:tcW w:type="dxa" w:w="65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Search within a lecture, revise from summaries, self-test with flashcards.</w:t>
            </w:r>
          </w:p>
        </w:tc>
      </w:tr>
      <w:tr>
        <w:trPr>
          <w:cantSplit/>
          <w:tblHeader w:val="false"/>
        </w:trPr>
        <w:tc>
          <w:tcPr>
            <w:tcW w:type="dxa" w:w="2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The institution (the buyer)</w:t>
            </w:r>
          </w:p>
        </w:tc>
        <w:tc>
          <w:tcPr>
            <w:tcW w:type="dxa" w:w="65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Holds the legal accessibility obligation, the budget, and the recording platform.</w:t>
            </w:r>
          </w:p>
        </w:tc>
      </w:tr>
    </w:tbl>
    <w:p>
      <w:pPr>
        <w:spacing w:after="120"/>
      </w:pPr>
      <w:r>
        <w:t xml:space="preserve"/>
      </w:r>
    </w:p>
    <w:p>
      <w:pPr>
        <w:pStyle w:val="Heading2"/>
        <w:spacing w:after="120" w:before="240"/>
      </w:pPr>
      <w:r>
        <w:rPr>
          <w:b/>
          <w:bCs/>
          <w:color w:val="14181F"/>
          <w:sz w:val="23"/>
          <w:szCs w:val="23"/>
        </w:rPr>
        <w:t xml:space="preserve">How we validated the need</w:t>
      </w:r>
    </w:p>
    <w:p>
      <w:pPr>
        <w:pStyle w:val="ListParagraph"/>
        <w:numPr>
          <w:ilvl w:val="0"/>
          <w:numId w:val="2"/>
        </w:numPr>
        <w:spacing w:after="120" w:line="300"/>
      </w:pPr>
      <w:r>
        <w:rPr>
          <w:b/>
          <w:bCs/>
          <w:color w:val="14181F"/>
          <w:sz w:val="22"/>
          <w:szCs w:val="22"/>
        </w:rPr>
        <w:t xml:space="preserve">A lived need, not a surveyed one. </w:t>
      </w:r>
      <w:r>
        <w:rPr>
          <w:color w:val="14181F"/>
          <w:sz w:val="22"/>
          <w:szCs w:val="22"/>
        </w:rPr>
        <w:t xml:space="preserve">Adi Tapiro, one of the two founders, is a hearing-impaired computer science student.</w:t>
      </w:r>
    </w:p>
    <w:p>
      <w:pPr>
        <w:pStyle w:val="ListParagraph"/>
        <w:numPr>
          <w:ilvl w:val="0"/>
          <w:numId w:val="2"/>
        </w:numPr>
        <w:spacing w:after="120" w:line="300"/>
      </w:pPr>
      <w:r>
        <w:rPr>
          <w:b/>
          <w:bCs/>
          <w:color w:val="14181F"/>
          <w:sz w:val="22"/>
          <w:szCs w:val="22"/>
        </w:rPr>
        <w:t xml:space="preserve">An institutional partner. </w:t>
      </w:r>
      <w:r>
        <w:rPr>
          <w:color w:val="14181F"/>
          <w:sz w:val="22"/>
          <w:szCs w:val="22"/>
        </w:rPr>
        <w:t xml:space="preserve">Bekol joined the pilot, giving access to the community the product is built for.</w:t>
      </w:r>
    </w:p>
    <w:p>
      <w:pPr>
        <w:pStyle w:val="ListParagraph"/>
        <w:numPr>
          <w:ilvl w:val="0"/>
          <w:numId w:val="2"/>
        </w:numPr>
        <w:spacing w:after="120" w:line="300"/>
      </w:pPr>
      <w:r>
        <w:rPr>
          <w:b/>
          <w:bCs/>
          <w:color w:val="14181F"/>
          <w:sz w:val="22"/>
          <w:szCs w:val="22"/>
        </w:rPr>
        <w:t xml:space="preserve">A working deployment. </w:t>
      </w:r>
      <w:r>
        <w:rPr>
          <w:color w:val="14181F"/>
          <w:sz w:val="22"/>
          <w:szCs w:val="22"/>
        </w:rPr>
        <w:t xml:space="preserve">The pipeline already runs unattended on the college’s own recordings — the strongest validation available at this stage.</w:t>
      </w:r>
    </w:p>
    <w:p>
      <w:pPr>
        <w:pStyle w:val="Heading1"/>
        <w:spacing w:after="170" w:before="360"/>
      </w:pPr>
      <w:r>
        <w:rPr>
          <w:b/>
          <w:bCs/>
          <w:color w:val="0E5E52"/>
          <w:sz w:val="28"/>
          <w:szCs w:val="28"/>
        </w:rPr>
        <w:t xml:space="preserve">3. The Product and the Value It Delivers</w:t>
      </w:r>
    </w:p>
    <w:p>
      <w:pPr>
        <w:spacing w:after="160" w:line="300"/>
      </w:pPr>
      <w:r>
        <w:rPr>
          <w:color w:val="14181F"/>
          <w:sz w:val="22"/>
          <w:szCs w:val="22"/>
        </w:rPr>
        <w:t xml:space="preserve">A recording enters the pipeline and comes out as four artefacts: synchronised Hebrew captions, a searchable transcript, topic summaries with properly typeset mathematics, and flashcards for self-testing. Everything is exportable to PDF, Word, SRT, and VTT.</w:t>
      </w:r>
    </w:p>
    <w:p>
      <w:pPr>
        <w:pStyle w:val="Heading2"/>
        <w:spacing w:after="120" w:before="240"/>
      </w:pPr>
      <w:r>
        <w:rPr>
          <w:b/>
          <w:bCs/>
          <w:color w:val="14181F"/>
          <w:sz w:val="23"/>
          <w:szCs w:val="23"/>
        </w:rPr>
        <w:t xml:space="preserve">How it works</w:t>
      </w:r>
    </w:p>
    <w:p>
      <w:pPr>
        <w:spacing w:after="40"/>
      </w:pPr>
      <w:r>
        <w:t xml:space="preserve"/>
      </w:r>
    </w:p>
    <w:tbl>
      <w:tblPr>
        <w:tblW w:type="dxa" w:w="8990"/>
        <w:tblBorders>
          <w:top w:val="none"/>
          <w:left w:val="none"/>
          <w:bottom w:val="none"/>
          <w:right w:val="none"/>
          <w:insideH w:val="none"/>
          <w:insideV w:val="none"/>
        </w:tblBorders>
      </w:tblPr>
      <w:tblGrid>
        <w:gridCol w:w="1290"/>
        <w:gridCol w:w="250"/>
        <w:gridCol w:w="1290"/>
        <w:gridCol w:w="250"/>
        <w:gridCol w:w="1290"/>
        <w:gridCol w:w="250"/>
        <w:gridCol w:w="1290"/>
        <w:gridCol w:w="250"/>
        <w:gridCol w:w="1290"/>
        <w:gridCol w:w="250"/>
        <w:gridCol w:w="1290"/>
      </w:tblGrid>
      <w:tr>
        <w:trPr>
          <w:cantSplit/>
        </w:trPr>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Detect</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Improve audio</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Transcribe</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Generate</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Verify</w:t>
            </w:r>
          </w:p>
        </w:tc>
        <w:tc>
          <w:tcPr>
            <w:tcW w:type="dxa" w:w="250"/>
            <w:tcMar>
              <w:top w:type="dxa" w:w="90"/>
              <w:left w:type="dxa" w:w="0"/>
              <w:bottom w:type="dxa" w:w="90"/>
              <w:right w:type="dxa" w:w="0"/>
            </w:tcMar>
          </w:tcPr>
          <w:p>
            <w:pPr>
              <w:spacing w:after="0" w:line="264"/>
              <w:jc w:val="center"/>
            </w:pPr>
            <w:r>
              <w:rPr>
                <w:color w:val="56606E"/>
                <w:sz w:val="20"/>
                <w:szCs w:val="20"/>
              </w:rPr>
              <w:t xml:space="preserve">→</w:t>
            </w:r>
          </w:p>
        </w:tc>
        <w:tc>
          <w:tcPr>
            <w:tcW w:type="dxa" w:w="1290"/>
            <w:shd w:fill="E6F1ED" w:color="auto" w:val="clear"/>
            <w:tcMar>
              <w:top w:type="dxa" w:w="90"/>
              <w:left w:type="dxa" w:w="130"/>
              <w:bottom w:type="dxa" w:w="90"/>
              <w:right w:type="dxa" w:w="130"/>
            </w:tcMar>
          </w:tcPr>
          <w:p>
            <w:pPr>
              <w:spacing w:after="0" w:line="264"/>
              <w:jc w:val="center"/>
            </w:pPr>
            <w:r>
              <w:rPr>
                <w:b/>
                <w:bCs/>
                <w:color w:val="0E5E52"/>
                <w:sz w:val="19"/>
                <w:szCs w:val="19"/>
              </w:rPr>
              <w:t xml:space="preserve">Deliver</w:t>
            </w:r>
          </w:p>
        </w:tc>
      </w:tr>
    </w:tbl>
    <w:p>
      <w:pPr>
        <w:spacing w:after="150"/>
      </w:pPr>
      <w:r>
        <w:t xml:space="preserve"/>
      </w:r>
    </w:p>
    <w:p>
      <w:pPr>
        <w:spacing w:after="160" w:line="300"/>
      </w:pPr>
      <w:r>
        <w:rPr>
          <w:color w:val="14181F"/>
          <w:sz w:val="22"/>
          <w:szCs w:val="22"/>
        </w:rPr>
        <w:t xml:space="preserve">A new recording is picked up automatically, its audio is boosted and normalised, it is transcribed with word-level timing, study material is generated, every claim is checked back against the transcript, and the finished captions are written onto the original Panopto session. Roughly two minutes to notice a recording, then five to ten to process it.</w:t>
      </w:r>
    </w:p>
    <w:p>
      <w:pPr>
        <w:spacing w:after="160" w:line="300"/>
      </w:pPr>
      <w:r>
        <w:rPr>
          <w:b/>
          <w:bCs/>
          <w:color w:val="14181F"/>
          <w:sz w:val="22"/>
          <w:szCs w:val="22"/>
        </w:rPr>
        <w:t xml:space="preserve">The student gets a lecture they can actually use; the lecturer changes nothing; the institution meets its accessibility obligation inside the platform it already owns.</w:t>
      </w:r>
    </w:p>
    <w:p>
      <w:pPr>
        <w:pStyle w:val="Heading1"/>
        <w:spacing w:after="170" w:before="360"/>
      </w:pPr>
      <w:r>
        <w:rPr>
          <w:b/>
          <w:bCs/>
          <w:color w:val="0E5E52"/>
          <w:sz w:val="28"/>
          <w:szCs w:val="28"/>
        </w:rPr>
        <w:t xml:space="preserve">4. Innovation and Key Advantages</w:t>
      </w:r>
    </w:p>
    <w:p>
      <w:pPr>
        <w:pStyle w:val="Heading2"/>
        <w:spacing w:after="120" w:before="240"/>
      </w:pPr>
      <w:r>
        <w:rPr>
          <w:b/>
          <w:bCs/>
          <w:color w:val="14181F"/>
          <w:sz w:val="23"/>
          <w:szCs w:val="23"/>
        </w:rPr>
        <w:t xml:space="preserve">4.1 Closing the loop into the institutional system</w:t>
      </w:r>
    </w:p>
    <w:p>
      <w:pPr>
        <w:spacing w:after="160" w:line="300"/>
      </w:pPr>
      <w:r>
        <w:rPr>
          <w:color w:val="14181F"/>
          <w:sz w:val="22"/>
          <w:szCs w:val="22"/>
        </w:rPr>
        <w:t xml:space="preserve">Most tools produce a transcript and stop, leaving a human to carry the result somewhere useful. We write the captions back onto the original Panopto session. Adoption therefore costs the institution no change in behaviour — the single largest barrier to accessibility tooling actually being used.</w:t>
      </w:r>
    </w:p>
    <w:p>
      <w:pPr>
        <w:pStyle w:val="Heading2"/>
        <w:spacing w:after="120" w:before="240"/>
      </w:pPr>
      <w:r>
        <w:rPr>
          <w:b/>
          <w:bCs/>
          <w:color w:val="14181F"/>
          <w:sz w:val="23"/>
          <w:szCs w:val="23"/>
        </w:rPr>
        <w:t xml:space="preserve">4.2 Measured accuracy, not asserted accuracy</w:t>
      </w:r>
    </w:p>
    <w:p>
      <w:pPr>
        <w:spacing w:after="160" w:line="300"/>
      </w:pPr>
      <w:r>
        <w:rPr>
          <w:color w:val="14181F"/>
          <w:sz w:val="22"/>
          <w:szCs w:val="22"/>
        </w:rPr>
        <w:t xml:space="preserve">We did not claim to be more accurate — we measured it. On a real 2-hour-13-minute algorithms lecture, scored against an independent third engine so that neither system was judged by its own output, our captions were more accurate than the platform’s existing captions in 8 of 10 sampled windows, with roughly 12% fewer errors overall.</w:t>
      </w:r>
    </w:p>
    <w:p>
      <w:pPr>
        <w:pStyle w:val="Heading2"/>
        <w:spacing w:after="120" w:before="240"/>
      </w:pPr>
      <w:r>
        <w:rPr>
          <w:b/>
          <w:bCs/>
          <w:color w:val="14181F"/>
          <w:sz w:val="23"/>
          <w:szCs w:val="23"/>
        </w:rPr>
        <w:t xml:space="preserve">4.3 AI that cannot invent</w:t>
      </w:r>
    </w:p>
    <w:p>
      <w:pPr>
        <w:spacing w:after="160" w:line="300"/>
      </w:pPr>
      <w:r>
        <w:rPr>
          <w:color w:val="14181F"/>
          <w:sz w:val="22"/>
          <w:szCs w:val="22"/>
        </w:rPr>
        <w:t xml:space="preserve">Generated study material carries a specific risk: a model that fills gaps with its own knowledge produces text that is plausible, often factually correct, and wrong for the purpose — because the student needs what the lecturer said, not what the model knows. Four agents address this. Three run in parallel, checking summaries, flashcards, and overall grounding against the transcript; a fourth rewrites or removes anything flagged. Content that is true in general but absent from the lecture is treated as ungrounded and removed.</w:t>
      </w:r>
    </w:p>
    <w:p>
      <w:pPr>
        <w:pStyle w:val="Heading2"/>
        <w:spacing w:after="120" w:before="240"/>
      </w:pPr>
      <w:r>
        <w:rPr>
          <w:b/>
          <w:bCs/>
          <w:color w:val="14181F"/>
          <w:sz w:val="23"/>
          <w:szCs w:val="23"/>
        </w:rPr>
        <w:t xml:space="preserve">4.4 Engineering built for unattended operation</w:t>
      </w:r>
    </w:p>
    <w:p>
      <w:pPr>
        <w:spacing w:after="160" w:line="300"/>
      </w:pPr>
      <w:r>
        <w:rPr>
          <w:color w:val="14181F"/>
          <w:sz w:val="22"/>
          <w:szCs w:val="22"/>
        </w:rPr>
        <w:t xml:space="preserve">A pilot that needs supervision is not a pilot. The system takes each recording exactly once, recovers on its own from interrupted work, and manages its own credentials — the problems that only appear once software is left running without anyone watching it. An 18-section automated test suite covers these paths.</w:t>
      </w:r>
    </w:p>
    <w:p>
      <w:pPr>
        <w:pStyle w:val="Heading1"/>
        <w:spacing w:after="170" w:before="360"/>
      </w:pPr>
      <w:r>
        <w:rPr>
          <w:b/>
          <w:bCs/>
          <w:color w:val="0E5E52"/>
          <w:sz w:val="28"/>
          <w:szCs w:val="28"/>
        </w:rPr>
        <w:t xml:space="preserve">5. Competitors and Alternatives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350"/>
        <w:gridCol w:w="3350"/>
        <w:gridCol w:w="3300"/>
      </w:tblGrid>
      <w:tr>
        <w:trPr>
          <w:cantSplit/>
          <w:tblHeader/>
        </w:trPr>
        <w:tc>
          <w:tcPr>
            <w:tcW w:type="dxa" w:w="2350"/>
            <w:shd w:fill="E6F1ED" w:color="auto" w:val="clear"/>
            <w:tcMar>
              <w:top w:type="dxa" w:w="90"/>
              <w:left w:type="dxa" w:w="130"/>
              <w:bottom w:type="dxa" w:w="90"/>
              <w:right w:type="dxa" w:w="130"/>
            </w:tcMar>
          </w:tcPr>
          <w:p>
            <w:pPr>
              <w:spacing w:after="0" w:line="264"/>
            </w:pPr>
            <w:r>
              <w:rPr>
                <w:b/>
                <w:bCs/>
                <w:color w:val="0E5E52"/>
                <w:sz w:val="20"/>
                <w:szCs w:val="20"/>
              </w:rPr>
              <w:t xml:space="preserve">Alternative</w:t>
            </w:r>
          </w:p>
        </w:tc>
        <w:tc>
          <w:tcPr>
            <w:tcW w:type="dxa" w:w="3350"/>
            <w:shd w:fill="E6F1ED" w:color="auto" w:val="clear"/>
            <w:tcMar>
              <w:top w:type="dxa" w:w="90"/>
              <w:left w:type="dxa" w:w="130"/>
              <w:bottom w:type="dxa" w:w="90"/>
              <w:right w:type="dxa" w:w="130"/>
            </w:tcMar>
          </w:tcPr>
          <w:p>
            <w:pPr>
              <w:spacing w:after="0" w:line="264"/>
            </w:pPr>
            <w:r>
              <w:rPr>
                <w:b/>
                <w:bCs/>
                <w:color w:val="0E5E52"/>
                <w:sz w:val="20"/>
                <w:szCs w:val="20"/>
              </w:rPr>
              <w:t xml:space="preserve">What it does</w:t>
            </w:r>
          </w:p>
        </w:tc>
        <w:tc>
          <w:tcPr>
            <w:tcW w:type="dxa" w:w="3300"/>
            <w:shd w:fill="E6F1ED" w:color="auto" w:val="clear"/>
            <w:tcMar>
              <w:top w:type="dxa" w:w="90"/>
              <w:left w:type="dxa" w:w="130"/>
              <w:bottom w:type="dxa" w:w="90"/>
              <w:right w:type="dxa" w:w="130"/>
            </w:tcMar>
          </w:tcPr>
          <w:p>
            <w:pPr>
              <w:spacing w:after="0" w:line="264"/>
            </w:pPr>
            <w:r>
              <w:rPr>
                <w:b/>
                <w:bCs/>
                <w:color w:val="0E5E52"/>
                <w:sz w:val="20"/>
                <w:szCs w:val="20"/>
              </w:rPr>
              <w:t xml:space="preserve">Where it falls short for this use</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Panopto built-in captions</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Automatic captions inside the platform the college already uses</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Weak on Hebrew academic and mathematical language — the gap we measured directly</w:t>
            </w:r>
          </w:p>
        </w:tc>
      </w:tr>
      <w:tr>
        <w:trPr>
          <w:cantSplit/>
          <w:tblHeader w:val="false"/>
        </w:trPr>
        <w:tc>
          <w:tcPr>
            <w:tcW w:type="dxa" w:w="2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YouTube auto-captions</w:t>
            </w:r>
          </w:p>
        </w:tc>
        <w:tc>
          <w:tcPr>
            <w:tcW w:type="dxa" w:w="3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Free automatic captions</w:t>
            </w:r>
          </w:p>
        </w:tc>
        <w:tc>
          <w:tcPr>
            <w:tcW w:type="dxa" w:w="33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Not built for academia, no institutional integration, weak Hebrew</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Otter.ai, Fireflies</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Strong meeting transcription and summarisation</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Built for English business speech; Hebrew academic content and formulae are out of scope</w:t>
            </w:r>
          </w:p>
        </w:tc>
      </w:tr>
      <w:tr>
        <w:trPr>
          <w:cantSplit/>
          <w:tblHeader w:val="false"/>
        </w:trPr>
        <w:tc>
          <w:tcPr>
            <w:tcW w:type="dxa" w:w="2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Whisper alone</w:t>
            </w:r>
          </w:p>
        </w:tc>
        <w:tc>
          <w:tcPr>
            <w:tcW w:type="dxa" w:w="335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 capable open transcription engine</w:t>
            </w:r>
          </w:p>
        </w:tc>
        <w:tc>
          <w:tcPr>
            <w:tcW w:type="dxa" w:w="33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An engine, not a product: no audio pre-processing, no study material, no verification, no institutional delivery</w:t>
            </w:r>
          </w:p>
        </w:tc>
      </w:tr>
      <w:tr>
        <w:trPr>
          <w:cantSplit/>
          <w:tblHeader w:val="false"/>
        </w:trPr>
        <w:tc>
          <w:tcPr>
            <w:tcW w:type="dxa" w:w="2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Human transcription</w:t>
            </w:r>
          </w:p>
        </w:tc>
        <w:tc>
          <w:tcPr>
            <w:tcW w:type="dxa" w:w="335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The accuracy benchmark</w:t>
            </w:r>
          </w:p>
        </w:tc>
        <w:tc>
          <w:tcPr>
            <w:tcW w:type="dxa" w:w="33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Costly per hour and does not scale to a full semester of lectures</w:t>
            </w:r>
          </w:p>
        </w:tc>
      </w:tr>
    </w:tbl>
    <w:p>
      <w:pPr>
        <w:spacing w:after="140"/>
      </w:pPr>
      <w:r>
        <w:t xml:space="preserve"/>
      </w:r>
    </w:p>
    <w:p>
      <w:pPr>
        <w:spacing w:after="160" w:line="300"/>
      </w:pPr>
      <w:r>
        <w:rPr>
          <w:b/>
          <w:bCs/>
          <w:color w:val="14181F"/>
          <w:sz w:val="22"/>
          <w:szCs w:val="22"/>
        </w:rPr>
        <w:t xml:space="preserve">Our position: </w:t>
      </w:r>
      <w:r>
        <w:rPr>
          <w:color w:val="14181F"/>
          <w:sz w:val="22"/>
          <w:szCs w:val="22"/>
        </w:rPr>
        <w:t xml:space="preserve">we are not another transcription engine. We are the pipeline that connects a recording to the system an institution already runs — with audio rescue at the front, verification in the middle, and automatic delivery at the end. That combination is what none of the alternatives offer.</w:t>
      </w:r>
    </w:p>
    <w:p>
      <w:pPr>
        <w:pStyle w:val="Heading1"/>
        <w:spacing w:after="170" w:before="360"/>
      </w:pPr>
      <w:r>
        <w:rPr>
          <w:b/>
          <w:bCs/>
          <w:color w:val="0E5E52"/>
          <w:sz w:val="28"/>
          <w:szCs w:val="28"/>
        </w:rPr>
        <w:t xml:space="preserve">6. Target Market and Market Potential</w:t>
      </w:r>
    </w:p>
    <w:p>
      <w:pPr>
        <w:spacing w:after="160" w:line="300"/>
      </w:pPr>
      <w:r>
        <w:rPr>
          <w:color w:val="14181F"/>
          <w:sz w:val="22"/>
          <w:szCs w:val="22"/>
        </w:rPr>
        <w:t xml:space="preserve">The buyer is the institution, not the student. It holds the legal obligation, the budget, and the recording platform.</w:t>
      </w:r>
    </w:p>
    <w:p>
      <w:pPr>
        <w:pStyle w:val="Heading2"/>
        <w:spacing w:after="120" w:before="240"/>
      </w:pPr>
      <w:r>
        <w:rPr>
          <w:b/>
          <w:bCs/>
          <w:color w:val="14181F"/>
          <w:sz w:val="23"/>
          <w:szCs w:val="23"/>
        </w:rPr>
        <w:t xml:space="preserve">Market size</w:t>
      </w:r>
    </w:p>
    <w:p>
      <w:pPr>
        <w:pStyle w:val="ListParagraph"/>
        <w:numPr>
          <w:ilvl w:val="0"/>
          <w:numId w:val="2"/>
        </w:numPr>
        <w:spacing w:after="120" w:line="300"/>
      </w:pPr>
      <w:r>
        <w:rPr>
          <w:b/>
          <w:bCs/>
          <w:color w:val="14181F"/>
          <w:sz w:val="22"/>
          <w:szCs w:val="22"/>
        </w:rPr>
        <w:t xml:space="preserve">Israeli higher education comprises roughly 60 academic institutions serving more than 336,000 students</w:t>
      </w:r>
      <w:r>
        <w:rPr>
          <w:color w:val="14181F"/>
          <w:sz w:val="22"/>
          <w:szCs w:val="22"/>
        </w:rPr>
        <w:t xml:space="preserve"> (Council for Higher Education). Every one of them records lectures and every one carries the same accessibility duty.</w:t>
      </w:r>
    </w:p>
    <w:p>
      <w:pPr>
        <w:pStyle w:val="ListParagraph"/>
        <w:numPr>
          <w:ilvl w:val="0"/>
          <w:numId w:val="2"/>
        </w:numPr>
        <w:spacing w:after="120" w:line="300"/>
      </w:pPr>
      <w:r>
        <w:rPr>
          <w:b/>
          <w:bCs/>
          <w:color w:val="14181F"/>
          <w:sz w:val="22"/>
          <w:szCs w:val="22"/>
        </w:rPr>
        <w:t xml:space="preserve">Our immediate serviceable market is institutions running Panopto</w:t>
      </w:r>
      <w:r>
        <w:rPr>
          <w:color w:val="14181F"/>
          <w:sz w:val="22"/>
          <w:szCs w:val="22"/>
        </w:rPr>
        <w:t xml:space="preserve">, where integration is already built and deployment is configuration rather than development.</w:t>
      </w:r>
    </w:p>
    <w:p>
      <w:pPr>
        <w:pStyle w:val="ListParagraph"/>
        <w:numPr>
          <w:ilvl w:val="0"/>
          <w:numId w:val="2"/>
        </w:numPr>
        <w:spacing w:after="120" w:line="300"/>
      </w:pPr>
      <w:r>
        <w:rPr>
          <w:b/>
          <w:bCs/>
          <w:color w:val="14181F"/>
          <w:sz w:val="22"/>
          <w:szCs w:val="22"/>
        </w:rPr>
        <w:t xml:space="preserve">Each institution is a repeatable, multi-department deployment</w:t>
      </w:r>
      <w:r>
        <w:rPr>
          <w:color w:val="14181F"/>
          <w:sz w:val="22"/>
          <w:szCs w:val="22"/>
        </w:rPr>
        <w:t xml:space="preserve"> rather than a one-off sale — adoption grows course by course within an account.</w:t>
      </w:r>
    </w:p>
    <w:p>
      <w:pPr>
        <w:pStyle w:val="Heading2"/>
        <w:spacing w:after="120" w:before="240"/>
      </w:pPr>
      <w:r>
        <w:rPr>
          <w:b/>
          <w:bCs/>
          <w:color w:val="14181F"/>
          <w:sz w:val="23"/>
          <w:szCs w:val="23"/>
        </w:rPr>
        <w:t xml:space="preserve">What makes the market act</w:t>
      </w:r>
    </w:p>
    <w:p>
      <w:pPr>
        <w:spacing w:after="160" w:line="300"/>
      </w:pPr>
      <w:r>
        <w:rPr>
          <w:color w:val="14181F"/>
          <w:sz w:val="22"/>
          <w:szCs w:val="22"/>
        </w:rPr>
        <w:t xml:space="preserve">Accessibility in Israeli higher education is a legal duty, not goodwill. The Equal Rights for Persons with Disabilities Law (1998) and the 2016 regulations governing accessibility of higher-education services require institutions to make their services usable by students with disabilities, including accommodations in study. Recorded lectures fall squarely inside that duty, and the current alternatives are either inaccurate or manual and expensive.</w:t>
      </w:r>
    </w:p>
    <w:p>
      <w:pPr>
        <w:spacing w:after="160" w:line="300"/>
      </w:pPr>
      <w:r>
        <w:rPr>
          <w:b/>
          <w:bCs/>
          <w:color w:val="A3301B"/>
          <w:sz w:val="22"/>
          <w:szCs w:val="22"/>
        </w:rPr>
        <w:t xml:space="preserve">Not yet validated: </w:t>
      </w:r>
      <w:r>
        <w:rPr>
          <w:color w:val="56606E"/>
          <w:sz w:val="22"/>
          <w:szCs w:val="22"/>
        </w:rPr>
        <w:t xml:space="preserve">we have not yet established pricing, procurement cycle length, or willingness to pay. These require commercial conversations beyond the pilot and are the next validation step, not a claim we make here.</w:t>
      </w:r>
    </w:p>
    <w:p>
      <w:pPr>
        <w:pStyle w:val="Heading1"/>
        <w:spacing w:after="170" w:before="360"/>
      </w:pPr>
      <w:r>
        <w:rPr>
          <w:b/>
          <w:bCs/>
          <w:color w:val="0E5E52"/>
          <w:sz w:val="28"/>
          <w:szCs w:val="28"/>
        </w:rPr>
        <w:t xml:space="preserve">7. Go-to-Market Strategy</w:t>
      </w:r>
    </w:p>
    <w:p>
      <w:pPr>
        <w:spacing w:after="160" w:line="300"/>
      </w:pPr>
      <w:r>
        <w:rPr>
          <w:color w:val="14181F"/>
          <w:sz w:val="22"/>
          <w:szCs w:val="22"/>
        </w:rPr>
        <w:t xml:space="preserve">Land inside one institution, prove it on real recordings, then expand — first across departments, then across institutions running the same platform. Accessibility purchasing is reference-driven, so a working deployment inside a named institution is worth more than any pitch.</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200"/>
      </w:tblGrid>
      <w:tr>
        <w:trPr>
          <w:cantSplit/>
          <w:tblHeader/>
        </w:trPr>
        <w:tc>
          <w:tcPr>
            <w:tcW w:type="dxa" w:w="1700"/>
            <w:shd w:fill="E6F1ED" w:color="auto" w:val="clear"/>
            <w:tcMar>
              <w:top w:type="dxa" w:w="90"/>
              <w:left w:type="dxa" w:w="130"/>
              <w:bottom w:type="dxa" w:w="90"/>
              <w:right w:type="dxa" w:w="130"/>
            </w:tcMar>
          </w:tcPr>
          <w:p>
            <w:pPr>
              <w:spacing w:after="0" w:line="264"/>
            </w:pPr>
            <w:r>
              <w:rPr>
                <w:b/>
                <w:bCs/>
                <w:color w:val="0E5E52"/>
                <w:sz w:val="20"/>
                <w:szCs w:val="20"/>
              </w:rPr>
              <w:t xml:space="preserve">Stage</w:t>
            </w:r>
          </w:p>
        </w:tc>
        <w:tc>
          <w:tcPr>
            <w:tcW w:type="dxa" w:w="3100"/>
            <w:shd w:fill="E6F1ED" w:color="auto" w:val="clear"/>
            <w:tcMar>
              <w:top w:type="dxa" w:w="90"/>
              <w:left w:type="dxa" w:w="130"/>
              <w:bottom w:type="dxa" w:w="90"/>
              <w:right w:type="dxa" w:w="130"/>
            </w:tcMar>
          </w:tcPr>
          <w:p>
            <w:pPr>
              <w:spacing w:after="0" w:line="264"/>
            </w:pPr>
            <w:r>
              <w:rPr>
                <w:b/>
                <w:bCs/>
                <w:color w:val="0E5E52"/>
                <w:sz w:val="20"/>
                <w:szCs w:val="20"/>
              </w:rPr>
              <w:t xml:space="preserve">Objective</w:t>
            </w:r>
          </w:p>
        </w:tc>
        <w:tc>
          <w:tcPr>
            <w:tcW w:type="dxa" w:w="4200"/>
            <w:shd w:fill="E6F1ED" w:color="auto" w:val="clear"/>
            <w:tcMar>
              <w:top w:type="dxa" w:w="90"/>
              <w:left w:type="dxa" w:w="130"/>
              <w:bottom w:type="dxa" w:w="90"/>
              <w:right w:type="dxa" w:w="130"/>
            </w:tcMar>
          </w:tcPr>
          <w:p>
            <w:pPr>
              <w:spacing w:after="0" w:line="264"/>
            </w:pPr>
            <w:r>
              <w:rPr>
                <w:b/>
                <w:bCs/>
                <w:color w:val="0E5E52"/>
                <w:sz w:val="20"/>
                <w:szCs w:val="20"/>
              </w:rPr>
              <w:t xml:space="preserve">Approach</w:t>
            </w:r>
          </w:p>
        </w:tc>
      </w:tr>
      <w:tr>
        <w:trPr>
          <w:cantSplit/>
          <w:tblHeader w:val="false"/>
        </w:trPr>
        <w:tc>
          <w:tcPr>
            <w:tcW w:type="dxa" w:w="17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Now — pilot</w:t>
            </w:r>
          </w:p>
        </w:tc>
        <w:tc>
          <w:tcPr>
            <w:tcW w:type="dxa" w:w="31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Prove it works unattended on real lectures</w:t>
            </w:r>
          </w:p>
        </w:tc>
        <w:tc>
          <w:tcPr>
            <w:tcW w:type="dxa" w:w="42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Running in the college Panopto environment with Bekol as partner; end-to-end operation already demonstrated</w:t>
            </w:r>
          </w:p>
        </w:tc>
      </w:tr>
      <w:tr>
        <w:trPr>
          <w:cantSplit/>
          <w:tblHeader w:val="false"/>
        </w:trPr>
        <w:tc>
          <w:tcPr>
            <w:tcW w:type="dxa" w:w="17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Next — course pilot</w:t>
            </w:r>
          </w:p>
        </w:tc>
        <w:tc>
          <w:tcPr>
            <w:tcW w:type="dxa" w:w="31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Evidence from real students across a semester</w:t>
            </w:r>
          </w:p>
        </w:tc>
        <w:tc>
          <w:tcPr>
            <w:tcW w:type="dxa" w:w="42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Extend to selected courses; measure usage and accessibility outcomes with the accessibility office</w:t>
            </w:r>
          </w:p>
        </w:tc>
      </w:tr>
      <w:tr>
        <w:trPr>
          <w:cantSplit/>
          <w:tblHeader w:val="false"/>
        </w:trPr>
        <w:tc>
          <w:tcPr>
            <w:tcW w:type="dxa" w:w="17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Then — institution</w:t>
            </w:r>
          </w:p>
        </w:tc>
        <w:tc>
          <w:tcPr>
            <w:tcW w:type="dxa" w:w="31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Convert to an institutional deployment</w:t>
            </w:r>
          </w:p>
        </w:tc>
        <w:tc>
          <w:tcPr>
            <w:tcW w:type="dxa" w:w="42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Present measured results to the college; accessibility duty plus demonstrated cost per lecture is the argument</w:t>
            </w:r>
          </w:p>
        </w:tc>
      </w:tr>
      <w:tr>
        <w:trPr>
          <w:cantSplit/>
          <w:tblHeader w:val="false"/>
        </w:trPr>
        <w:tc>
          <w:tcPr>
            <w:tcW w:type="dxa" w:w="17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Then — sector</w:t>
            </w:r>
          </w:p>
        </w:tc>
        <w:tc>
          <w:tcPr>
            <w:tcW w:type="dxa" w:w="31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Replicate at other institutions</w:t>
            </w:r>
          </w:p>
        </w:tc>
        <w:tc>
          <w:tcPr>
            <w:tcW w:type="dxa" w:w="42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Target Panopto institutions first, where integration already exists; Bekol and accessibility coordinators are the route in</w:t>
            </w:r>
          </w:p>
        </w:tc>
      </w:tr>
    </w:tbl>
    <w:p>
      <w:r>
        <w:br w:type="page"/>
      </w:r>
    </w:p>
    <w:p>
      <w:pPr>
        <w:pStyle w:val="Heading1"/>
        <w:spacing w:after="170" w:before="360"/>
      </w:pPr>
      <w:r>
        <w:rPr>
          <w:b/>
          <w:bCs/>
          <w:color w:val="0E5E52"/>
          <w:sz w:val="28"/>
          <w:szCs w:val="28"/>
        </w:rPr>
        <w:t xml:space="preserve">8. Team and Responsibilities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6F1ED" w:color="auto" w:val="clear"/>
            <w:tcMar>
              <w:top w:type="dxa" w:w="90"/>
              <w:left w:type="dxa" w:w="130"/>
              <w:bottom w:type="dxa" w:w="90"/>
              <w:right w:type="dxa" w:w="130"/>
            </w:tcMar>
          </w:tcPr>
          <w:p>
            <w:pPr>
              <w:spacing w:after="0" w:line="264"/>
            </w:pPr>
            <w:r>
              <w:rPr>
                <w:b/>
                <w:bCs/>
                <w:color w:val="0E5E52"/>
                <w:sz w:val="20"/>
                <w:szCs w:val="20"/>
              </w:rPr>
              <w:t xml:space="preserve">Member</w:t>
            </w:r>
          </w:p>
        </w:tc>
        <w:tc>
          <w:tcPr>
            <w:tcW w:type="dxa" w:w="6400"/>
            <w:shd w:fill="E6F1ED" w:color="auto" w:val="clear"/>
            <w:tcMar>
              <w:top w:type="dxa" w:w="90"/>
              <w:left w:type="dxa" w:w="130"/>
              <w:bottom w:type="dxa" w:w="90"/>
              <w:right w:type="dxa" w:w="130"/>
            </w:tcMar>
          </w:tcPr>
          <w:p>
            <w:pPr>
              <w:spacing w:after="0" w:line="264"/>
            </w:pPr>
            <w:r>
              <w:rPr>
                <w:b/>
                <w:bCs/>
                <w:color w:val="0E5E52"/>
                <w:sz w:val="20"/>
                <w:szCs w:val="20"/>
              </w:rPr>
              <w:t xml:space="preserve">Role</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Adi Tapiro</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Co-founder</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Matan Gurfinkel</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Co-founder</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Dror Margalit</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Academic mentor — academic guidance and project supervision</w:t>
            </w:r>
          </w:p>
        </w:tc>
      </w:tr>
    </w:tbl>
    <w:p>
      <w:pPr>
        <w:spacing w:after="150"/>
      </w:pPr>
      <w:r>
        <w:t xml:space="preserve"/>
      </w:r>
    </w:p>
    <w:p>
      <w:pPr>
        <w:spacing w:after="160" w:line="300"/>
      </w:pPr>
      <w:r>
        <w:rPr>
          <w:color w:val="14181F"/>
          <w:sz w:val="22"/>
          <w:szCs w:val="22"/>
        </w:rPr>
        <w:t xml:space="preserve">Both founders are computer science students at The Academic College of Tel Aviv–Yaffo, and both worked on the whole project together. Responsibility is shared rather than divided: the areas below were held jointly, and every significant decision was made together.</w:t>
      </w:r>
    </w:p>
    <w:p>
      <w:pPr>
        <w:pStyle w:val="Heading2"/>
        <w:spacing w:after="120" w:before="240"/>
      </w:pPr>
      <w:r>
        <w:rPr>
          <w:b/>
          <w:bCs/>
          <w:color w:val="14181F"/>
          <w:sz w:val="23"/>
          <w:szCs w:val="23"/>
        </w:rPr>
        <w:t xml:space="preserve">Scope of responsibility</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cantSplit/>
          <w:tblHeader/>
        </w:trPr>
        <w:tc>
          <w:tcPr>
            <w:tcW w:type="dxa" w:w="2600"/>
            <w:shd w:fill="E6F1ED" w:color="auto" w:val="clear"/>
            <w:tcMar>
              <w:top w:type="dxa" w:w="90"/>
              <w:left w:type="dxa" w:w="130"/>
              <w:bottom w:type="dxa" w:w="90"/>
              <w:right w:type="dxa" w:w="130"/>
            </w:tcMar>
          </w:tcPr>
          <w:p>
            <w:pPr>
              <w:spacing w:after="0" w:line="264"/>
            </w:pPr>
            <w:r>
              <w:rPr>
                <w:b/>
                <w:bCs/>
                <w:color w:val="0E5E52"/>
                <w:sz w:val="20"/>
                <w:szCs w:val="20"/>
              </w:rPr>
              <w:t xml:space="preserve">Area</w:t>
            </w:r>
          </w:p>
        </w:tc>
        <w:tc>
          <w:tcPr>
            <w:tcW w:type="dxa" w:w="6400"/>
            <w:shd w:fill="E6F1ED" w:color="auto" w:val="clear"/>
            <w:tcMar>
              <w:top w:type="dxa" w:w="90"/>
              <w:left w:type="dxa" w:w="130"/>
              <w:bottom w:type="dxa" w:w="90"/>
              <w:right w:type="dxa" w:w="130"/>
            </w:tcMar>
          </w:tcPr>
          <w:p>
            <w:pPr>
              <w:spacing w:after="0" w:line="264"/>
            </w:pPr>
            <w:r>
              <w:rPr>
                <w:b/>
                <w:bCs/>
                <w:color w:val="0E5E52"/>
                <w:sz w:val="20"/>
                <w:szCs w:val="20"/>
              </w:rPr>
              <w:t xml:space="preserve">What it covered</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Product and accessibility</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Requirements drawn from the primary user’s own experience; Hebrew and right-to-left interface; caption behaviour; export formats</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Processing pipeline</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Audio boosting and normalisation, transcription with word-level timing, generation of summaries and flashcards</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AI and validation</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Prompt design, the four-agent grounding layer, and mathematical typesetting</w:t>
            </w:r>
          </w:p>
        </w:tc>
      </w:tr>
      <w:tr>
        <w:trPr>
          <w:cantSplit/>
          <w:tblHeader w:val="false"/>
        </w:trPr>
        <w:tc>
          <w:tcPr>
            <w:tcW w:type="dxa" w:w="26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Panopto integration</w:t>
            </w:r>
          </w:p>
        </w:tc>
        <w:tc>
          <w:tcPr>
            <w:tcW w:type="dxa" w:w="6400"/>
            <w:shd w:fill="F7F9F8" w:color="auto" w:val="clear"/>
            <w:tcMar>
              <w:top w:type="dxa" w:w="90"/>
              <w:left w:type="dxa" w:w="130"/>
              <w:bottom w:type="dxa" w:w="90"/>
              <w:right w:type="dxa" w:w="130"/>
            </w:tcMar>
          </w:tcPr>
          <w:p>
            <w:pPr>
              <w:spacing w:after="0" w:line="264"/>
            </w:pPr>
            <w:r>
              <w:rPr>
                <w:b w:val="false"/>
                <w:bCs w:val="false"/>
                <w:color w:val="14181F"/>
                <w:sz w:val="20"/>
                <w:szCs w:val="20"/>
              </w:rPr>
              <w:t xml:space="preserve">Authentication, automatic detection of new recordings, and writing captions back onto the source session</w:t>
            </w:r>
          </w:p>
        </w:tc>
      </w:tr>
      <w:tr>
        <w:trPr>
          <w:cantSplit/>
          <w:tblHeader w:val="false"/>
        </w:trPr>
        <w:tc>
          <w:tcPr>
            <w:tcW w:type="dxa" w:w="26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Infrastructure and testing</w:t>
            </w:r>
          </w:p>
        </w:tc>
        <w:tc>
          <w:tcPr>
            <w:tcW w:type="dxa" w:w="6400"/>
            <w:shd w:fill="FFFFFF" w:color="auto" w:val="clear"/>
            <w:tcMar>
              <w:top w:type="dxa" w:w="90"/>
              <w:left w:type="dxa" w:w="130"/>
              <w:bottom w:type="dxa" w:w="90"/>
              <w:right w:type="dxa" w:w="130"/>
            </w:tcMar>
          </w:tcPr>
          <w:p>
            <w:pPr>
              <w:spacing w:after="0" w:line="264"/>
            </w:pPr>
            <w:r>
              <w:rPr>
                <w:b w:val="false"/>
                <w:bCs w:val="false"/>
                <w:color w:val="14181F"/>
                <w:sz w:val="20"/>
                <w:szCs w:val="20"/>
              </w:rPr>
              <w:t xml:space="preserve">Serverless deployment, database, scheduling, and the automated regression suite</w:t>
            </w:r>
          </w:p>
        </w:tc>
      </w:tr>
    </w:tbl>
    <w:p>
      <w:pPr>
        <w:spacing w:after="150"/>
      </w:pPr>
      <w:r>
        <w:t xml:space="preserve"/>
      </w:r>
    </w:p>
    <w:p>
      <w:pPr>
        <w:spacing w:after="160" w:line="300"/>
      </w:pPr>
      <w:r>
        <w:rPr>
          <w:color w:val="14181F"/>
          <w:sz w:val="22"/>
          <w:szCs w:val="22"/>
        </w:rPr>
        <w:t xml:space="preserve">What keeps the project honest is that its primary user is on the team. Adi originated the concept and is the person the product is built for, which makes accessibility the requirement the work is measured against rather than a feature added to it.</w:t>
      </w:r>
    </w:p>
    <w:p>
      <w:pPr>
        <w:pBdr>
          <w:bottom w:val="single" w:color="CFCABF" w:sz="6"/>
        </w:pBdr>
        <w:spacing w:after="190" w:before="80"/>
      </w:pPr>
      <w:r>
        <w:t xml:space="preserve"/>
      </w:r>
    </w:p>
    <w:p>
      <w:pPr>
        <w:spacing w:after="160" w:line="300"/>
      </w:pPr>
      <w:r>
        <w:rPr>
          <w:i/>
          <w:iCs/>
          <w:color w:val="0E5E52"/>
          <w:sz w:val="22"/>
          <w:szCs w:val="22"/>
        </w:rPr>
        <w:t xml:space="preserve">We set out to solve for the hardest case — a student who cannot hear the lecture — and the result is a system that makes recorded lectures better for everyone. It is not a concept: it runs today, on the college’s own recordings, without anyone touching it.</w:t>
      </w:r>
    </w:p>
    <w:sectPr>
      <w:pgSz w:w="11906" w:h="16838" w:orient="portrait"/>
      <w:pgMar w:top="1080" w:right="1200" w:bottom="108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2026-09-03T17:53:51.452Z</dcterms:created>
  <dcterms:modified xsi:type="dcterms:W3CDTF">2026-09-03T17:53:51.452Z</dcterms:modified>
</cp:coreProperties>
</file>

<file path=docProps/custom.xml><?xml version="1.0" encoding="utf-8"?>
<Properties xmlns="http://schemas.openxmlformats.org/officeDocument/2006/custom-properties" xmlns:vt="http://schemas.openxmlformats.org/officeDocument/2006/docPropsVTypes"/>
</file>