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E5E52"/>
          <w:sz w:val="40"/>
          <w:szCs w:val="40"/>
        </w:rPr>
        <w:t xml:space="preserve">Executive Summary</w:t>
      </w:r>
    </w:p>
    <w:p>
      <w:pPr>
        <w:spacing w:after="120"/>
      </w:pPr>
      <w:r>
        <w:rPr>
          <w:b/>
          <w:bCs/>
          <w:color w:val="14181F"/>
          <w:sz w:val="30"/>
          <w:szCs w:val="30"/>
        </w:rPr>
        <w:t xml:space="preserve">Accessible Academic</w:t>
      </w:r>
    </w:p>
    <w:p>
      <w:pPr>
        <w:spacing w:after="140" w:line="276"/>
      </w:pPr>
      <w:r>
        <w:rPr>
          <w:i/>
          <w:iCs/>
          <w:color w:val="56606E"/>
          <w:sz w:val="21"/>
          <w:szCs w:val="21"/>
        </w:rPr>
        <w:t xml:space="preserve">Turning lecture recordings into accessible, verified study material — and delivering it back into the systems universities already use.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cantSplit/>
          <w:tblHeader/>
        </w:trPr>
        <w:tc>
          <w:tcPr>
            <w:tcW w:type="dxa" w:w="2250"/>
            <w:shd w:fill="E6F1ED" w:color="auto" w:val="clear"/>
            <w:tcMar>
              <w:top w:type="dxa" w:w="80"/>
              <w:left w:type="dxa" w:w="120"/>
              <w:bottom w:type="dxa" w:w="80"/>
              <w:right w:type="dxa" w:w="120"/>
            </w:tcMar>
          </w:tcPr>
          <w:p>
            <w:pPr>
              <w:spacing w:after="0" w:line="252"/>
            </w:pPr>
            <w:r>
              <w:rPr>
                <w:b/>
                <w:bCs/>
                <w:color w:val="0E5E52"/>
                <w:sz w:val="19"/>
                <w:szCs w:val="19"/>
              </w:rPr>
              <w:t xml:space="preserve">Team</w:t>
            </w:r>
          </w:p>
        </w:tc>
        <w:tc>
          <w:tcPr>
            <w:tcW w:type="dxa" w:w="2250"/>
            <w:shd w:fill="E6F1ED" w:color="auto" w:val="clear"/>
            <w:tcMar>
              <w:top w:type="dxa" w:w="80"/>
              <w:left w:type="dxa" w:w="120"/>
              <w:bottom w:type="dxa" w:w="80"/>
              <w:right w:type="dxa" w:w="120"/>
            </w:tcMar>
          </w:tcPr>
          <w:p>
            <w:pPr>
              <w:spacing w:after="0" w:line="252"/>
            </w:pPr>
            <w:r>
              <w:rPr>
                <w:b/>
                <w:bCs/>
                <w:color w:val="0E5E52"/>
                <w:sz w:val="19"/>
                <w:szCs w:val="19"/>
              </w:rPr>
              <w:t xml:space="preserve">Academic Mentor</w:t>
            </w:r>
          </w:p>
        </w:tc>
        <w:tc>
          <w:tcPr>
            <w:tcW w:type="dxa" w:w="2250"/>
            <w:shd w:fill="E6F1ED" w:color="auto" w:val="clear"/>
            <w:tcMar>
              <w:top w:type="dxa" w:w="80"/>
              <w:left w:type="dxa" w:w="120"/>
              <w:bottom w:type="dxa" w:w="80"/>
              <w:right w:type="dxa" w:w="120"/>
            </w:tcMar>
          </w:tcPr>
          <w:p>
            <w:pPr>
              <w:spacing w:after="0" w:line="252"/>
            </w:pPr>
            <w:r>
              <w:rPr>
                <w:b/>
                <w:bCs/>
                <w:color w:val="0E5E52"/>
                <w:sz w:val="19"/>
                <w:szCs w:val="19"/>
              </w:rPr>
              <w:t xml:space="preserve">Project No.</w:t>
            </w:r>
          </w:p>
        </w:tc>
        <w:tc>
          <w:tcPr>
            <w:tcW w:type="dxa" w:w="2250"/>
            <w:shd w:fill="E6F1ED" w:color="auto" w:val="clear"/>
            <w:tcMar>
              <w:top w:type="dxa" w:w="80"/>
              <w:left w:type="dxa" w:w="120"/>
              <w:bottom w:type="dxa" w:w="80"/>
              <w:right w:type="dxa" w:w="120"/>
            </w:tcMar>
          </w:tcPr>
          <w:p>
            <w:pPr>
              <w:spacing w:after="0" w:line="252"/>
            </w:pPr>
            <w:r>
              <w:rPr>
                <w:b/>
                <w:bCs/>
                <w:color w:val="0E5E52"/>
                <w:sz w:val="19"/>
                <w:szCs w:val="19"/>
              </w:rPr>
              <w:t xml:space="preserve">Date</w:t>
            </w:r>
          </w:p>
        </w:tc>
      </w:tr>
      <w:tr>
        <w:trPr>
          <w:cantSplit/>
          <w:tblHeader w:val="false"/>
        </w:trPr>
        <w:tc>
          <w:tcPr>
            <w:tcW w:type="dxa" w:w="225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Adi Tapiero · Matan Gurfinkel</w:t>
            </w:r>
          </w:p>
        </w:tc>
        <w:tc>
          <w:tcPr>
            <w:tcW w:type="dxa" w:w="225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Dror Margalit</w:t>
            </w:r>
          </w:p>
        </w:tc>
        <w:tc>
          <w:tcPr>
            <w:tcW w:type="dxa" w:w="225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15002930</w:t>
            </w:r>
          </w:p>
        </w:tc>
        <w:tc>
          <w:tcPr>
            <w:tcW w:type="dxa" w:w="225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September 2026</w:t>
            </w:r>
          </w:p>
        </w:tc>
      </w:tr>
    </w:tbl>
    <w:p>
      <w:pPr>
        <w:spacing w:after="60"/>
      </w:pPr>
      <w:r>
        <w:t xml:space="preserve"/>
      </w:r>
    </w:p>
    <w:p>
      <w:pPr>
        <w:spacing w:after="0" w:line="276"/>
      </w:pPr>
      <w:r>
        <w:rPr>
          <w:color w:val="56606E"/>
          <w:sz w:val="19"/>
          <w:szCs w:val="19"/>
        </w:rPr>
        <w:t xml:space="preserve">The Academic College of Tel Aviv–Yaffo · School of Computer Science · </w:t>
      </w:r>
      <w:r>
        <w:rPr>
          <w:b/>
          <w:bCs/>
          <w:color w:val="0E5E52"/>
          <w:sz w:val="19"/>
          <w:szCs w:val="19"/>
        </w:rPr>
        <w:t xml:space="preserve">Status: working pilot, running unattended in the college Panopto environment.</w:t>
      </w:r>
    </w:p>
    <w:p>
      <w:pPr>
        <w:pBdr>
          <w:bottom w:val="single" w:color="CFCABF" w:sz="6"/>
        </w:pBdr>
        <w:spacing w:after="160" w:before="60"/>
      </w:pPr>
      <w:r>
        <w:t xml:space="preserve"/>
      </w:r>
    </w:p>
    <w:p>
      <w:pPr>
        <w:pStyle w:val="Heading1"/>
        <w:spacing w:after="140" w:before="280"/>
      </w:pPr>
      <w:r>
        <w:rPr>
          <w:b/>
          <w:bCs/>
          <w:color w:val="0E5E52"/>
          <w:sz w:val="28"/>
          <w:szCs w:val="28"/>
        </w:rPr>
        <w:t xml:space="preserve">1. Overview</w:t>
      </w:r>
    </w:p>
    <w:p>
      <w:pPr>
        <w:spacing w:after="120" w:line="276"/>
      </w:pPr>
      <w:r>
        <w:rPr>
          <w:color w:val="14181F"/>
          <w:sz w:val="21"/>
          <w:szCs w:val="21"/>
        </w:rPr>
        <w:t xml:space="preserve">Accessible Academic converts ordinary lecture recordings into accessible, structured learning material: accurate Hebrew captions, topic summaries, and self-test flashcards — generated automatically and delivered back into the recording platform the institution already runs.</w:t>
      </w:r>
    </w:p>
    <w:p>
      <w:pPr>
        <w:spacing w:after="120" w:line="276"/>
      </w:pPr>
      <w:r>
        <w:rPr>
          <w:color w:val="14181F"/>
          <w:sz w:val="21"/>
          <w:szCs w:val="21"/>
        </w:rPr>
        <w:t xml:space="preserve">The distinction that matters is the last step. Comparable tools stop at producing a transcript in their own interface, leaving someone to move it. Our system closes the loop: a lecturer uploads to Panopto exactly as they always have, and a few minutes later that same recording carries our captions. No new habit, no new portal, no manual hand-off.</w:t>
      </w:r>
    </w:p>
    <w:p>
      <w:pPr>
        <w:spacing w:after="120" w:line="276"/>
      </w:pPr>
      <w:r>
        <w:rPr>
          <w:b/>
          <w:bCs/>
          <w:color w:val="14181F"/>
          <w:sz w:val="21"/>
          <w:szCs w:val="21"/>
        </w:rPr>
        <w:t xml:space="preserve">The pilot is live. </w:t>
      </w:r>
      <w:r>
        <w:rPr>
          <w:color w:val="14181F"/>
          <w:sz w:val="21"/>
          <w:szCs w:val="21"/>
        </w:rPr>
        <w:t xml:space="preserve">Recordings uploaded to the college Panopto environment have been detected, transcribed, and captioned end to end with no human involvement — verified three times, confirmed against Panopto’s own API rather than only our records. The integration is built in partnership with </w:t>
      </w:r>
      <w:r>
        <w:rPr>
          <w:b/>
          <w:bCs/>
          <w:color w:val="14181F"/>
          <w:sz w:val="21"/>
          <w:szCs w:val="21"/>
        </w:rPr>
        <w:t xml:space="preserve">Bekol</w:t>
      </w:r>
      <w:r>
        <w:rPr>
          <w:color w:val="14181F"/>
          <w:sz w:val="21"/>
          <w:szCs w:val="21"/>
        </w:rPr>
        <w:t xml:space="preserve">, Israel’s organisation for people with hearing loss.</w:t>
      </w:r>
    </w:p>
    <w:p>
      <w:pPr>
        <w:pStyle w:val="Heading1"/>
        <w:spacing w:after="140" w:before="280"/>
      </w:pPr>
      <w:r>
        <w:rPr>
          <w:b/>
          <w:bCs/>
          <w:color w:val="0E5E52"/>
          <w:sz w:val="28"/>
          <w:szCs w:val="28"/>
        </w:rPr>
        <w:t xml:space="preserve">2. The Problem, the Users, and How We Validated the Need</w:t>
      </w:r>
    </w:p>
    <w:p>
      <w:pPr>
        <w:pStyle w:val="Heading2"/>
        <w:spacing w:after="100" w:before="180"/>
      </w:pPr>
      <w:r>
        <w:rPr>
          <w:b/>
          <w:bCs/>
          <w:color w:val="14181F"/>
          <w:sz w:val="22"/>
          <w:szCs w:val="22"/>
        </w:rPr>
        <w:t xml:space="preserve">The problem</w:t>
      </w:r>
    </w:p>
    <w:p>
      <w:pPr>
        <w:spacing w:after="120" w:line="276"/>
      </w:pPr>
      <w:r>
        <w:rPr>
          <w:color w:val="14181F"/>
          <w:sz w:val="21"/>
          <w:szCs w:val="21"/>
        </w:rPr>
        <w:t xml:space="preserve">Recorded lectures are now a primary study resource. For a student who is deaf or hard of hearing, a recording without accurate synchronised captions is not a resource at all — it is a locked door. Three failures compound:</w:t>
      </w:r>
    </w:p>
    <w:p>
      <w:pPr>
        <w:pStyle w:val="ListParagraph"/>
        <w:numPr>
          <w:ilvl w:val="0"/>
          <w:numId w:val="2"/>
        </w:numPr>
        <w:spacing w:after="80" w:line="276"/>
      </w:pPr>
      <w:r>
        <w:rPr>
          <w:b/>
          <w:bCs/>
          <w:color w:val="14181F"/>
          <w:sz w:val="21"/>
          <w:szCs w:val="21"/>
        </w:rPr>
        <w:t xml:space="preserve">Hebrew academic captioning is weak. </w:t>
      </w:r>
      <w:r>
        <w:rPr>
          <w:color w:val="14181F"/>
          <w:sz w:val="21"/>
          <w:szCs w:val="21"/>
        </w:rPr>
        <w:t xml:space="preserve">Generic engines mishandle technical vocabulary and mathematical language. In our own measurement, Panopto rendered the algorithms term “vertex cover” as “Jerusalem police.”</w:t>
      </w:r>
    </w:p>
    <w:p>
      <w:pPr>
        <w:pStyle w:val="ListParagraph"/>
        <w:numPr>
          <w:ilvl w:val="0"/>
          <w:numId w:val="2"/>
        </w:numPr>
        <w:spacing w:after="80" w:line="276"/>
      </w:pPr>
      <w:r>
        <w:rPr>
          <w:b/>
          <w:bCs/>
          <w:color w:val="14181F"/>
          <w:sz w:val="21"/>
          <w:szCs w:val="21"/>
        </w:rPr>
        <w:t xml:space="preserve">Lecture-hall audio is poor. </w:t>
      </w:r>
      <w:r>
        <w:rPr>
          <w:color w:val="14181F"/>
          <w:sz w:val="21"/>
          <w:szCs w:val="21"/>
        </w:rPr>
        <w:t xml:space="preserve">Distance from the microphone, room acoustics, and low recording levels degrade the input before any engine sees it — so the transcription problem often starts as an audio problem.</w:t>
      </w:r>
    </w:p>
    <w:p>
      <w:pPr>
        <w:pStyle w:val="ListParagraph"/>
        <w:numPr>
          <w:ilvl w:val="0"/>
          <w:numId w:val="2"/>
        </w:numPr>
        <w:spacing w:after="80" w:line="276"/>
      </w:pPr>
      <w:r>
        <w:rPr>
          <w:b/>
          <w:bCs/>
          <w:color w:val="14181F"/>
          <w:sz w:val="21"/>
          <w:szCs w:val="21"/>
        </w:rPr>
        <w:t xml:space="preserve">Volume without structure. </w:t>
      </w:r>
      <w:r>
        <w:rPr>
          <w:color w:val="14181F"/>
          <w:sz w:val="21"/>
          <w:szCs w:val="21"/>
        </w:rPr>
        <w:t xml:space="preserve">Even with a transcript, students re-watch hours of video to locate a single explanation.</w:t>
      </w:r>
    </w:p>
    <w:p>
      <w:pPr>
        <w:pStyle w:val="Heading2"/>
        <w:spacing w:after="100" w:before="180"/>
      </w:pPr>
      <w:r>
        <w:rPr>
          <w:b/>
          <w:bCs/>
          <w:color w:val="14181F"/>
          <w:sz w:val="22"/>
          <w:szCs w:val="22"/>
        </w:rPr>
        <w:t xml:space="preserve">Who this is for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cantSplit/>
          <w:tblHeader/>
        </w:trPr>
        <w:tc>
          <w:tcPr>
            <w:tcW w:type="dxa" w:w="2500"/>
            <w:shd w:fill="E6F1ED" w:color="auto" w:val="clear"/>
            <w:tcMar>
              <w:top w:type="dxa" w:w="80"/>
              <w:left w:type="dxa" w:w="120"/>
              <w:bottom w:type="dxa" w:w="80"/>
              <w:right w:type="dxa" w:w="120"/>
            </w:tcMar>
          </w:tcPr>
          <w:p>
            <w:pPr>
              <w:spacing w:after="0" w:line="252"/>
            </w:pPr>
            <w:r>
              <w:rPr>
                <w:b/>
                <w:bCs/>
                <w:color w:val="0E5E52"/>
                <w:sz w:val="19"/>
                <w:szCs w:val="19"/>
              </w:rPr>
              <w:t xml:space="preserve">Segment</w:t>
            </w:r>
          </w:p>
        </w:tc>
        <w:tc>
          <w:tcPr>
            <w:tcW w:type="dxa" w:w="6500"/>
            <w:shd w:fill="E6F1ED" w:color="auto" w:val="clear"/>
            <w:tcMar>
              <w:top w:type="dxa" w:w="80"/>
              <w:left w:type="dxa" w:w="120"/>
              <w:bottom w:type="dxa" w:w="80"/>
              <w:right w:type="dxa" w:w="120"/>
            </w:tcMar>
          </w:tcPr>
          <w:p>
            <w:pPr>
              <w:spacing w:after="0" w:line="252"/>
            </w:pPr>
            <w:r>
              <w:rPr>
                <w:b/>
                <w:bCs/>
                <w:color w:val="0E5E52"/>
                <w:sz w:val="19"/>
                <w:szCs w:val="19"/>
              </w:rPr>
              <w:t xml:space="preserve">Why they need it</w:t>
            </w:r>
          </w:p>
        </w:tc>
      </w:tr>
      <w:tr>
        <w:trPr>
          <w:cantSplit/>
          <w:tblHeader w:val="false"/>
        </w:trPr>
        <w:tc>
          <w:tcPr>
            <w:tcW w:type="dxa" w:w="25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Deaf and hard-of-hearing students</w:t>
            </w:r>
          </w:p>
        </w:tc>
        <w:tc>
          <w:tcPr>
            <w:tcW w:type="dxa" w:w="65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Primary users. Without accurate captions the recording is inaccessible — this is access, not convenience.</w:t>
            </w:r>
          </w:p>
        </w:tc>
      </w:tr>
      <w:tr>
        <w:trPr>
          <w:cantSplit/>
          <w:tblHeader w:val="false"/>
        </w:trPr>
        <w:tc>
          <w:tcPr>
            <w:tcW w:type="dxa" w:w="25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Students with ADHD or learning differences</w:t>
            </w:r>
          </w:p>
        </w:tc>
        <w:tc>
          <w:tcPr>
            <w:tcW w:type="dxa" w:w="65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Searchable text and structured summaries are far more usable than linear video.</w:t>
            </w:r>
          </w:p>
        </w:tc>
      </w:tr>
      <w:tr>
        <w:trPr>
          <w:cantSplit/>
          <w:tblHeader w:val="false"/>
        </w:trPr>
        <w:tc>
          <w:tcPr>
            <w:tcW w:type="dxa" w:w="25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All students</w:t>
            </w:r>
          </w:p>
        </w:tc>
        <w:tc>
          <w:tcPr>
            <w:tcW w:type="dxa" w:w="65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Search within a lecture, revise from summaries, self-test with flashcards.</w:t>
            </w:r>
          </w:p>
        </w:tc>
      </w:tr>
      <w:tr>
        <w:trPr>
          <w:cantSplit/>
          <w:tblHeader w:val="false"/>
        </w:trPr>
        <w:tc>
          <w:tcPr>
            <w:tcW w:type="dxa" w:w="25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The institution (the buyer)</w:t>
            </w:r>
          </w:p>
        </w:tc>
        <w:tc>
          <w:tcPr>
            <w:tcW w:type="dxa" w:w="65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Holds the legal accessibility obligation, the budget, and the recording platform.</w:t>
            </w:r>
          </w:p>
        </w:tc>
      </w:tr>
    </w:tbl>
    <w:p>
      <w:pPr>
        <w:spacing w:after="100"/>
      </w:pPr>
      <w:r>
        <w:t xml:space="preserve"/>
      </w:r>
    </w:p>
    <w:p>
      <w:pPr>
        <w:pStyle w:val="Heading2"/>
        <w:spacing w:after="100" w:before="180"/>
      </w:pPr>
      <w:r>
        <w:rPr>
          <w:b/>
          <w:bCs/>
          <w:color w:val="14181F"/>
          <w:sz w:val="22"/>
          <w:szCs w:val="22"/>
        </w:rPr>
        <w:t xml:space="preserve">How we validated the need</w:t>
      </w:r>
    </w:p>
    <w:p>
      <w:pPr>
        <w:pStyle w:val="ListParagraph"/>
        <w:numPr>
          <w:ilvl w:val="0"/>
          <w:numId w:val="2"/>
        </w:numPr>
        <w:spacing w:after="80" w:line="276"/>
      </w:pPr>
      <w:r>
        <w:rPr>
          <w:b/>
          <w:bCs/>
          <w:color w:val="14181F"/>
          <w:sz w:val="21"/>
          <w:szCs w:val="21"/>
        </w:rPr>
        <w:t xml:space="preserve">A documented lived need. </w:t>
      </w:r>
      <w:r>
        <w:rPr>
          <w:color w:val="14181F"/>
          <w:sz w:val="21"/>
          <w:szCs w:val="21"/>
        </w:rPr>
        <w:t xml:space="preserve">Adi Tapiro, one of the two founders, is a hearing-impaired computer science student. The requirement was not inferred from a survey — it was lived for three years.</w:t>
      </w:r>
    </w:p>
    <w:p>
      <w:pPr>
        <w:pStyle w:val="ListParagraph"/>
        <w:numPr>
          <w:ilvl w:val="0"/>
          <w:numId w:val="2"/>
        </w:numPr>
        <w:spacing w:after="80" w:line="276"/>
      </w:pPr>
      <w:r>
        <w:rPr>
          <w:b/>
          <w:bCs/>
          <w:color w:val="14181F"/>
          <w:sz w:val="21"/>
          <w:szCs w:val="21"/>
        </w:rPr>
        <w:t xml:space="preserve">A measured comparison against the incumbent. </w:t>
      </w:r>
      <w:r>
        <w:rPr>
          <w:color w:val="14181F"/>
          <w:sz w:val="21"/>
          <w:szCs w:val="21"/>
        </w:rPr>
        <w:t xml:space="preserve">We evaluated the system the college uses today, head to head, on a real 2-hour-13-minute algorithms lecture. Methodology and results are in Section 4.</w:t>
      </w:r>
    </w:p>
    <w:p>
      <w:pPr>
        <w:pStyle w:val="ListParagraph"/>
        <w:numPr>
          <w:ilvl w:val="0"/>
          <w:numId w:val="2"/>
        </w:numPr>
        <w:spacing w:after="80" w:line="276"/>
      </w:pPr>
      <w:r>
        <w:rPr>
          <w:b/>
          <w:bCs/>
          <w:color w:val="14181F"/>
          <w:sz w:val="21"/>
          <w:szCs w:val="21"/>
        </w:rPr>
        <w:t xml:space="preserve">An institutional partner. </w:t>
      </w:r>
      <w:r>
        <w:rPr>
          <w:color w:val="14181F"/>
          <w:sz w:val="21"/>
          <w:szCs w:val="21"/>
        </w:rPr>
        <w:t xml:space="preserve">Bekol joined the pilot, giving access to the community the product is built for.</w:t>
      </w:r>
    </w:p>
    <w:p>
      <w:pPr>
        <w:pStyle w:val="ListParagraph"/>
        <w:numPr>
          <w:ilvl w:val="0"/>
          <w:numId w:val="2"/>
        </w:numPr>
        <w:spacing w:after="80" w:line="276"/>
      </w:pPr>
      <w:r>
        <w:rPr>
          <w:b/>
          <w:bCs/>
          <w:color w:val="14181F"/>
          <w:sz w:val="21"/>
          <w:szCs w:val="21"/>
        </w:rPr>
        <w:t xml:space="preserve">A working deployment. </w:t>
      </w:r>
      <w:r>
        <w:rPr>
          <w:color w:val="14181F"/>
          <w:sz w:val="21"/>
          <w:szCs w:val="21"/>
        </w:rPr>
        <w:t xml:space="preserve">The pipeline runs unattended against the college environment — the strongest validation available at this stage: the institution’s own recordings, processed automatically.</w:t>
      </w:r>
    </w:p>
    <w:p>
      <w:pPr>
        <w:pStyle w:val="Heading1"/>
        <w:spacing w:after="140" w:before="280"/>
      </w:pPr>
      <w:r>
        <w:rPr>
          <w:b/>
          <w:bCs/>
          <w:color w:val="0E5E52"/>
          <w:sz w:val="28"/>
          <w:szCs w:val="28"/>
        </w:rPr>
        <w:t xml:space="preserve">3. The Product and the Value It Delivers</w:t>
      </w:r>
    </w:p>
    <w:p>
      <w:pPr>
        <w:spacing w:after="120" w:line="276"/>
      </w:pPr>
      <w:r>
        <w:rPr>
          <w:color w:val="14181F"/>
          <w:sz w:val="21"/>
          <w:szCs w:val="21"/>
        </w:rPr>
        <w:t xml:space="preserve">A recording enters the pipeline and comes out as four artefacts: synchronised Hebrew captions, a searchable transcript, topic summaries with properly typeset mathematics, and flashcards for self-testing. Everything is exportable to PDF, Word, SRT, and VTT.</w:t>
      </w:r>
    </w:p>
    <w:p>
      <w:pPr>
        <w:pStyle w:val="Heading2"/>
        <w:spacing w:after="100" w:before="180"/>
      </w:pPr>
      <w:r>
        <w:rPr>
          <w:b/>
          <w:bCs/>
          <w:color w:val="14181F"/>
          <w:sz w:val="22"/>
          <w:szCs w:val="22"/>
        </w:rPr>
        <w:t xml:space="preserve">How it works</w:t>
      </w:r>
    </w:p>
    <w:p>
      <w:pPr>
        <w:pStyle w:val="ListParagraph"/>
        <w:numPr>
          <w:ilvl w:val="0"/>
          <w:numId w:val="2"/>
        </w:numPr>
        <w:spacing w:after="80" w:line="276"/>
      </w:pPr>
      <w:r>
        <w:rPr>
          <w:b/>
          <w:bCs/>
          <w:color w:val="14181F"/>
          <w:sz w:val="21"/>
          <w:szCs w:val="21"/>
        </w:rPr>
        <w:t xml:space="preserve">Detect — </w:t>
      </w:r>
      <w:r>
        <w:rPr>
          <w:color w:val="14181F"/>
          <w:sz w:val="21"/>
          <w:szCs w:val="21"/>
        </w:rPr>
        <w:t xml:space="preserve">a new recording in the monitored Panopto folder is picked up automatically, typically within two minutes.</w:t>
      </w:r>
    </w:p>
    <w:p>
      <w:pPr>
        <w:pStyle w:val="ListParagraph"/>
        <w:numPr>
          <w:ilvl w:val="0"/>
          <w:numId w:val="2"/>
        </w:numPr>
        <w:spacing w:after="80" w:line="276"/>
      </w:pPr>
      <w:r>
        <w:rPr>
          <w:b/>
          <w:bCs/>
          <w:color w:val="14181F"/>
          <w:sz w:val="21"/>
          <w:szCs w:val="21"/>
        </w:rPr>
        <w:t xml:space="preserve">Rescue the audio — </w:t>
      </w:r>
      <w:r>
        <w:rPr>
          <w:color w:val="14181F"/>
          <w:sz w:val="21"/>
          <w:szCs w:val="21"/>
        </w:rPr>
        <w:t xml:space="preserve">FFmpeg boosts and normalises levels before transcription, addressing the root cause rather than the symptom.</w:t>
      </w:r>
    </w:p>
    <w:p>
      <w:pPr>
        <w:pStyle w:val="ListParagraph"/>
        <w:numPr>
          <w:ilvl w:val="0"/>
          <w:numId w:val="2"/>
        </w:numPr>
        <w:spacing w:after="80" w:line="276"/>
      </w:pPr>
      <w:r>
        <w:rPr>
          <w:b/>
          <w:bCs/>
          <w:color w:val="14181F"/>
          <w:sz w:val="21"/>
          <w:szCs w:val="21"/>
        </w:rPr>
        <w:t xml:space="preserve">Transcribe — </w:t>
      </w:r>
      <w:r>
        <w:rPr>
          <w:color w:val="14181F"/>
          <w:sz w:val="21"/>
          <w:szCs w:val="21"/>
        </w:rPr>
        <w:t xml:space="preserve">Hebrew speech-to-text with word-level timing, which is what makes caption synchronisation exact.</w:t>
      </w:r>
    </w:p>
    <w:p>
      <w:pPr>
        <w:pStyle w:val="ListParagraph"/>
        <w:numPr>
          <w:ilvl w:val="0"/>
          <w:numId w:val="2"/>
        </w:numPr>
        <w:spacing w:after="80" w:line="276"/>
      </w:pPr>
      <w:r>
        <w:rPr>
          <w:b/>
          <w:bCs/>
          <w:color w:val="14181F"/>
          <w:sz w:val="21"/>
          <w:szCs w:val="21"/>
        </w:rPr>
        <w:t xml:space="preserve">Generate — </w:t>
      </w:r>
      <w:r>
        <w:rPr>
          <w:color w:val="14181F"/>
          <w:sz w:val="21"/>
          <w:szCs w:val="21"/>
        </w:rPr>
        <w:t xml:space="preserve">topics, summaries, and flashcards, with every mathematical expression written in LaTeX and rendered properly.</w:t>
      </w:r>
    </w:p>
    <w:p>
      <w:pPr>
        <w:pStyle w:val="ListParagraph"/>
        <w:numPr>
          <w:ilvl w:val="0"/>
          <w:numId w:val="2"/>
        </w:numPr>
        <w:spacing w:after="80" w:line="276"/>
      </w:pPr>
      <w:r>
        <w:rPr>
          <w:b/>
          <w:bCs/>
          <w:color w:val="14181F"/>
          <w:sz w:val="21"/>
          <w:szCs w:val="21"/>
        </w:rPr>
        <w:t xml:space="preserve">Verify — </w:t>
      </w:r>
      <w:r>
        <w:rPr>
          <w:color w:val="14181F"/>
          <w:sz w:val="21"/>
          <w:szCs w:val="21"/>
        </w:rPr>
        <w:t xml:space="preserve">a four-agent validation layer checks the generated material against the transcript (Section 4).</w:t>
      </w:r>
    </w:p>
    <w:p>
      <w:pPr>
        <w:pStyle w:val="ListParagraph"/>
        <w:numPr>
          <w:ilvl w:val="0"/>
          <w:numId w:val="2"/>
        </w:numPr>
        <w:spacing w:after="80" w:line="276"/>
      </w:pPr>
      <w:r>
        <w:rPr>
          <w:b/>
          <w:bCs/>
          <w:color w:val="14181F"/>
          <w:sz w:val="21"/>
          <w:szCs w:val="21"/>
        </w:rPr>
        <w:t xml:space="preserve">Deliver — </w:t>
      </w:r>
      <w:r>
        <w:rPr>
          <w:color w:val="14181F"/>
          <w:sz w:val="21"/>
          <w:szCs w:val="21"/>
        </w:rPr>
        <w:t xml:space="preserve">captions are pushed back onto the original Panopto session.</w:t>
      </w:r>
    </w:p>
    <w:p>
      <w:pPr>
        <w:spacing w:after="120" w:line="276"/>
      </w:pPr>
      <w:r>
        <w:rPr>
          <w:i/>
          <w:iCs/>
          <w:color w:val="56606E"/>
          <w:sz w:val="21"/>
          <w:szCs w:val="21"/>
        </w:rPr>
        <w:t xml:space="preserve">End to end: roughly two minutes to notice a new recording, then five to ten minutes to process a typical lecture.</w:t>
      </w:r>
    </w:p>
    <w:p>
      <w:pPr>
        <w:pStyle w:val="Heading2"/>
        <w:spacing w:after="100" w:before="180"/>
      </w:pPr>
      <w:r>
        <w:rPr>
          <w:b/>
          <w:bCs/>
          <w:color w:val="14181F"/>
          <w:sz w:val="22"/>
          <w:szCs w:val="22"/>
        </w:rPr>
        <w:t xml:space="preserve">Value by stakeholder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cantSplit/>
          <w:tblHeader/>
        </w:trPr>
        <w:tc>
          <w:tcPr>
            <w:tcW w:type="dxa" w:w="2200"/>
            <w:shd w:fill="E6F1ED" w:color="auto" w:val="clear"/>
            <w:tcMar>
              <w:top w:type="dxa" w:w="80"/>
              <w:left w:type="dxa" w:w="120"/>
              <w:bottom w:type="dxa" w:w="80"/>
              <w:right w:type="dxa" w:w="120"/>
            </w:tcMar>
          </w:tcPr>
          <w:p>
            <w:pPr>
              <w:spacing w:after="0" w:line="252"/>
            </w:pPr>
            <w:r>
              <w:rPr>
                <w:b/>
                <w:bCs/>
                <w:color w:val="0E5E52"/>
                <w:sz w:val="19"/>
                <w:szCs w:val="19"/>
              </w:rPr>
              <w:t xml:space="preserve">Stakeholder</w:t>
            </w:r>
          </w:p>
        </w:tc>
        <w:tc>
          <w:tcPr>
            <w:tcW w:type="dxa" w:w="6800"/>
            <w:shd w:fill="E6F1ED" w:color="auto" w:val="clear"/>
            <w:tcMar>
              <w:top w:type="dxa" w:w="80"/>
              <w:left w:type="dxa" w:w="120"/>
              <w:bottom w:type="dxa" w:w="80"/>
              <w:right w:type="dxa" w:w="120"/>
            </w:tcMar>
          </w:tcPr>
          <w:p>
            <w:pPr>
              <w:spacing w:after="0" w:line="252"/>
            </w:pPr>
            <w:r>
              <w:rPr>
                <w:b/>
                <w:bCs/>
                <w:color w:val="0E5E52"/>
                <w:sz w:val="19"/>
                <w:szCs w:val="19"/>
              </w:rPr>
              <w:t xml:space="preserve">Value</w:t>
            </w:r>
          </w:p>
        </w:tc>
      </w:tr>
      <w:tr>
        <w:trPr>
          <w:cantSplit/>
          <w:tblHeader w:val="false"/>
        </w:trPr>
        <w:tc>
          <w:tcPr>
            <w:tcW w:type="dxa" w:w="22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Student</w:t>
            </w:r>
          </w:p>
        </w:tc>
        <w:tc>
          <w:tcPr>
            <w:tcW w:type="dxa" w:w="68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Lectures become usable: accurate captions, searchable text, summaries and flashcards instead of hours of re-watching.</w:t>
            </w:r>
          </w:p>
        </w:tc>
      </w:tr>
      <w:tr>
        <w:trPr>
          <w:cantSplit/>
          <w:tblHeader w:val="false"/>
        </w:trPr>
        <w:tc>
          <w:tcPr>
            <w:tcW w:type="dxa" w:w="22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Lecturer</w:t>
            </w:r>
          </w:p>
        </w:tc>
        <w:tc>
          <w:tcPr>
            <w:tcW w:type="dxa" w:w="68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Nothing changes. Upload as usual; accessibility happens without their involvement.</w:t>
            </w:r>
          </w:p>
        </w:tc>
      </w:tr>
      <w:tr>
        <w:trPr>
          <w:cantSplit/>
          <w:tblHeader w:val="false"/>
        </w:trPr>
        <w:tc>
          <w:tcPr>
            <w:tcW w:type="dxa" w:w="22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Institution</w:t>
            </w:r>
          </w:p>
        </w:tc>
        <w:tc>
          <w:tcPr>
            <w:tcW w:type="dxa" w:w="68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Meets its accessibility obligation at automated cost, inside the platform it already owns — no migration, no retraining.</w:t>
            </w:r>
          </w:p>
        </w:tc>
      </w:tr>
    </w:tbl>
    <w:p>
      <w:pPr>
        <w:pStyle w:val="Heading1"/>
        <w:spacing w:after="140" w:before="280"/>
      </w:pPr>
      <w:r>
        <w:rPr>
          <w:b/>
          <w:bCs/>
          <w:color w:val="0E5E52"/>
          <w:sz w:val="28"/>
          <w:szCs w:val="28"/>
        </w:rPr>
        <w:t xml:space="preserve">4. Innovation and Key Advantages</w:t>
      </w:r>
    </w:p>
    <w:p>
      <w:pPr>
        <w:pStyle w:val="Heading2"/>
        <w:spacing w:after="100" w:before="180"/>
      </w:pPr>
      <w:r>
        <w:rPr>
          <w:b/>
          <w:bCs/>
          <w:color w:val="14181F"/>
          <w:sz w:val="22"/>
          <w:szCs w:val="22"/>
        </w:rPr>
        <w:t xml:space="preserve">4.1 Closing the loop into the institutional system</w:t>
      </w:r>
    </w:p>
    <w:p>
      <w:pPr>
        <w:spacing w:after="120" w:line="276"/>
      </w:pPr>
      <w:r>
        <w:rPr>
          <w:color w:val="14181F"/>
          <w:sz w:val="21"/>
          <w:szCs w:val="21"/>
        </w:rPr>
        <w:t xml:space="preserve">Most tools produce a transcript and stop, leaving a human to carry the result somewhere useful. We integrate bidirectionally with Panopto: pulling new recordings and writing captions back onto the same session. Adoption therefore costs the institution no behavioural change — the single largest barrier to accessibility tooling actually being used.</w:t>
      </w:r>
    </w:p>
    <w:p>
      <w:pPr>
        <w:pStyle w:val="Heading2"/>
        <w:spacing w:after="100" w:before="180"/>
      </w:pPr>
      <w:r>
        <w:rPr>
          <w:b/>
          <w:bCs/>
          <w:color w:val="14181F"/>
          <w:sz w:val="22"/>
          <w:szCs w:val="22"/>
        </w:rPr>
        <w:t xml:space="preserve">4.2 Measured accuracy, not asserted accuracy</w:t>
      </w:r>
    </w:p>
    <w:p>
      <w:pPr>
        <w:spacing w:after="120" w:line="276"/>
      </w:pPr>
      <w:r>
        <w:rPr>
          <w:color w:val="14181F"/>
          <w:sz w:val="21"/>
          <w:szCs w:val="21"/>
        </w:rPr>
        <w:t xml:space="preserve">We evaluated three engines on the same 2-hour-13-minute algorithms lecture: Panopto’s built-in captioning, OpenAI’s Whisper, and our pipeline. Because neither Panopto’s output nor ours is ground truth, scoring one against the other would prove nothing — so we generated an independent reference locally with Whisper large-v3-turbo, an engine architecturally unrelated to both systems under test, and time-aligned all transcripts to identical windows using word-level timings.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cantSplit/>
          <w:tblHeader/>
        </w:trPr>
        <w:tc>
          <w:tcPr>
            <w:tcW w:type="dxa" w:w="3000"/>
            <w:shd w:fill="E6F1ED" w:color="auto" w:val="clear"/>
            <w:tcMar>
              <w:top w:type="dxa" w:w="80"/>
              <w:left w:type="dxa" w:w="120"/>
              <w:bottom w:type="dxa" w:w="80"/>
              <w:right w:type="dxa" w:w="120"/>
            </w:tcMar>
          </w:tcPr>
          <w:p>
            <w:pPr>
              <w:spacing w:after="0" w:line="252"/>
            </w:pPr>
            <w:r>
              <w:rPr>
                <w:b/>
                <w:bCs/>
                <w:color w:val="0E5E52"/>
                <w:sz w:val="19"/>
                <w:szCs w:val="19"/>
              </w:rPr>
              <w:t xml:space="preserve">Word error rate vs. independent reference</w:t>
            </w:r>
          </w:p>
        </w:tc>
        <w:tc>
          <w:tcPr>
            <w:tcW w:type="dxa" w:w="3000"/>
            <w:shd w:fill="E6F1ED" w:color="auto" w:val="clear"/>
            <w:tcMar>
              <w:top w:type="dxa" w:w="80"/>
              <w:left w:type="dxa" w:w="120"/>
              <w:bottom w:type="dxa" w:w="80"/>
              <w:right w:type="dxa" w:w="120"/>
            </w:tcMar>
          </w:tcPr>
          <w:p>
            <w:pPr>
              <w:spacing w:after="0" w:line="252"/>
            </w:pPr>
            <w:r>
              <w:rPr>
                <w:b/>
                <w:bCs/>
                <w:color w:val="0E5E52"/>
                <w:sz w:val="19"/>
                <w:szCs w:val="19"/>
              </w:rPr>
              <w:t xml:space="preserve">Panopto</w:t>
            </w:r>
          </w:p>
        </w:tc>
        <w:tc>
          <w:tcPr>
            <w:tcW w:type="dxa" w:w="3000"/>
            <w:shd w:fill="E6F1ED" w:color="auto" w:val="clear"/>
            <w:tcMar>
              <w:top w:type="dxa" w:w="80"/>
              <w:left w:type="dxa" w:w="120"/>
              <w:bottom w:type="dxa" w:w="80"/>
              <w:right w:type="dxa" w:w="120"/>
            </w:tcMar>
          </w:tcPr>
          <w:p>
            <w:pPr>
              <w:spacing w:after="0" w:line="252"/>
            </w:pPr>
            <w:r>
              <w:rPr>
                <w:b/>
                <w:bCs/>
                <w:color w:val="0E5E52"/>
                <w:sz w:val="19"/>
                <w:szCs w:val="19"/>
              </w:rPr>
              <w:t xml:space="preserve">Accessible Academic</w:t>
            </w:r>
          </w:p>
        </w:tc>
      </w:tr>
      <w:tr>
        <w:trPr>
          <w:cantSplit/>
          <w:tblHeader w:val="false"/>
        </w:trPr>
        <w:tc>
          <w:tcPr>
            <w:tcW w:type="dxa" w:w="30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Mean across 10 sampled windows</w:t>
            </w:r>
          </w:p>
        </w:tc>
        <w:tc>
          <w:tcPr>
            <w:tcW w:type="dxa" w:w="30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35.7%</w:t>
            </w:r>
          </w:p>
        </w:tc>
        <w:tc>
          <w:tcPr>
            <w:tcW w:type="dxa" w:w="30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31.5%</w:t>
            </w:r>
          </w:p>
        </w:tc>
      </w:tr>
      <w:tr>
        <w:trPr>
          <w:cantSplit/>
          <w:tblHeader w:val="false"/>
        </w:trPr>
        <w:tc>
          <w:tcPr>
            <w:tcW w:type="dxa" w:w="30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Windows where the system was more accurate</w:t>
            </w:r>
          </w:p>
        </w:tc>
        <w:tc>
          <w:tcPr>
            <w:tcW w:type="dxa" w:w="30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1 of 10</w:t>
            </w:r>
          </w:p>
        </w:tc>
        <w:tc>
          <w:tcPr>
            <w:tcW w:type="dxa" w:w="30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8 of 10 (1 tied)</w:t>
            </w:r>
          </w:p>
        </w:tc>
      </w:tr>
    </w:tbl>
    <w:p>
      <w:pPr>
        <w:spacing w:after="100"/>
      </w:pPr>
      <w:r>
        <w:t xml:space="preserve"/>
      </w:r>
    </w:p>
    <w:p>
      <w:pPr>
        <w:spacing w:after="120" w:line="276"/>
      </w:pPr>
      <w:r>
        <w:rPr>
          <w:color w:val="56606E"/>
          <w:sz w:val="21"/>
          <w:szCs w:val="21"/>
        </w:rPr>
        <w:t xml:space="preserve">The reference is itself imperfect, which inflates both figures similarly — but it favours neither system, so the comparison holds. Beyond the averages, the failure modes differ in kind: where Panopto degrades it degrades badly, at one point emitting a sentence about “Jerusalem police” in place of a definition of vertex cover.</w:t>
      </w:r>
    </w:p>
    <w:p>
      <w:pPr>
        <w:pStyle w:val="Heading2"/>
        <w:spacing w:after="100" w:before="180"/>
      </w:pPr>
      <w:r>
        <w:rPr>
          <w:b/>
          <w:bCs/>
          <w:color w:val="14181F"/>
          <w:sz w:val="22"/>
          <w:szCs w:val="22"/>
        </w:rPr>
        <w:t xml:space="preserve">4.3 AI that cannot invent</w:t>
      </w:r>
    </w:p>
    <w:p>
      <w:pPr>
        <w:spacing w:after="120" w:line="276"/>
      </w:pPr>
      <w:r>
        <w:rPr>
          <w:color w:val="14181F"/>
          <w:sz w:val="21"/>
          <w:szCs w:val="21"/>
        </w:rPr>
        <w:t xml:space="preserve">Generated study material carries a specific risk: a model that fills gaps with its own knowledge produces text that is plausible, often factually correct, and wrong for the purpose — because the student needs what the lecturer said, not what the model knows. Four agents address this. Three run in parallel, checking summaries, flashcards, and overall grounding against the transcript; a fourth rewrites or removes anything flagged. Content that is true in general but absent from the lecture is treated as ungrounded and removed.</w:t>
      </w:r>
    </w:p>
    <w:p>
      <w:pPr>
        <w:pStyle w:val="Heading2"/>
        <w:spacing w:after="100" w:before="180"/>
      </w:pPr>
      <w:r>
        <w:rPr>
          <w:b/>
          <w:bCs/>
          <w:color w:val="14181F"/>
          <w:sz w:val="22"/>
          <w:szCs w:val="22"/>
        </w:rPr>
        <w:t xml:space="preserve">4.4 Engineering built for unattended operation</w:t>
      </w:r>
    </w:p>
    <w:p>
      <w:pPr>
        <w:spacing w:after="120" w:line="276"/>
      </w:pPr>
      <w:r>
        <w:rPr>
          <w:color w:val="14181F"/>
          <w:sz w:val="21"/>
          <w:szCs w:val="21"/>
        </w:rPr>
        <w:t xml:space="preserve">A pilot that needs supervision is not a pilot. Several problems only appear once a system is left running, and each was found and addressed:</w:t>
      </w:r>
    </w:p>
    <w:p>
      <w:pPr>
        <w:pStyle w:val="ListParagraph"/>
        <w:numPr>
          <w:ilvl w:val="0"/>
          <w:numId w:val="2"/>
        </w:numPr>
        <w:spacing w:after="80" w:line="276"/>
      </w:pPr>
      <w:r>
        <w:rPr>
          <w:b/>
          <w:bCs/>
          <w:color w:val="14181F"/>
          <w:sz w:val="21"/>
          <w:szCs w:val="21"/>
        </w:rPr>
        <w:t xml:space="preserve">Panopto has no webhook for new recordings</w:t>
      </w:r>
      <w:r>
        <w:rPr>
          <w:color w:val="14181F"/>
          <w:sz w:val="21"/>
          <w:szCs w:val="21"/>
        </w:rPr>
        <w:t xml:space="preserve"> — a long-standing unshipped request on their side. We built reliable polling instead, and measured the scheduler we depend on rather than trusting it: over one week it delivered a median gap of 26 minutes against a requested 5. Each run therefore polls internally, holding detection at roughly two minutes.</w:t>
      </w:r>
    </w:p>
    <w:p>
      <w:pPr>
        <w:pStyle w:val="ListParagraph"/>
        <w:numPr>
          <w:ilvl w:val="0"/>
          <w:numId w:val="2"/>
        </w:numPr>
        <w:spacing w:after="80" w:line="276"/>
      </w:pPr>
      <w:r>
        <w:rPr>
          <w:b/>
          <w:bCs/>
          <w:color w:val="14181F"/>
          <w:sz w:val="21"/>
          <w:szCs w:val="21"/>
        </w:rPr>
        <w:t xml:space="preserve">The OAuth credential rotates on every use</w:t>
      </w:r>
      <w:r>
        <w:rPr>
          <w:color w:val="14181F"/>
          <w:sz w:val="21"/>
          <w:szCs w:val="21"/>
        </w:rPr>
        <w:t xml:space="preserve">, and every serverless invocation is a cold process — so a naive implementation rotates it dozens of times an hour and two overlapping requests can race, leaving one holding a dead credential. Tokens are cached and written with a compare-and-swap.</w:t>
      </w:r>
    </w:p>
    <w:p>
      <w:pPr>
        <w:pStyle w:val="ListParagraph"/>
        <w:numPr>
          <w:ilvl w:val="0"/>
          <w:numId w:val="2"/>
        </w:numPr>
        <w:spacing w:after="80" w:line="276"/>
      </w:pPr>
      <w:r>
        <w:rPr>
          <w:b/>
          <w:bCs/>
          <w:color w:val="14181F"/>
          <w:sz w:val="21"/>
          <w:szCs w:val="21"/>
        </w:rPr>
        <w:t xml:space="preserve">Work is claimed atomically before download</w:t>
      </w:r>
      <w:r>
        <w:rPr>
          <w:color w:val="14181F"/>
          <w:sz w:val="21"/>
          <w:szCs w:val="21"/>
        </w:rPr>
        <w:t xml:space="preserve">, so two concurrent pollers cannot transcribe — and bill for — the same recording twice.</w:t>
      </w:r>
    </w:p>
    <w:p>
      <w:pPr>
        <w:pStyle w:val="ListParagraph"/>
        <w:numPr>
          <w:ilvl w:val="0"/>
          <w:numId w:val="2"/>
        </w:numPr>
        <w:spacing w:after="80" w:line="276"/>
      </w:pPr>
      <w:r>
        <w:rPr>
          <w:b/>
          <w:bCs/>
          <w:color w:val="14181F"/>
          <w:sz w:val="21"/>
          <w:szCs w:val="21"/>
        </w:rPr>
        <w:t xml:space="preserve">Interrupted work recovers by itself. </w:t>
      </w:r>
      <w:r>
        <w:rPr>
          <w:color w:val="14181F"/>
          <w:sz w:val="21"/>
          <w:szCs w:val="21"/>
        </w:rPr>
        <w:t xml:space="preserve">A heartbeat distinguishes a long-running job from one whose process was killed, so nothing is silently abandoned; retries are bounded so a permanently broken recording cannot loop forever.</w:t>
      </w:r>
    </w:p>
    <w:p>
      <w:pPr>
        <w:spacing w:after="120" w:line="276"/>
      </w:pPr>
      <w:r>
        <w:rPr>
          <w:i/>
          <w:iCs/>
          <w:color w:val="56606E"/>
          <w:sz w:val="21"/>
          <w:szCs w:val="21"/>
        </w:rPr>
        <w:t xml:space="preserve">An 18-section regression suite covers these paths, each test written against a failure that actually occurred or that a systematic audit showed was reachable.</w:t>
      </w:r>
    </w:p>
    <w:p>
      <w:pPr>
        <w:pStyle w:val="Heading1"/>
        <w:spacing w:after="140" w:before="280"/>
      </w:pPr>
      <w:r>
        <w:rPr>
          <w:b/>
          <w:bCs/>
          <w:color w:val="0E5E52"/>
          <w:sz w:val="28"/>
          <w:szCs w:val="28"/>
        </w:rPr>
        <w:t xml:space="preserve">5. Competitors and Alternatives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50"/>
        <w:gridCol w:w="3350"/>
        <w:gridCol w:w="3300"/>
      </w:tblGrid>
      <w:tr>
        <w:trPr>
          <w:cantSplit/>
          <w:tblHeader/>
        </w:trPr>
        <w:tc>
          <w:tcPr>
            <w:tcW w:type="dxa" w:w="2350"/>
            <w:shd w:fill="E6F1ED" w:color="auto" w:val="clear"/>
            <w:tcMar>
              <w:top w:type="dxa" w:w="80"/>
              <w:left w:type="dxa" w:w="120"/>
              <w:bottom w:type="dxa" w:w="80"/>
              <w:right w:type="dxa" w:w="120"/>
            </w:tcMar>
          </w:tcPr>
          <w:p>
            <w:pPr>
              <w:spacing w:after="0" w:line="252"/>
            </w:pPr>
            <w:r>
              <w:rPr>
                <w:b/>
                <w:bCs/>
                <w:color w:val="0E5E52"/>
                <w:sz w:val="19"/>
                <w:szCs w:val="19"/>
              </w:rPr>
              <w:t xml:space="preserve">Alternative</w:t>
            </w:r>
          </w:p>
        </w:tc>
        <w:tc>
          <w:tcPr>
            <w:tcW w:type="dxa" w:w="3350"/>
            <w:shd w:fill="E6F1ED" w:color="auto" w:val="clear"/>
            <w:tcMar>
              <w:top w:type="dxa" w:w="80"/>
              <w:left w:type="dxa" w:w="120"/>
              <w:bottom w:type="dxa" w:w="80"/>
              <w:right w:type="dxa" w:w="120"/>
            </w:tcMar>
          </w:tcPr>
          <w:p>
            <w:pPr>
              <w:spacing w:after="0" w:line="252"/>
            </w:pPr>
            <w:r>
              <w:rPr>
                <w:b/>
                <w:bCs/>
                <w:color w:val="0E5E52"/>
                <w:sz w:val="19"/>
                <w:szCs w:val="19"/>
              </w:rPr>
              <w:t xml:space="preserve">What it does</w:t>
            </w:r>
          </w:p>
        </w:tc>
        <w:tc>
          <w:tcPr>
            <w:tcW w:type="dxa" w:w="3300"/>
            <w:shd w:fill="E6F1ED" w:color="auto" w:val="clear"/>
            <w:tcMar>
              <w:top w:type="dxa" w:w="80"/>
              <w:left w:type="dxa" w:w="120"/>
              <w:bottom w:type="dxa" w:w="80"/>
              <w:right w:type="dxa" w:w="120"/>
            </w:tcMar>
          </w:tcPr>
          <w:p>
            <w:pPr>
              <w:spacing w:after="0" w:line="252"/>
            </w:pPr>
            <w:r>
              <w:rPr>
                <w:b/>
                <w:bCs/>
                <w:color w:val="0E5E52"/>
                <w:sz w:val="19"/>
                <w:szCs w:val="19"/>
              </w:rPr>
              <w:t xml:space="preserve">Where it falls short for this use</w:t>
            </w:r>
          </w:p>
        </w:tc>
      </w:tr>
      <w:tr>
        <w:trPr>
          <w:cantSplit/>
          <w:tblHeader w:val="false"/>
        </w:trPr>
        <w:tc>
          <w:tcPr>
            <w:tcW w:type="dxa" w:w="235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Panopto built-in captions</w:t>
            </w:r>
          </w:p>
        </w:tc>
        <w:tc>
          <w:tcPr>
            <w:tcW w:type="dxa" w:w="335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Automatic captions inside the platform the college already uses</w:t>
            </w:r>
          </w:p>
        </w:tc>
        <w:tc>
          <w:tcPr>
            <w:tcW w:type="dxa" w:w="33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Weak on Hebrew academic and mathematical language — the gap we measured directly</w:t>
            </w:r>
          </w:p>
        </w:tc>
      </w:tr>
      <w:tr>
        <w:trPr>
          <w:cantSplit/>
          <w:tblHeader w:val="false"/>
        </w:trPr>
        <w:tc>
          <w:tcPr>
            <w:tcW w:type="dxa" w:w="235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YouTube auto-captions</w:t>
            </w:r>
          </w:p>
        </w:tc>
        <w:tc>
          <w:tcPr>
            <w:tcW w:type="dxa" w:w="335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Free automatic captions</w:t>
            </w:r>
          </w:p>
        </w:tc>
        <w:tc>
          <w:tcPr>
            <w:tcW w:type="dxa" w:w="33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Not built for academia, no institutional integration, weak Hebrew</w:t>
            </w:r>
          </w:p>
        </w:tc>
      </w:tr>
      <w:tr>
        <w:trPr>
          <w:cantSplit/>
          <w:tblHeader w:val="false"/>
        </w:trPr>
        <w:tc>
          <w:tcPr>
            <w:tcW w:type="dxa" w:w="235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Otter.ai, Fireflies</w:t>
            </w:r>
          </w:p>
        </w:tc>
        <w:tc>
          <w:tcPr>
            <w:tcW w:type="dxa" w:w="335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Strong meeting transcription and summarisation</w:t>
            </w:r>
          </w:p>
        </w:tc>
        <w:tc>
          <w:tcPr>
            <w:tcW w:type="dxa" w:w="33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Built for English business speech; Hebrew academic content and formulae are out of scope</w:t>
            </w:r>
          </w:p>
        </w:tc>
      </w:tr>
      <w:tr>
        <w:trPr>
          <w:cantSplit/>
          <w:tblHeader w:val="false"/>
        </w:trPr>
        <w:tc>
          <w:tcPr>
            <w:tcW w:type="dxa" w:w="235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Whisper alone</w:t>
            </w:r>
          </w:p>
        </w:tc>
        <w:tc>
          <w:tcPr>
            <w:tcW w:type="dxa" w:w="335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A capable open transcription engine</w:t>
            </w:r>
          </w:p>
        </w:tc>
        <w:tc>
          <w:tcPr>
            <w:tcW w:type="dxa" w:w="33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An engine, not a product: no audio pre-processing, no study material, no verification, no institutional delivery</w:t>
            </w:r>
          </w:p>
        </w:tc>
      </w:tr>
      <w:tr>
        <w:trPr>
          <w:cantSplit/>
          <w:tblHeader w:val="false"/>
        </w:trPr>
        <w:tc>
          <w:tcPr>
            <w:tcW w:type="dxa" w:w="235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Human transcription</w:t>
            </w:r>
          </w:p>
        </w:tc>
        <w:tc>
          <w:tcPr>
            <w:tcW w:type="dxa" w:w="335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The accuracy benchmark</w:t>
            </w:r>
          </w:p>
        </w:tc>
        <w:tc>
          <w:tcPr>
            <w:tcW w:type="dxa" w:w="33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Costly per hour and does not scale to a full semester of lectures</w:t>
            </w:r>
          </w:p>
        </w:tc>
      </w:tr>
    </w:tbl>
    <w:p>
      <w:pPr>
        <w:spacing w:after="100"/>
      </w:pPr>
      <w:r>
        <w:t xml:space="preserve"/>
      </w:r>
    </w:p>
    <w:p>
      <w:pPr>
        <w:spacing w:after="120" w:line="276"/>
      </w:pPr>
      <w:r>
        <w:rPr>
          <w:b/>
          <w:bCs/>
          <w:color w:val="14181F"/>
          <w:sz w:val="21"/>
          <w:szCs w:val="21"/>
        </w:rPr>
        <w:t xml:space="preserve">Our position: </w:t>
      </w:r>
      <w:r>
        <w:rPr>
          <w:color w:val="14181F"/>
          <w:sz w:val="21"/>
          <w:szCs w:val="21"/>
        </w:rPr>
        <w:t xml:space="preserve">we are not another transcription engine. We are the pipeline that connects a recording to the system an institution already runs — with audio rescue at the front, verification in the middle, and automatic delivery at the end. That combination is what none of the alternatives offer.</w:t>
      </w:r>
    </w:p>
    <w:p>
      <w:pPr>
        <w:pStyle w:val="Heading1"/>
        <w:spacing w:after="140" w:before="280"/>
      </w:pPr>
      <w:r>
        <w:rPr>
          <w:b/>
          <w:bCs/>
          <w:color w:val="0E5E52"/>
          <w:sz w:val="28"/>
          <w:szCs w:val="28"/>
        </w:rPr>
        <w:t xml:space="preserve">6. Target Market and Market Potential</w:t>
      </w:r>
    </w:p>
    <w:p>
      <w:pPr>
        <w:spacing w:after="120" w:line="276"/>
      </w:pPr>
      <w:r>
        <w:rPr>
          <w:color w:val="14181F"/>
          <w:sz w:val="21"/>
          <w:szCs w:val="21"/>
        </w:rPr>
        <w:t xml:space="preserve">The buyer is the institution, not the student. It holds the legal obligation, the budget, and the recording platform.</w:t>
      </w:r>
    </w:p>
    <w:p>
      <w:pPr>
        <w:pStyle w:val="Heading2"/>
        <w:spacing w:after="100" w:before="180"/>
      </w:pPr>
      <w:r>
        <w:rPr>
          <w:b/>
          <w:bCs/>
          <w:color w:val="14181F"/>
          <w:sz w:val="22"/>
          <w:szCs w:val="22"/>
        </w:rPr>
        <w:t xml:space="preserve">Market size</w:t>
      </w:r>
    </w:p>
    <w:p>
      <w:pPr>
        <w:pStyle w:val="ListParagraph"/>
        <w:numPr>
          <w:ilvl w:val="0"/>
          <w:numId w:val="2"/>
        </w:numPr>
        <w:spacing w:after="80" w:line="276"/>
      </w:pPr>
      <w:r>
        <w:rPr>
          <w:b/>
          <w:bCs/>
          <w:color w:val="14181F"/>
          <w:sz w:val="21"/>
          <w:szCs w:val="21"/>
        </w:rPr>
        <w:t xml:space="preserve">Israeli higher education comprises roughly 60 academic institutions serving more than 336,000 students</w:t>
      </w:r>
      <w:r>
        <w:rPr>
          <w:color w:val="14181F"/>
          <w:sz w:val="21"/>
          <w:szCs w:val="21"/>
        </w:rPr>
        <w:t xml:space="preserve"> (Council for Higher Education). Every one of them records lectures and every one carries the same accessibility duty.</w:t>
      </w:r>
    </w:p>
    <w:p>
      <w:pPr>
        <w:pStyle w:val="ListParagraph"/>
        <w:numPr>
          <w:ilvl w:val="0"/>
          <w:numId w:val="2"/>
        </w:numPr>
        <w:spacing w:after="80" w:line="276"/>
      </w:pPr>
      <w:r>
        <w:rPr>
          <w:b/>
          <w:bCs/>
          <w:color w:val="14181F"/>
          <w:sz w:val="21"/>
          <w:szCs w:val="21"/>
        </w:rPr>
        <w:t xml:space="preserve">Our immediate serviceable market is institutions running Panopto</w:t>
      </w:r>
      <w:r>
        <w:rPr>
          <w:color w:val="14181F"/>
          <w:sz w:val="21"/>
          <w:szCs w:val="21"/>
        </w:rPr>
        <w:t xml:space="preserve">, where integration is already built and deployment is configuration rather than development.</w:t>
      </w:r>
    </w:p>
    <w:p>
      <w:pPr>
        <w:pStyle w:val="ListParagraph"/>
        <w:numPr>
          <w:ilvl w:val="0"/>
          <w:numId w:val="2"/>
        </w:numPr>
        <w:spacing w:after="80" w:line="276"/>
      </w:pPr>
      <w:r>
        <w:rPr>
          <w:b/>
          <w:bCs/>
          <w:color w:val="14181F"/>
          <w:sz w:val="21"/>
          <w:szCs w:val="21"/>
        </w:rPr>
        <w:t xml:space="preserve">Each institution is a repeatable, multi-department deployment</w:t>
      </w:r>
      <w:r>
        <w:rPr>
          <w:color w:val="14181F"/>
          <w:sz w:val="21"/>
          <w:szCs w:val="21"/>
        </w:rPr>
        <w:t xml:space="preserve"> rather than a one-off sale — adoption grows course by course within an account.</w:t>
      </w:r>
    </w:p>
    <w:p>
      <w:pPr>
        <w:pStyle w:val="Heading2"/>
        <w:spacing w:after="100" w:before="180"/>
      </w:pPr>
      <w:r>
        <w:rPr>
          <w:b/>
          <w:bCs/>
          <w:color w:val="14181F"/>
          <w:sz w:val="22"/>
          <w:szCs w:val="22"/>
        </w:rPr>
        <w:t xml:space="preserve">What makes the market act</w:t>
      </w:r>
    </w:p>
    <w:p>
      <w:pPr>
        <w:spacing w:after="120" w:line="276"/>
      </w:pPr>
      <w:r>
        <w:rPr>
          <w:color w:val="14181F"/>
          <w:sz w:val="21"/>
          <w:szCs w:val="21"/>
        </w:rPr>
        <w:t xml:space="preserve">Accessibility in Israeli higher education is a legal duty, not goodwill. The Equal Rights for Persons with Disabilities Law (1998) and the 2016 regulations governing accessibility of higher-education services require institutions to make their services usable by students with disabilities, including accommodations in study. Recorded lectures fall squarely inside that duty, and the current alternatives are either inaccurate or manual and expensive.</w:t>
      </w:r>
    </w:p>
    <w:p>
      <w:pPr>
        <w:spacing w:after="120" w:line="276"/>
      </w:pPr>
      <w:r>
        <w:rPr>
          <w:b/>
          <w:bCs/>
          <w:color w:val="A3301B"/>
          <w:sz w:val="21"/>
          <w:szCs w:val="21"/>
        </w:rPr>
        <w:t xml:space="preserve">Not yet validated: </w:t>
      </w:r>
      <w:r>
        <w:rPr>
          <w:color w:val="56606E"/>
          <w:sz w:val="21"/>
          <w:szCs w:val="21"/>
        </w:rPr>
        <w:t xml:space="preserve">we have not yet established pricing, procurement cycle length, or willingness to pay. These require commercial conversations beyond the pilot and are the next validation step, not a claim we make here.</w:t>
      </w:r>
    </w:p>
    <w:p>
      <w:pPr>
        <w:pStyle w:val="Heading1"/>
        <w:spacing w:after="140" w:before="280"/>
      </w:pPr>
      <w:r>
        <w:rPr>
          <w:b/>
          <w:bCs/>
          <w:color w:val="0E5E52"/>
          <w:sz w:val="28"/>
          <w:szCs w:val="28"/>
        </w:rPr>
        <w:t xml:space="preserve">7. Go-to-Market Strategy</w:t>
      </w:r>
    </w:p>
    <w:p>
      <w:pPr>
        <w:spacing w:after="120" w:line="276"/>
      </w:pPr>
      <w:r>
        <w:rPr>
          <w:color w:val="14181F"/>
          <w:sz w:val="21"/>
          <w:szCs w:val="21"/>
        </w:rPr>
        <w:t xml:space="preserve">Land inside one institution, prove it on real recordings, then expand — first across departments, then across institutions running the same platform.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200"/>
      </w:tblGrid>
      <w:tr>
        <w:trPr>
          <w:cantSplit/>
          <w:tblHeader/>
        </w:trPr>
        <w:tc>
          <w:tcPr>
            <w:tcW w:type="dxa" w:w="1700"/>
            <w:shd w:fill="E6F1ED" w:color="auto" w:val="clear"/>
            <w:tcMar>
              <w:top w:type="dxa" w:w="80"/>
              <w:left w:type="dxa" w:w="120"/>
              <w:bottom w:type="dxa" w:w="80"/>
              <w:right w:type="dxa" w:w="120"/>
            </w:tcMar>
          </w:tcPr>
          <w:p>
            <w:pPr>
              <w:spacing w:after="0" w:line="252"/>
            </w:pPr>
            <w:r>
              <w:rPr>
                <w:b/>
                <w:bCs/>
                <w:color w:val="0E5E52"/>
                <w:sz w:val="19"/>
                <w:szCs w:val="19"/>
              </w:rPr>
              <w:t xml:space="preserve">Stage</w:t>
            </w:r>
          </w:p>
        </w:tc>
        <w:tc>
          <w:tcPr>
            <w:tcW w:type="dxa" w:w="3100"/>
            <w:shd w:fill="E6F1ED" w:color="auto" w:val="clear"/>
            <w:tcMar>
              <w:top w:type="dxa" w:w="80"/>
              <w:left w:type="dxa" w:w="120"/>
              <w:bottom w:type="dxa" w:w="80"/>
              <w:right w:type="dxa" w:w="120"/>
            </w:tcMar>
          </w:tcPr>
          <w:p>
            <w:pPr>
              <w:spacing w:after="0" w:line="252"/>
            </w:pPr>
            <w:r>
              <w:rPr>
                <w:b/>
                <w:bCs/>
                <w:color w:val="0E5E52"/>
                <w:sz w:val="19"/>
                <w:szCs w:val="19"/>
              </w:rPr>
              <w:t xml:space="preserve">Objective</w:t>
            </w:r>
          </w:p>
        </w:tc>
        <w:tc>
          <w:tcPr>
            <w:tcW w:type="dxa" w:w="4200"/>
            <w:shd w:fill="E6F1ED" w:color="auto" w:val="clear"/>
            <w:tcMar>
              <w:top w:type="dxa" w:w="80"/>
              <w:left w:type="dxa" w:w="120"/>
              <w:bottom w:type="dxa" w:w="80"/>
              <w:right w:type="dxa" w:w="120"/>
            </w:tcMar>
          </w:tcPr>
          <w:p>
            <w:pPr>
              <w:spacing w:after="0" w:line="252"/>
            </w:pPr>
            <w:r>
              <w:rPr>
                <w:b/>
                <w:bCs/>
                <w:color w:val="0E5E52"/>
                <w:sz w:val="19"/>
                <w:szCs w:val="19"/>
              </w:rPr>
              <w:t xml:space="preserve">Approach</w:t>
            </w:r>
          </w:p>
        </w:tc>
      </w:tr>
      <w:tr>
        <w:trPr>
          <w:cantSplit/>
          <w:tblHeader w:val="false"/>
        </w:trPr>
        <w:tc>
          <w:tcPr>
            <w:tcW w:type="dxa" w:w="17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Now — pilot</w:t>
            </w:r>
          </w:p>
        </w:tc>
        <w:tc>
          <w:tcPr>
            <w:tcW w:type="dxa" w:w="31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Prove it works unattended on real lectures</w:t>
            </w:r>
          </w:p>
        </w:tc>
        <w:tc>
          <w:tcPr>
            <w:tcW w:type="dxa" w:w="42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Running in the college Panopto environment with Bekol as partner; end-to-end operation already demonstrated</w:t>
            </w:r>
          </w:p>
        </w:tc>
      </w:tr>
      <w:tr>
        <w:trPr>
          <w:cantSplit/>
          <w:tblHeader w:val="false"/>
        </w:trPr>
        <w:tc>
          <w:tcPr>
            <w:tcW w:type="dxa" w:w="17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Next — course pilot</w:t>
            </w:r>
          </w:p>
        </w:tc>
        <w:tc>
          <w:tcPr>
            <w:tcW w:type="dxa" w:w="31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Evidence from real students across a semester</w:t>
            </w:r>
          </w:p>
        </w:tc>
        <w:tc>
          <w:tcPr>
            <w:tcW w:type="dxa" w:w="42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Extend to selected courses; measure usage and accessibility outcomes with the accessibility office</w:t>
            </w:r>
          </w:p>
        </w:tc>
      </w:tr>
      <w:tr>
        <w:trPr>
          <w:cantSplit/>
          <w:tblHeader w:val="false"/>
        </w:trPr>
        <w:tc>
          <w:tcPr>
            <w:tcW w:type="dxa" w:w="17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Then — institution</w:t>
            </w:r>
          </w:p>
        </w:tc>
        <w:tc>
          <w:tcPr>
            <w:tcW w:type="dxa" w:w="31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Convert to an institutional deployment</w:t>
            </w:r>
          </w:p>
        </w:tc>
        <w:tc>
          <w:tcPr>
            <w:tcW w:type="dxa" w:w="42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Present measured results to the college; accessibility duty plus demonstrated cost per lecture is the argument</w:t>
            </w:r>
          </w:p>
        </w:tc>
      </w:tr>
      <w:tr>
        <w:trPr>
          <w:cantSplit/>
          <w:tblHeader w:val="false"/>
        </w:trPr>
        <w:tc>
          <w:tcPr>
            <w:tcW w:type="dxa" w:w="17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Then — sector</w:t>
            </w:r>
          </w:p>
        </w:tc>
        <w:tc>
          <w:tcPr>
            <w:tcW w:type="dxa" w:w="31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Replicate at other institutions</w:t>
            </w:r>
          </w:p>
        </w:tc>
        <w:tc>
          <w:tcPr>
            <w:tcW w:type="dxa" w:w="42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Target Panopto institutions first, where integration already exists; Bekol and accessibility coordinators are the route in</w:t>
            </w:r>
          </w:p>
        </w:tc>
      </w:tr>
    </w:tbl>
    <w:p>
      <w:pPr>
        <w:spacing w:after="100"/>
      </w:pPr>
      <w:r>
        <w:t xml:space="preserve"/>
      </w:r>
    </w:p>
    <w:p>
      <w:pPr>
        <w:pStyle w:val="ListParagraph"/>
        <w:numPr>
          <w:ilvl w:val="0"/>
          <w:numId w:val="2"/>
        </w:numPr>
        <w:spacing w:after="80" w:line="276"/>
      </w:pPr>
      <w:r>
        <w:rPr>
          <w:b/>
          <w:bCs/>
          <w:color w:val="14181F"/>
          <w:sz w:val="21"/>
          <w:szCs w:val="21"/>
        </w:rPr>
        <w:t xml:space="preserve">Why this order. </w:t>
      </w:r>
      <w:r>
        <w:rPr>
          <w:color w:val="14181F"/>
          <w:sz w:val="21"/>
          <w:szCs w:val="21"/>
        </w:rPr>
        <w:t xml:space="preserve">Accessibility purchasing is reference-driven and risk-averse. A working deployment inside a named institution, with an advocacy organisation attached, is worth more than any pitch.</w:t>
      </w:r>
    </w:p>
    <w:p>
      <w:pPr>
        <w:pStyle w:val="ListParagraph"/>
        <w:numPr>
          <w:ilvl w:val="0"/>
          <w:numId w:val="2"/>
        </w:numPr>
        <w:spacing w:after="80" w:line="276"/>
      </w:pPr>
      <w:r>
        <w:rPr>
          <w:b/>
          <w:bCs/>
          <w:color w:val="14181F"/>
          <w:sz w:val="21"/>
          <w:szCs w:val="21"/>
        </w:rPr>
        <w:t xml:space="preserve">Why the technical barrier is low. </w:t>
      </w:r>
      <w:r>
        <w:rPr>
          <w:color w:val="14181F"/>
          <w:sz w:val="21"/>
          <w:szCs w:val="21"/>
        </w:rPr>
        <w:t xml:space="preserve">Adoption requires no change to how lecturers work and no migration — the objection that usually stops accessibility tooling does not apply.</w:t>
      </w:r>
    </w:p>
    <w:p>
      <w:pPr>
        <w:pStyle w:val="Heading1"/>
        <w:spacing w:after="140" w:before="280"/>
      </w:pPr>
      <w:r>
        <w:rPr>
          <w:b/>
          <w:bCs/>
          <w:color w:val="0E5E52"/>
          <w:sz w:val="28"/>
          <w:szCs w:val="28"/>
        </w:rPr>
        <w:t xml:space="preserve">8. Team and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00"/>
      </w:tblGrid>
      <w:tr>
        <w:trPr>
          <w:cantSplit/>
          <w:tblHeader/>
        </w:trPr>
        <w:tc>
          <w:tcPr>
            <w:tcW w:type="dxa" w:w="2300"/>
            <w:shd w:fill="E6F1ED" w:color="auto" w:val="clear"/>
            <w:tcMar>
              <w:top w:type="dxa" w:w="80"/>
              <w:left w:type="dxa" w:w="120"/>
              <w:bottom w:type="dxa" w:w="80"/>
              <w:right w:type="dxa" w:w="120"/>
            </w:tcMar>
          </w:tcPr>
          <w:p>
            <w:pPr>
              <w:spacing w:after="0" w:line="252"/>
            </w:pPr>
            <w:r>
              <w:rPr>
                <w:b/>
                <w:bCs/>
                <w:color w:val="0E5E52"/>
                <w:sz w:val="19"/>
                <w:szCs w:val="19"/>
              </w:rPr>
              <w:t xml:space="preserve">Member</w:t>
            </w:r>
          </w:p>
        </w:tc>
        <w:tc>
          <w:tcPr>
            <w:tcW w:type="dxa" w:w="2600"/>
            <w:shd w:fill="E6F1ED" w:color="auto" w:val="clear"/>
            <w:tcMar>
              <w:top w:type="dxa" w:w="80"/>
              <w:left w:type="dxa" w:w="120"/>
              <w:bottom w:type="dxa" w:w="80"/>
              <w:right w:type="dxa" w:w="120"/>
            </w:tcMar>
          </w:tcPr>
          <w:p>
            <w:pPr>
              <w:spacing w:after="0" w:line="252"/>
            </w:pPr>
            <w:r>
              <w:rPr>
                <w:b/>
                <w:bCs/>
                <w:color w:val="0E5E52"/>
                <w:sz w:val="19"/>
                <w:szCs w:val="19"/>
              </w:rPr>
              <w:t xml:space="preserve">Role</w:t>
            </w:r>
          </w:p>
        </w:tc>
        <w:tc>
          <w:tcPr>
            <w:tcW w:type="dxa" w:w="4100"/>
            <w:shd w:fill="E6F1ED" w:color="auto" w:val="clear"/>
            <w:tcMar>
              <w:top w:type="dxa" w:w="80"/>
              <w:left w:type="dxa" w:w="120"/>
              <w:bottom w:type="dxa" w:w="80"/>
              <w:right w:type="dxa" w:w="120"/>
            </w:tcMar>
          </w:tcPr>
          <w:p>
            <w:pPr>
              <w:spacing w:after="0" w:line="252"/>
            </w:pPr>
            <w:r>
              <w:rPr>
                <w:b/>
                <w:bCs/>
                <w:color w:val="0E5E52"/>
                <w:sz w:val="19"/>
                <w:szCs w:val="19"/>
              </w:rPr>
              <w:t xml:space="preserve">Responsibility</w:t>
            </w:r>
          </w:p>
        </w:tc>
      </w:tr>
      <w:tr>
        <w:trPr>
          <w:cantSplit/>
          <w:tblHeader w:val="false"/>
        </w:trPr>
        <w:tc>
          <w:tcPr>
            <w:tcW w:type="dxa" w:w="23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Adi Tapiro</w:t>
            </w:r>
          </w:p>
        </w:tc>
        <w:tc>
          <w:tcPr>
            <w:tcW w:type="dxa" w:w="26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Co-founder — product and accessibility</w:t>
            </w:r>
          </w:p>
        </w:tc>
        <w:tc>
          <w:tcPr>
            <w:tcW w:type="dxa" w:w="41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Originator of the concept and its primary user; accessibility requirements, product definition, Hebrew and RTL user experience, Panopto pilot and the Bekol partnership</w:t>
            </w:r>
          </w:p>
        </w:tc>
      </w:tr>
      <w:tr>
        <w:trPr>
          <w:cantSplit/>
          <w:tblHeader w:val="false"/>
        </w:trPr>
        <w:tc>
          <w:tcPr>
            <w:tcW w:type="dxa" w:w="23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Matan Gurfinkel</w:t>
            </w:r>
          </w:p>
        </w:tc>
        <w:tc>
          <w:tcPr>
            <w:tcW w:type="dxa" w:w="26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Co-founder — engineering</w:t>
            </w:r>
          </w:p>
        </w:tc>
        <w:tc>
          <w:tcPr>
            <w:tcW w:type="dxa" w:w="4100"/>
            <w:shd w:fill="F7F9F8" w:color="auto" w:val="clear"/>
            <w:tcMar>
              <w:top w:type="dxa" w:w="80"/>
              <w:left w:type="dxa" w:w="120"/>
              <w:bottom w:type="dxa" w:w="80"/>
              <w:right w:type="dxa" w:w="120"/>
            </w:tcMar>
          </w:tcPr>
          <w:p>
            <w:pPr>
              <w:spacing w:after="0" w:line="252"/>
            </w:pPr>
            <w:r>
              <w:rPr>
                <w:b w:val="false"/>
                <w:bCs w:val="false"/>
                <w:color w:val="14181F"/>
                <w:sz w:val="19"/>
                <w:szCs w:val="19"/>
              </w:rPr>
              <w:t xml:space="preserve">Backend and processing pipeline, AI integration and validation layer, infrastructure, deployment and automated testing</w:t>
            </w:r>
          </w:p>
        </w:tc>
      </w:tr>
      <w:tr>
        <w:trPr>
          <w:cantSplit/>
          <w:tblHeader w:val="false"/>
        </w:trPr>
        <w:tc>
          <w:tcPr>
            <w:tcW w:type="dxa" w:w="23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Dror Margalit</w:t>
            </w:r>
          </w:p>
        </w:tc>
        <w:tc>
          <w:tcPr>
            <w:tcW w:type="dxa" w:w="26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Academic mentor</w:t>
            </w:r>
          </w:p>
        </w:tc>
        <w:tc>
          <w:tcPr>
            <w:tcW w:type="dxa" w:w="4100"/>
            <w:shd w:fill="FFFFFF" w:color="auto" w:val="clear"/>
            <w:tcMar>
              <w:top w:type="dxa" w:w="80"/>
              <w:left w:type="dxa" w:w="120"/>
              <w:bottom w:type="dxa" w:w="80"/>
              <w:right w:type="dxa" w:w="120"/>
            </w:tcMar>
          </w:tcPr>
          <w:p>
            <w:pPr>
              <w:spacing w:after="0" w:line="252"/>
            </w:pPr>
            <w:r>
              <w:rPr>
                <w:b w:val="false"/>
                <w:bCs w:val="false"/>
                <w:color w:val="14181F"/>
                <w:sz w:val="19"/>
                <w:szCs w:val="19"/>
              </w:rPr>
              <w:t xml:space="preserve">Academic guidance and project supervision</w:t>
            </w:r>
          </w:p>
        </w:tc>
      </w:tr>
    </w:tbl>
    <w:p>
      <w:pPr>
        <w:spacing w:after="100"/>
      </w:pPr>
      <w:r>
        <w:t xml:space="preserve"/>
      </w:r>
    </w:p>
    <w:p>
      <w:pPr>
        <w:spacing w:after="120" w:line="276"/>
      </w:pPr>
      <w:r>
        <w:rPr>
          <w:color w:val="14181F"/>
          <w:sz w:val="21"/>
          <w:szCs w:val="21"/>
        </w:rPr>
        <w:t xml:space="preserve">Both founders are computer science students at The Academic College of Tel Aviv–Yaffo and worked across the full stack; the split above reflects primary ownership rather than exclusive areas.</w:t>
      </w:r>
    </w:p>
    <w:p>
      <w:pPr>
        <w:pBdr>
          <w:bottom w:val="single" w:color="CFCABF" w:sz="6"/>
        </w:pBdr>
        <w:spacing w:after="160" w:before="60"/>
      </w:pPr>
      <w:r>
        <w:t xml:space="preserve"/>
      </w:r>
    </w:p>
    <w:p>
      <w:pPr>
        <w:spacing w:after="120" w:line="276"/>
      </w:pPr>
      <w:r>
        <w:rPr>
          <w:i/>
          <w:iCs/>
          <w:color w:val="0E5E52"/>
          <w:sz w:val="21"/>
          <w:szCs w:val="21"/>
        </w:rPr>
        <w:t xml:space="preserve">We set out to solve for the hardest case — a student who cannot hear the lecture — and the result is a system that makes recorded lectures better for everyone. It is not a concept: it runs today, on the college’s own recordings, without anyone touching it.</w:t>
      </w:r>
    </w:p>
    <w:sectPr>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2026-09-03T16:59:06.693Z</dcterms:created>
  <dcterms:modified xsi:type="dcterms:W3CDTF">2026-09-03T16:59:06.694Z</dcterms:modified>
</cp:coreProperties>
</file>

<file path=docProps/custom.xml><?xml version="1.0" encoding="utf-8"?>
<Properties xmlns="http://schemas.openxmlformats.org/officeDocument/2006/custom-properties" xmlns:vt="http://schemas.openxmlformats.org/officeDocument/2006/docPropsVTypes"/>
</file>