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: STRUCTURED QUERY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Ex: 1. MySQL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PostgreSQL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MariaDB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Reasons why we need a database: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Systems.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management of all resources.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data and relationships.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tracking.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for growth.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SQL: It is a domain specific language in programming and is designed for managing databases stored in a RDBMS or for stream processing in a relational data stream management system.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Big Data: </w:t>
      </w:r>
      <w:r w:rsidDel="00000000" w:rsidR="00000000" w:rsidRPr="00000000">
        <w:rPr>
          <w:b w:val="1"/>
          <w:rtl w:val="0"/>
        </w:rPr>
        <w:t xml:space="preserve">3 V’s of Big Data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High Volume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High Velocity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High Variety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Other V’s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1. Veracity: Trustworthy data.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2. Value: Value of data.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Enables: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1. Enhanced decision making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2. Insight discovery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3. Process optimization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Banking DBMS: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 System (Web application) → DBMS (PostgreSQL) → Database (Bank) →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Data (Employees, Loans, Installments, Accounts, Data files etc.)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Phases in Data Modelling: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1. Conceptual (Studetents)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2. Logical (id, name, dob, course etc.)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3. Physical (data types, constraints etc.)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Data modelling represents the nature of data and the business logic to control the data.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Relational Data Model: Collection of interrelated tables.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DBMS Languages: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DDL, DML, DQL, DCL, TCL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DDL: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1. CREATE: To create a new table in a database.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CREATE TABLE table_name(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column1 datatype,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column2 datatype,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...,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...,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…);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2. INSERT: To insert new records in a table.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INSERT INTO TABLE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(col1, col2, col3, …)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(val1, val2, val3, …),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(val1, val2, val3, …),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...,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...,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…);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