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RDB: The db where the data stored have relations with each other.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RDBMS: This is the management system which manages all the operations on relational databases. The operations are called CRUD operations.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CRUD: CREATE, READ, UPDATE, DELETE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RDBMS: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Relational DAtabase Management System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a relationship model introduced by Dr. E.F. Codd.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single database can be spread over multiple tables.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Ex- Oracle, MySQL, MySQL Server, IMDB etc.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Follows 3-tier Architecture/Schema.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External Schema (Visible and accessible by the user)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Logical / Conceptual Schema (Design of the database at conceptual level)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Physical Layer/Schema (Describes the storage details and system data)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 Independence: The ability to modify the schema definition in one level without affecting the other levels.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 is of 2 types: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Data Independence: The ability to modify the internal schema without affecting the conceptual schema.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If a user is modifying the sotrange system, then the conceptual schema will remain unaffected.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Physical data independence is used to separate the internal and logical schema.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Data Independence: The ability to modify the conceptual schema without affecting the external schema.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If the user is modifying the database structure the external schema remains unaffected.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It is used to separate the conceptual and external layer.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