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Table: It is structured data made up of rows and columns.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Entity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Columns → Attributes/Fields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Rows → Observations/Records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Degree → Attribute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Cardinality → Record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Entity and Attributes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Entity: Anything that has a physical existence.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Attributes: Properties of an entity.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Entity Set: Set of entities sharing similar properties.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of two types: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 Entity Set: These are always dependent on other entities.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They don’t have their own attributes.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They are represented by a rectangle.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Ex- Installments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Entity Set: These are independent of other entities.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These sets have sufficient attributes to uniquely identify each entity.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Primary key exists here.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Ex- Loans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Installments are dependent on Loans.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Attribute: These are the fields of a table which describe its property.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Type of attributes: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Attribute: The attributes which can’t be subdivided.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It is represented by an ellipse.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Ex- Id of a student.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Attribute:Any attribute that can be subdivided.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It is represented by an ellipse with connected lines.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Ex- Name of a student.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Attribute: It is used to represent the main characteristics of an entity.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It is represented by an ellipse with an underline inside.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Ex- Roll number of a student.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Multivalued Attribute: An attribute which can have more than one value.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It is represented by a double ellipse.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Ex- Mail Id of a student.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Derived Attribute: An attribute that is derived from an existing attribute.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It is represented by a dashed ellipse.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Ex- Deriving Year of Birth from Age of a student.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 relationship is used to describe how two or more tables are related to each other.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It is represented by a diamond.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It is of 4 types.: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One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Many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One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