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TOPN - Top N Customers by Sales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Why use TOPN?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the top N rows based on a measure.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in visuals to show top performers.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in competitive ranking and dashboard KPIs.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CALCULATETABLE - Filter and Create Virtual Table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Use this when you want to create a table instead of a scalar value.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High Discount Orders Table (Discount &gt; 20%)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Why use CALCULATETABLE?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this to return a filtered “table” instead of a number.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used inside COUNTROWS,SUMX,etc.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Helpful for analyzing a subsegment of your data.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IF function: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IF(condition, result_if_true,[result_if_true])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Sales Category = IF([Net Sales] &gt;50000,”High”, “Normal”)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SWITCH function: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SWITCH(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TRUE(),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condition1, result1,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condition2, result2,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….,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[default_result]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Filter functions: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They are used to allow the user to selectively </w:t>
      </w:r>
      <w:r w:rsidDel="00000000" w:rsidR="00000000" w:rsidRPr="00000000">
        <w:rPr>
          <w:b w:val="1"/>
          <w:u w:val="single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u w:val="single"/>
          <w:rtl w:val="0"/>
        </w:rPr>
        <w:t xml:space="preserve">exclude</w:t>
      </w:r>
      <w:r w:rsidDel="00000000" w:rsidR="00000000" w:rsidRPr="00000000">
        <w:rPr>
          <w:rtl w:val="0"/>
        </w:rPr>
        <w:t xml:space="preserve"> data based on certain criteria.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