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D77D" w14:textId="77777777" w:rsidR="00292592" w:rsidRDefault="006963EF">
      <w:pPr>
        <w:spacing w:after="15" w:line="259" w:lineRule="auto"/>
        <w:ind w:left="0" w:right="8" w:firstLine="0"/>
        <w:jc w:val="center"/>
      </w:pPr>
      <w:r>
        <w:rPr>
          <w:b/>
          <w:sz w:val="30"/>
        </w:rPr>
        <w:t>CONTRATO DE LOCACIÓN DE SERVICIOS</w:t>
      </w:r>
      <w:r>
        <w:t xml:space="preserve"> </w:t>
      </w:r>
    </w:p>
    <w:p w14:paraId="4E11CBD2" w14:textId="77777777" w:rsidR="00292592" w:rsidRDefault="006963EF">
      <w:pPr>
        <w:spacing w:after="228" w:line="259" w:lineRule="auto"/>
        <w:ind w:left="0" w:right="12" w:firstLine="0"/>
        <w:jc w:val="center"/>
      </w:pPr>
      <w:r>
        <w:rPr>
          <w:b/>
          <w:sz w:val="26"/>
        </w:rPr>
        <w:t>DE PROMOCIÓN COMERCIAL INDEPENDIENTE</w:t>
      </w:r>
      <w:r>
        <w:t xml:space="preserve"> </w:t>
      </w:r>
    </w:p>
    <w:p w14:paraId="1BC52968" w14:textId="77777777" w:rsidR="00292592" w:rsidRDefault="006963EF">
      <w:pPr>
        <w:ind w:left="-5"/>
      </w:pPr>
      <w:r>
        <w:t xml:space="preserve">Conste por el presente documento el Contrato de Locación de Servicios de Promoción Comercial Independiente (en adelante, el «Contrato») que celebran, de una parte: </w:t>
      </w:r>
    </w:p>
    <w:p w14:paraId="75D246C1" w14:textId="77777777" w:rsidR="00292592" w:rsidRDefault="006963EF">
      <w:pPr>
        <w:spacing w:after="5"/>
        <w:ind w:left="-5"/>
      </w:pPr>
      <w:r>
        <w:rPr>
          <w:b/>
        </w:rPr>
        <w:t>NOTORIA E.I.R.L.</w:t>
      </w:r>
      <w:r>
        <w:t xml:space="preserve">, con RUC N.° 20616239466, con domicilio fiscal en Cal. Isla Filipinas Mza. G9 Lote 8, distrito de La Perla, Provincia Constitucional del Callao, debidamente representada por su </w:t>
      </w:r>
    </w:p>
    <w:p w14:paraId="1EF1615C" w14:textId="77777777" w:rsidR="00292592" w:rsidRDefault="006963EF">
      <w:pPr>
        <w:ind w:left="-5"/>
      </w:pPr>
      <w:r>
        <w:t xml:space="preserve">Titular-Gerente don/doña ______________________________, identificado(a) con DNI N.° ______________, a quien en adelante se denominará </w:t>
      </w:r>
      <w:r>
        <w:rPr>
          <w:b/>
        </w:rPr>
        <w:t>«NOTORIA»</w:t>
      </w:r>
      <w:r>
        <w:t xml:space="preserve">; y, de la otra parte, </w:t>
      </w:r>
    </w:p>
    <w:p w14:paraId="2D30DB04" w14:textId="77777777" w:rsidR="00292592" w:rsidRDefault="006963EF">
      <w:pPr>
        <w:spacing w:after="5"/>
        <w:ind w:left="-5"/>
      </w:pPr>
      <w:r>
        <w:t xml:space="preserve">Don/doña ______________________________, identificado(a) con DNI N.° ______________, con RUC N.° ______________________, con domicilio en </w:t>
      </w:r>
    </w:p>
    <w:p w14:paraId="464F0510" w14:textId="77777777" w:rsidR="00292592" w:rsidRDefault="006963EF">
      <w:pPr>
        <w:ind w:left="-5"/>
      </w:pPr>
      <w:r>
        <w:t xml:space="preserve">________________________________________, distrito de ____________________, provincia de ____________________, correo electrónico ________________________________ y teléfono/WhatsApp ____________________, a quien en adelante se denominará </w:t>
      </w:r>
      <w:r>
        <w:rPr>
          <w:b/>
        </w:rPr>
        <w:t>«EL PROMOTOR»</w:t>
      </w:r>
      <w:r>
        <w:t xml:space="preserve">. </w:t>
      </w:r>
    </w:p>
    <w:p w14:paraId="60822422" w14:textId="77777777" w:rsidR="00292592" w:rsidRDefault="006963EF">
      <w:pPr>
        <w:spacing w:after="245"/>
        <w:ind w:left="-5"/>
      </w:pPr>
      <w:r>
        <w:t xml:space="preserve">NOTORIA y EL PROMOTOR serán denominados conjuntamente «las Partes». El Contrato se rige por los términos y condiciones siguientes: </w:t>
      </w:r>
    </w:p>
    <w:p w14:paraId="7BB106B6" w14:textId="77777777" w:rsidR="00292592" w:rsidRDefault="006963EF">
      <w:pPr>
        <w:pStyle w:val="Heading1"/>
        <w:ind w:left="-5"/>
      </w:pPr>
      <w:r>
        <w:t xml:space="preserve">CLÁUSULA PRIMERA: ANTECEDENTES </w:t>
      </w:r>
    </w:p>
    <w:p w14:paraId="515B7691" w14:textId="77777777" w:rsidR="00292592" w:rsidRDefault="006963EF">
      <w:pPr>
        <w:ind w:left="-5"/>
      </w:pPr>
      <w:r>
        <w:t xml:space="preserve">1.1. NOTORIA es una empresa peruana que desarrolla y comercializa </w:t>
      </w:r>
      <w:r>
        <w:rPr>
          <w:b/>
        </w:rPr>
        <w:t>Notoria</w:t>
      </w:r>
      <w:r>
        <w:t xml:space="preserve"> (usenotoria.app), un servicio en línea de monitoreo de reputación para negocios locales del Perú, que se contrata mediante planes mensuales o anuales publicados en su página web. </w:t>
      </w:r>
    </w:p>
    <w:p w14:paraId="3CE07BA8" w14:textId="77777777" w:rsidR="00292592" w:rsidRDefault="006963EF">
      <w:pPr>
        <w:spacing w:after="245"/>
        <w:ind w:left="-5"/>
      </w:pPr>
      <w:r>
        <w:t xml:space="preserve">1.2. EL PROMOTOR es una persona natural que presta servicios de manera independiente y cuenta con experiencia y contactos para presentar el servicio a restaurantes, hoteles, salones y otros negocios, y declara estar en capacidad de hacerlo con sus propios medios. </w:t>
      </w:r>
    </w:p>
    <w:p w14:paraId="0AF4B3DA" w14:textId="77777777" w:rsidR="00292592" w:rsidRDefault="006963EF">
      <w:pPr>
        <w:pStyle w:val="Heading1"/>
        <w:ind w:left="-5"/>
      </w:pPr>
      <w:r>
        <w:t xml:space="preserve">CLÁUSULA SEGUNDA: OBJETO </w:t>
      </w:r>
    </w:p>
    <w:p w14:paraId="68A4612C" w14:textId="77777777" w:rsidR="00292592" w:rsidRDefault="006963EF">
      <w:pPr>
        <w:ind w:left="-5"/>
      </w:pPr>
      <w:r>
        <w:t xml:space="preserve">2.1. Por el Contrato, EL PROMOTOR se obliga a prestar a NOTORIA servicios de </w:t>
      </w:r>
      <w:r>
        <w:rPr>
          <w:b/>
        </w:rPr>
        <w:t>promoción comercial y captación de clientes</w:t>
      </w:r>
      <w:r>
        <w:t xml:space="preserve"> para el servicio Notoria, consistentes en visitar o contactar negocios, presentar el servicio de manera veraz, invitarlos a registrarse en usenotoria.app y acompañarlos en su decisión de contratar un plan de pago. </w:t>
      </w:r>
    </w:p>
    <w:p w14:paraId="0530D0EB" w14:textId="77777777" w:rsidR="00292592" w:rsidRDefault="006963EF">
      <w:pPr>
        <w:spacing w:after="245"/>
        <w:ind w:left="-5"/>
      </w:pPr>
      <w:r>
        <w:t xml:space="preserve">2.2. EL PROMOTOR </w:t>
      </w:r>
      <w:r>
        <w:rPr>
          <w:b/>
        </w:rPr>
        <w:t>no está facultado</w:t>
      </w:r>
      <w:r>
        <w:t xml:space="preserve"> para: (a) cobrar, recibir o custodiar dinero de los clientes por ningún medio; (b) celebrar contratos, otorgar descuentos, condiciones o garantías distintas a las publicadas en usenotoria.app, ni obligar a NOTORIA frente a terceros; (c) actuar como representante legal, empleado o apoderado de NOTORIA. Todo pago de los clientes se realiza exclusivamente a través de la plataforma de pagos de usenotoria.app. </w:t>
      </w:r>
    </w:p>
    <w:p w14:paraId="3CCB8B7B" w14:textId="77777777" w:rsidR="00292592" w:rsidRDefault="006963EF">
      <w:pPr>
        <w:pStyle w:val="Heading1"/>
        <w:ind w:left="-5"/>
      </w:pPr>
      <w:r>
        <w:t xml:space="preserve">CLÁUSULA TERCERA: NATURALEZA DEL CONTRATO </w:t>
      </w:r>
    </w:p>
    <w:p w14:paraId="67B2CBCB" w14:textId="77777777" w:rsidR="00292592" w:rsidRDefault="006963EF">
      <w:pPr>
        <w:ind w:left="-5"/>
      </w:pPr>
      <w:r>
        <w:t xml:space="preserve">3.1. El Contrato es de </w:t>
      </w:r>
      <w:r>
        <w:rPr>
          <w:b/>
        </w:rPr>
        <w:t>locación de servicios</w:t>
      </w:r>
      <w:r>
        <w:t xml:space="preserve">, regulado por los artículos 1764 y siguientes del Código Civil peruano. EL PROMOTOR presta sus servicios con </w:t>
      </w:r>
      <w:r>
        <w:rPr>
          <w:b/>
        </w:rPr>
        <w:t>autonomía</w:t>
      </w:r>
      <w:r>
        <w:t xml:space="preserve">: organiza libremente su tiempo, sus rutas, los días y horarios en que trabaja y los medios que emplea, sin sujeción a horario, jornada ni subordinación. </w:t>
      </w:r>
    </w:p>
    <w:p w14:paraId="514109FB" w14:textId="77777777" w:rsidR="00292592" w:rsidRDefault="006963EF">
      <w:pPr>
        <w:ind w:left="-5"/>
      </w:pPr>
      <w:r>
        <w:lastRenderedPageBreak/>
        <w:t xml:space="preserve">3.2. Las Partes declaran expresamente que </w:t>
      </w:r>
      <w:r>
        <w:rPr>
          <w:b/>
        </w:rPr>
        <w:t>no existe relación laboral</w:t>
      </w:r>
      <w:r>
        <w:t xml:space="preserve"> entre ellas, por lo que no corresponden remuneraciones, beneficios sociales, vacaciones, gratificaciones ni ningún otro concepto propio de un contrato de trabajo. </w:t>
      </w:r>
    </w:p>
    <w:p w14:paraId="4728B6DA" w14:textId="77777777" w:rsidR="00292592" w:rsidRDefault="006963EF">
      <w:pPr>
        <w:ind w:left="-5"/>
      </w:pPr>
      <w:r>
        <w:t xml:space="preserve">3.3. El Contrato </w:t>
      </w:r>
      <w:r>
        <w:rPr>
          <w:b/>
        </w:rPr>
        <w:t>no es exclusivo</w:t>
      </w:r>
      <w:r>
        <w:t xml:space="preserve"> para ninguna de las Partes. NOTORIA puede contratar a otros promotores y vender directamente; EL PROMOTOR puede prestar otros servicios a terceros, con la limitación prevista en la cláusula décimo segunda. No se asignan zonas exclusivas, salvo acuerdo escrito posterior. </w:t>
      </w:r>
    </w:p>
    <w:p w14:paraId="7FFBACC5" w14:textId="77777777" w:rsidR="00292592" w:rsidRDefault="006963EF">
      <w:pPr>
        <w:spacing w:after="243"/>
        <w:ind w:left="-5"/>
      </w:pPr>
      <w:r>
        <w:t xml:space="preserve">3.4. Los gastos de movilidad, comunicaciones y demás en que incurra EL PROMOTOR para prestar sus servicios son de su cargo. NOTORIA entregará sin costo el material descrito en la cláusula quinta. </w:t>
      </w:r>
    </w:p>
    <w:p w14:paraId="75201120" w14:textId="77777777" w:rsidR="00292592" w:rsidRDefault="006963EF">
      <w:pPr>
        <w:pStyle w:val="Heading1"/>
        <w:ind w:left="-5"/>
      </w:pPr>
      <w:r>
        <w:t xml:space="preserve">CLÁUSULA CUARTA: OBLIGACIONES DE EL PROMOTOR </w:t>
      </w:r>
    </w:p>
    <w:p w14:paraId="6A3DF9B9" w14:textId="77777777" w:rsidR="00292592" w:rsidRDefault="006963EF">
      <w:pPr>
        <w:numPr>
          <w:ilvl w:val="0"/>
          <w:numId w:val="1"/>
        </w:numPr>
        <w:spacing w:after="76"/>
        <w:ind w:hanging="338"/>
      </w:pPr>
      <w:r>
        <w:t xml:space="preserve">Presentar el servicio de forma </w:t>
      </w:r>
      <w:r>
        <w:rPr>
          <w:b/>
        </w:rPr>
        <w:t>veraz</w:t>
      </w:r>
      <w:r>
        <w:t xml:space="preserve">, conforme al «Manual de producto y guía comercial» vigente que NOTORIA le entrega, y en particular respetar su capítulo «Lo que NO debes prometer». No ofrecerá funciones que el servicio no tenga, resultados garantizados, eliminación de reseñas, ni fechas para mejoras futuras. </w:t>
      </w:r>
    </w:p>
    <w:p w14:paraId="66A22D35" w14:textId="77777777" w:rsidR="00292592" w:rsidRDefault="006963EF">
      <w:pPr>
        <w:numPr>
          <w:ilvl w:val="0"/>
          <w:numId w:val="1"/>
        </w:numPr>
        <w:spacing w:after="76"/>
        <w:ind w:hanging="338"/>
      </w:pPr>
      <w:r>
        <w:rPr>
          <w:b/>
        </w:rPr>
        <w:t>No cobrar ni recibir dinero</w:t>
      </w:r>
      <w:r>
        <w:t xml:space="preserve"> de los clientes, ni pedir que se le paguen a él montos relacionados con el servicio. </w:t>
      </w:r>
    </w:p>
    <w:p w14:paraId="76AD45E2" w14:textId="442A7CA6" w:rsidR="00292592" w:rsidRDefault="006963EF">
      <w:pPr>
        <w:numPr>
          <w:ilvl w:val="0"/>
          <w:numId w:val="1"/>
        </w:numPr>
        <w:spacing w:after="74"/>
        <w:ind w:hanging="338"/>
      </w:pPr>
      <w:r>
        <w:t xml:space="preserve">Registrar cada local visitado en la herramienta </w:t>
      </w:r>
      <w:r>
        <w:rPr>
          <w:b/>
        </w:rPr>
        <w:t>«Ruta Comercial Notoria»</w:t>
      </w:r>
      <w:r>
        <w:t xml:space="preserve"> (o la que NOTORIA designe por escrito) con los datos indicados en el Anexo 2, a más tardar dentro de las </w:t>
      </w:r>
      <w:r>
        <w:rPr>
          <w:b/>
        </w:rPr>
        <w:t>48 horas</w:t>
      </w:r>
      <w:r>
        <w:t xml:space="preserve"> siguientes a la visita</w:t>
      </w:r>
      <w:r w:rsidR="00FD576F">
        <w:t>. El estado de cada visita se actualiza automáticamente con la información del sistema de pagos de NOTORIA. EL PROMOTOR no eliminará registros: si uno es erróneo o está duplicado, lo anulará en la herramienta indicando el motivo.</w:t>
      </w:r>
      <w:r>
        <w:t xml:space="preserve"> </w:t>
      </w:r>
    </w:p>
    <w:p w14:paraId="705EE410" w14:textId="77777777" w:rsidR="00292592" w:rsidRDefault="006963EF">
      <w:pPr>
        <w:numPr>
          <w:ilvl w:val="0"/>
          <w:numId w:val="1"/>
        </w:numPr>
        <w:spacing w:after="76"/>
        <w:ind w:hanging="338"/>
      </w:pPr>
      <w:r>
        <w:t xml:space="preserve">Tratar los datos personales de los contactos conforme a la Ley N.° 29733, Ley de Protección de Datos Personales, y a la cláusula novena. </w:t>
      </w:r>
    </w:p>
    <w:p w14:paraId="0360287C" w14:textId="77777777" w:rsidR="00292592" w:rsidRDefault="006963EF">
      <w:pPr>
        <w:numPr>
          <w:ilvl w:val="0"/>
          <w:numId w:val="1"/>
        </w:numPr>
        <w:spacing w:after="76"/>
        <w:ind w:hanging="338"/>
      </w:pPr>
      <w:r>
        <w:t xml:space="preserve">No enviar comunicaciones masivas no solicitadas (spam) ni usar métodos de venta engañosos, agresivos o contrarios al Código de Protección y Defensa del Consumidor (Ley N.° 29571). </w:t>
      </w:r>
    </w:p>
    <w:p w14:paraId="1AFDDB77" w14:textId="77777777" w:rsidR="00292592" w:rsidRDefault="006963EF">
      <w:pPr>
        <w:numPr>
          <w:ilvl w:val="0"/>
          <w:numId w:val="1"/>
        </w:numPr>
        <w:spacing w:after="80"/>
        <w:ind w:hanging="338"/>
      </w:pPr>
      <w:r>
        <w:t xml:space="preserve">Usar la marca Notoria solo para los fines del Contrato y conforme a la cláusula décima. </w:t>
      </w:r>
    </w:p>
    <w:p w14:paraId="17D92379" w14:textId="77777777" w:rsidR="00292592" w:rsidRDefault="006963EF">
      <w:pPr>
        <w:numPr>
          <w:ilvl w:val="0"/>
          <w:numId w:val="1"/>
        </w:numPr>
        <w:spacing w:after="76"/>
        <w:ind w:hanging="338"/>
      </w:pPr>
      <w:r>
        <w:t xml:space="preserve">Informar a NOTORIA, dentro de las 48 horas de conocerlas, las quejas, dudas o reclamos de clientes o prospectos que reciba, sin comprometer soluciones en nombre de NOTORIA. </w:t>
      </w:r>
    </w:p>
    <w:p w14:paraId="00329820" w14:textId="77777777" w:rsidR="00292592" w:rsidRDefault="006963EF">
      <w:pPr>
        <w:numPr>
          <w:ilvl w:val="0"/>
          <w:numId w:val="1"/>
        </w:numPr>
        <w:spacing w:after="237"/>
        <w:ind w:hanging="338"/>
      </w:pPr>
      <w:r>
        <w:t xml:space="preserve">Emitir los comprobantes de pago que correspondan por sus servicios y cumplir sus propias obligaciones tributarias. </w:t>
      </w:r>
    </w:p>
    <w:p w14:paraId="3002BBD3" w14:textId="77777777" w:rsidR="00292592" w:rsidRDefault="006963EF">
      <w:pPr>
        <w:pStyle w:val="Heading1"/>
        <w:ind w:left="-5"/>
      </w:pPr>
      <w:r>
        <w:t xml:space="preserve">CLÁUSULA QUINTA: OBLIGACIONES DE NOTORIA </w:t>
      </w:r>
    </w:p>
    <w:p w14:paraId="73EC49F8" w14:textId="77777777" w:rsidR="00292592" w:rsidRDefault="006963EF">
      <w:pPr>
        <w:numPr>
          <w:ilvl w:val="0"/>
          <w:numId w:val="2"/>
        </w:numPr>
        <w:spacing w:after="80"/>
        <w:ind w:hanging="338"/>
      </w:pPr>
      <w:r>
        <w:t xml:space="preserve">Pagar las comisiones devengadas conforme a las cláusulas sexta a octava. </w:t>
      </w:r>
    </w:p>
    <w:p w14:paraId="4ADE9FC9" w14:textId="77777777" w:rsidR="00292592" w:rsidRDefault="006963EF">
      <w:pPr>
        <w:numPr>
          <w:ilvl w:val="0"/>
          <w:numId w:val="2"/>
        </w:numPr>
        <w:spacing w:after="76"/>
        <w:ind w:hanging="338"/>
      </w:pPr>
      <w:r>
        <w:t xml:space="preserve">Entregar a EL PROMOTOR, sin costo: el Manual de producto y guía comercial actualizado, acceso a la herramienta Ruta Comercial Notoria, y ______ carteles QR impresos de muestra por mes. </w:t>
      </w:r>
    </w:p>
    <w:p w14:paraId="59A4C30D" w14:textId="77777777" w:rsidR="00292592" w:rsidRDefault="006963EF">
      <w:pPr>
        <w:numPr>
          <w:ilvl w:val="0"/>
          <w:numId w:val="2"/>
        </w:numPr>
        <w:spacing w:after="76"/>
        <w:ind w:hanging="338"/>
      </w:pPr>
      <w:r>
        <w:t xml:space="preserve">Informar por escrito a EL PROMOTOR, con al menos </w:t>
      </w:r>
      <w:r>
        <w:rPr>
          <w:b/>
        </w:rPr>
        <w:t>quince (15) días</w:t>
      </w:r>
      <w:r>
        <w:t xml:space="preserve"> de anticipación, cualquier cambio en precios, planes o promociones publicados que afecte su labor. </w:t>
      </w:r>
    </w:p>
    <w:p w14:paraId="20DBAC2E" w14:textId="77777777" w:rsidR="00292592" w:rsidRDefault="006963EF">
      <w:pPr>
        <w:numPr>
          <w:ilvl w:val="0"/>
          <w:numId w:val="2"/>
        </w:numPr>
        <w:spacing w:after="76"/>
        <w:ind w:hanging="338"/>
      </w:pPr>
      <w:r>
        <w:t xml:space="preserve">Brindar a EL PROMOTOR, a su solicitud, la información necesaria para verificar las comisiones que le corresponden (plan, fecha y monto de los pagos de los clientes que le son atribuidos), respetando la confidencialidad de los demás datos de los clientes. </w:t>
      </w:r>
    </w:p>
    <w:p w14:paraId="26692E1D" w14:textId="77777777" w:rsidR="00292592" w:rsidRDefault="006963EF">
      <w:pPr>
        <w:numPr>
          <w:ilvl w:val="0"/>
          <w:numId w:val="2"/>
        </w:numPr>
        <w:ind w:hanging="338"/>
      </w:pPr>
      <w:r>
        <w:t xml:space="preserve">Atender el soporte técnico y la facturación de los clientes captados. </w:t>
      </w:r>
    </w:p>
    <w:p w14:paraId="2C1ADA5D" w14:textId="77777777" w:rsidR="00292592" w:rsidRDefault="006963EF">
      <w:pPr>
        <w:pStyle w:val="Heading1"/>
        <w:ind w:left="-5"/>
      </w:pPr>
      <w:r>
        <w:t xml:space="preserve">CLÁUSULA SEXTA: RETRIBUCIÓN (COMISIONES) </w:t>
      </w:r>
    </w:p>
    <w:p w14:paraId="1D37F4BC" w14:textId="77777777" w:rsidR="00292592" w:rsidRDefault="006963EF">
      <w:pPr>
        <w:ind w:left="-5"/>
      </w:pPr>
      <w:r>
        <w:t xml:space="preserve">6.1. Como única contraprestación por sus servicios, EL PROMOTOR recibirá comisiones por cada </w:t>
      </w:r>
      <w:r>
        <w:rPr>
          <w:b/>
        </w:rPr>
        <w:t>Cliente Atribuido</w:t>
      </w:r>
      <w:r>
        <w:t xml:space="preserve"> (cláusula séptima) que contrate un plan de pago de Notoria, según las reglas siguientes. Todas las comisiones se calculan sobre montos </w:t>
      </w:r>
      <w:r>
        <w:rPr>
          <w:b/>
        </w:rPr>
        <w:t>sin IGV</w:t>
      </w:r>
      <w:r>
        <w:t xml:space="preserve">. </w:t>
      </w:r>
    </w:p>
    <w:p w14:paraId="06B486B3" w14:textId="77777777" w:rsidR="00292592" w:rsidRDefault="006963EF">
      <w:pPr>
        <w:spacing w:after="5"/>
        <w:ind w:left="-5"/>
      </w:pPr>
      <w:r>
        <w:t xml:space="preserve">6.2. </w:t>
      </w:r>
      <w:r>
        <w:rPr>
          <w:b/>
        </w:rPr>
        <w:t>Bono de alta.</w:t>
      </w:r>
      <w:r>
        <w:t xml:space="preserve"> Equivale al </w:t>
      </w:r>
      <w:r>
        <w:rPr>
          <w:b/>
        </w:rPr>
        <w:t>cincuenta por ciento (50%) del precio de lista mensual</w:t>
      </w:r>
      <w:r>
        <w:t xml:space="preserve"> del plan contratado, sin IGV, incluyendo los locales adicionales contratados en el primer pago. Se calcula sobre el precio de lista publicado aunque el cliente haya accedido a una promoción de bienvenida. </w:t>
      </w:r>
    </w:p>
    <w:p w14:paraId="56A02F8F" w14:textId="77777777" w:rsidR="00292592" w:rsidRDefault="006963EF">
      <w:pPr>
        <w:ind w:left="-5"/>
      </w:pPr>
      <w:r>
        <w:t xml:space="preserve">El bono de alta se paga una sola vez por cliente. </w:t>
      </w:r>
    </w:p>
    <w:p w14:paraId="5A4D5312" w14:textId="77777777" w:rsidR="00292592" w:rsidRDefault="006963EF">
      <w:pPr>
        <w:ind w:left="-5"/>
      </w:pPr>
      <w:r>
        <w:t xml:space="preserve">6.3. </w:t>
      </w:r>
      <w:r>
        <w:rPr>
          <w:b/>
        </w:rPr>
        <w:t>Comisión residual.</w:t>
      </w:r>
      <w:r>
        <w:t xml:space="preserve"> Equivale al </w:t>
      </w:r>
      <w:r>
        <w:rPr>
          <w:b/>
        </w:rPr>
        <w:t>diez por ciento (10%)</w:t>
      </w:r>
      <w:r>
        <w:t xml:space="preserve"> de cada pago efectivamente cobrado al Cliente Atribuido, sin IGV: (a) en planes mensuales, sobre los pagos segundo al duodécimo; (b) en planes anuales, sobre el pago anual. La comisión residual se genera únicamente durante los </w:t>
      </w:r>
      <w:r>
        <w:rPr>
          <w:b/>
        </w:rPr>
        <w:t>doce (12) meses</w:t>
      </w:r>
      <w:r>
        <w:t xml:space="preserve"> siguientes al primer pago del cliente y solo mientras el cliente mantenga su suscripción y pague efectivamente. </w:t>
      </w:r>
    </w:p>
    <w:p w14:paraId="6378B660" w14:textId="77777777" w:rsidR="00292592" w:rsidRDefault="006963EF">
      <w:pPr>
        <w:ind w:left="-5"/>
      </w:pPr>
      <w:r>
        <w:t xml:space="preserve">6.4. Si el Cliente Atribuido cambia de plan, de periodo o suma locales dentro de esos doce meses, la comisión residual se calcula sobre lo efectivamente cobrado. El bono de alta no se recalcula. </w:t>
      </w:r>
    </w:p>
    <w:p w14:paraId="28F95CBD" w14:textId="77777777" w:rsidR="00292592" w:rsidRDefault="006963EF">
      <w:pPr>
        <w:spacing w:after="243"/>
        <w:ind w:left="-5"/>
      </w:pPr>
      <w:r>
        <w:t xml:space="preserve">6.5. El Anexo 1 contiene la tabla de precios vigente a la fecha de firma y ejemplos de cálculo. En caso de discrepancia entre el Anexo 1 y esta cláusula, prevalece esta cláusula. </w:t>
      </w:r>
    </w:p>
    <w:p w14:paraId="01678CAA" w14:textId="77777777" w:rsidR="00292592" w:rsidRDefault="006963EF">
      <w:pPr>
        <w:pStyle w:val="Heading1"/>
        <w:ind w:left="-5"/>
      </w:pPr>
      <w:r>
        <w:t xml:space="preserve">CLÁUSULA SÉPTIMA: ATRIBUCIÓN DE CLIENTES Y DEVENGO </w:t>
      </w:r>
    </w:p>
    <w:p w14:paraId="7C8C0C9A" w14:textId="77777777" w:rsidR="00292592" w:rsidRDefault="006963EF">
      <w:pPr>
        <w:ind w:left="-5"/>
      </w:pPr>
      <w:r>
        <w:t xml:space="preserve">7.1. Se considera </w:t>
      </w:r>
      <w:r>
        <w:rPr>
          <w:b/>
        </w:rPr>
        <w:t>Cliente Atribuido</w:t>
      </w:r>
      <w:r>
        <w:t xml:space="preserve"> a EL PROMOTOR el negocio que cumpla todas las condiciones siguientes: </w:t>
      </w:r>
    </w:p>
    <w:p w14:paraId="23CC6EA7" w14:textId="77777777" w:rsidR="00292592" w:rsidRDefault="006963EF">
      <w:pPr>
        <w:numPr>
          <w:ilvl w:val="0"/>
          <w:numId w:val="3"/>
        </w:numPr>
        <w:spacing w:after="76"/>
        <w:ind w:hanging="338"/>
      </w:pPr>
      <w:r>
        <w:t xml:space="preserve">Fue registrado por EL PROMOTOR en la herramienta Ruta Comercial Notoria </w:t>
      </w:r>
      <w:r>
        <w:rPr>
          <w:b/>
        </w:rPr>
        <w:t>antes</w:t>
      </w:r>
      <w:r>
        <w:t xml:space="preserve"> de su primer pago, con fecha de visita o contacto. </w:t>
      </w:r>
    </w:p>
    <w:p w14:paraId="74BDC1AD" w14:textId="77777777" w:rsidR="00292592" w:rsidRDefault="006963EF">
      <w:pPr>
        <w:numPr>
          <w:ilvl w:val="0"/>
          <w:numId w:val="3"/>
        </w:numPr>
        <w:spacing w:after="76"/>
        <w:ind w:hanging="338"/>
      </w:pPr>
      <w:r>
        <w:t xml:space="preserve">Realizó su primer pago de un plan de pago dentro de los </w:t>
      </w:r>
      <w:r>
        <w:rPr>
          <w:b/>
        </w:rPr>
        <w:t>sesenta (60) días calendario</w:t>
      </w:r>
      <w:r>
        <w:t xml:space="preserve"> siguientes a esa fecha. </w:t>
      </w:r>
    </w:p>
    <w:p w14:paraId="2EBBEEDA" w14:textId="77777777" w:rsidR="00292592" w:rsidRDefault="006963EF">
      <w:pPr>
        <w:numPr>
          <w:ilvl w:val="0"/>
          <w:numId w:val="3"/>
        </w:numPr>
        <w:spacing w:after="76"/>
        <w:ind w:hanging="338"/>
      </w:pPr>
      <w:r>
        <w:t xml:space="preserve">El correo electrónico de su cuenta en Notoria está anotado en el registro, o el local de Google Maps elegido en el registro coincide con uno que el negocio agregó en su cuenta, o puede verificarse razonablemente como correspondiente a ese negocio. </w:t>
      </w:r>
    </w:p>
    <w:p w14:paraId="7AC6F556" w14:textId="77777777" w:rsidR="00292592" w:rsidRDefault="006963EF">
      <w:pPr>
        <w:numPr>
          <w:ilvl w:val="0"/>
          <w:numId w:val="3"/>
        </w:numPr>
        <w:spacing w:after="76"/>
        <w:ind w:hanging="338"/>
      </w:pPr>
      <w:r>
        <w:t xml:space="preserve">No era cliente de pago de Notoria en los seis (6) meses anteriores, ni había sido registrado previamente por NOTORIA u otro promotor con una visita dentro de los sesenta (60) días previos. En caso de doble registro, prevalece el registro más antiguo. </w:t>
      </w:r>
    </w:p>
    <w:p w14:paraId="3DBEE3C5" w14:textId="77777777" w:rsidR="00292592" w:rsidRDefault="006963EF">
      <w:pPr>
        <w:numPr>
          <w:ilvl w:val="0"/>
          <w:numId w:val="3"/>
        </w:numPr>
        <w:spacing w:after="76"/>
        <w:ind w:hanging="338"/>
      </w:pPr>
      <w:r>
        <w:t xml:space="preserve">El registro corresponde a una visita o contacto real con el negocio. NOTORIA podrá desconocer la atribución de los registros que no correspondan a una visita o contacto real. </w:t>
      </w:r>
    </w:p>
    <w:p w14:paraId="5F34DC66" w14:textId="77777777" w:rsidR="00292592" w:rsidRDefault="006963EF">
      <w:pPr>
        <w:numPr>
          <w:ilvl w:val="1"/>
          <w:numId w:val="4"/>
        </w:numPr>
      </w:pPr>
      <w:r>
        <w:t xml:space="preserve">Un negocio que ya tenía una cuenta gratuita se considera Cliente Atribuido si cumple las condiciones anteriores respecto de su primer pago. </w:t>
      </w:r>
    </w:p>
    <w:p w14:paraId="09F81B1C" w14:textId="77777777" w:rsidR="00292592" w:rsidRDefault="006963EF">
      <w:pPr>
        <w:numPr>
          <w:ilvl w:val="1"/>
          <w:numId w:val="4"/>
        </w:numPr>
      </w:pPr>
      <w:r>
        <w:rPr>
          <w:b/>
        </w:rPr>
        <w:t>Devengo.</w:t>
      </w:r>
      <w:r>
        <w:t xml:space="preserve"> El derecho a cobrar la comisión nace: (a) en planes mensuales, el bono de alta cuando el cliente realiza su </w:t>
      </w:r>
      <w:r>
        <w:rPr>
          <w:b/>
        </w:rPr>
        <w:t>segundo pago</w:t>
      </w:r>
      <w:r>
        <w:t xml:space="preserve">, y cada comisión residual cuando se cobra el pago que la genera; (b) en planes anuales, el bono de alta y la comisión residual cuando transcurren </w:t>
      </w:r>
      <w:r>
        <w:rPr>
          <w:b/>
        </w:rPr>
        <w:t>quince (15) días calendario</w:t>
      </w:r>
      <w:r>
        <w:t xml:space="preserve"> desde el pago anual sin que este haya sido reembolsado o desconocido. </w:t>
      </w:r>
    </w:p>
    <w:p w14:paraId="0E34C3C9" w14:textId="78306C46" w:rsidR="00292592" w:rsidRDefault="006963EF">
      <w:pPr>
        <w:numPr>
          <w:ilvl w:val="1"/>
          <w:numId w:val="4"/>
        </w:numPr>
      </w:pPr>
      <w:r>
        <w:rPr>
          <w:b/>
        </w:rPr>
        <w:t>Reembolsos y contracargos.</w:t>
      </w:r>
      <w:r>
        <w:t xml:space="preserve"> Si el primer pago del cliente es reembolsado (incluido el ejercicio del derecho de retracto) o desconocido por el titular de la tarjeta, no se devenga comisión alguna por ese cliente. Si la comisión ya hubiera sido pagada, su importe se descontará de las liquidaciones siguientes; si el Contrato hubiera terminado y no existieran liquidaciones pendientes, EL PROMOTOR lo restituirá dentro de los treinta (30) días de requerido por escrito. </w:t>
      </w:r>
      <w:r w:rsidR="00FD576F">
        <w:t>El reembolso total de un pago posterior solo anula la comisión residual de ese pago; uno parcial la reduce en la misma proporción.</w:t>
      </w:r>
      <w:r>
        <w:t xml:space="preserve"> </w:t>
      </w:r>
    </w:p>
    <w:p w14:paraId="20BA3080" w14:textId="77777777" w:rsidR="00FD576F" w:rsidRDefault="006963EF" w:rsidP="008C452D">
      <w:pPr>
        <w:numPr>
          <w:ilvl w:val="1"/>
          <w:numId w:val="4"/>
        </w:numPr>
        <w:spacing w:after="245"/>
      </w:pPr>
      <w:r>
        <w:t xml:space="preserve">Las controversias sobre atribución se resolverán de buena fe con base en los registros de la herramienta y del sistema de pagos de NOTORIA, conforme a la cláusula décimo sexta. </w:t>
      </w:r>
    </w:p>
    <w:p w14:paraId="1947BBDB" w14:textId="2B7316F9" w:rsidR="00292592" w:rsidRDefault="00FD576F" w:rsidP="008C452D">
      <w:pPr>
        <w:numPr>
          <w:ilvl w:val="1"/>
          <w:numId w:val="4"/>
        </w:numPr>
        <w:spacing w:after="245"/>
      </w:pPr>
      <w:r w:rsidRPr="00FD576F">
        <w:t>La herramienta conserva cada registro con su fecha y un historial de los cambios en los datos que determinan la atribución (correo electrónico, local de Google Maps, fecha y estado) y en las comisiones pagadas, con indicación de quién los hizo y cuándo. Los registros anulados no generan comisión, pero se conservan como evidencia y forman parte de ese historial.</w:t>
      </w:r>
    </w:p>
    <w:p w14:paraId="6FFE7F1F" w14:textId="77777777" w:rsidR="00292592" w:rsidRDefault="006963EF">
      <w:pPr>
        <w:pStyle w:val="Heading1"/>
        <w:ind w:left="-5"/>
      </w:pPr>
      <w:r>
        <w:t xml:space="preserve">CLÁUSULA OCTAVA: LIQUIDACIÓN Y PAGO </w:t>
      </w:r>
    </w:p>
    <w:p w14:paraId="115FBBCE" w14:textId="77777777" w:rsidR="00292592" w:rsidRDefault="006963EF">
      <w:pPr>
        <w:ind w:left="-5"/>
      </w:pPr>
      <w:r>
        <w:t xml:space="preserve">8.1. Dentro de los primeros </w:t>
      </w:r>
      <w:r>
        <w:rPr>
          <w:b/>
        </w:rPr>
        <w:t>cinco (5) días hábiles</w:t>
      </w:r>
      <w:r>
        <w:t xml:space="preserve"> de cada mes, NOTORIA enviará a EL PROMOTOR la liquidación de las comisiones devengadas el mes anterior, con el detalle por cliente. </w:t>
      </w:r>
    </w:p>
    <w:p w14:paraId="20B484E9" w14:textId="77777777" w:rsidR="00292592" w:rsidRDefault="006963EF">
      <w:pPr>
        <w:spacing w:after="10"/>
        <w:ind w:left="-5"/>
      </w:pPr>
      <w:r>
        <w:t xml:space="preserve">8.2. EL PROMOTOR podrá observar la liquidación dentro de los </w:t>
      </w:r>
      <w:r>
        <w:rPr>
          <w:b/>
        </w:rPr>
        <w:t>diez (10) días hábiles</w:t>
      </w:r>
      <w:r>
        <w:t xml:space="preserve"> siguientes. </w:t>
      </w:r>
    </w:p>
    <w:p w14:paraId="485BA587" w14:textId="77777777" w:rsidR="00292592" w:rsidRDefault="006963EF">
      <w:pPr>
        <w:ind w:left="-5"/>
      </w:pPr>
      <w:r>
        <w:t xml:space="preserve">Las observaciones se resolverán de buena fe; los montos no observados se pagan igual. </w:t>
      </w:r>
    </w:p>
    <w:p w14:paraId="7EE9FF6F" w14:textId="77777777" w:rsidR="00292592" w:rsidRDefault="006963EF">
      <w:pPr>
        <w:spacing w:after="121" w:line="298" w:lineRule="auto"/>
        <w:ind w:left="0" w:firstLine="0"/>
        <w:jc w:val="left"/>
      </w:pPr>
      <w:r>
        <w:t xml:space="preserve">8.3. NOTORIA pagará las comisiones mediante transferencia a la cuenta bancaria indicada en el Anexo 2, dentro de los </w:t>
      </w:r>
      <w:r>
        <w:rPr>
          <w:b/>
        </w:rPr>
        <w:t>diez (10) días hábiles</w:t>
      </w:r>
      <w:r>
        <w:t xml:space="preserve"> siguientes a la recepción del recibo por honorarios electrónico u otro comprobante válido emitido por EL PROMOTOR. </w:t>
      </w:r>
    </w:p>
    <w:p w14:paraId="71F94BE5" w14:textId="77777777" w:rsidR="00292592" w:rsidRDefault="006963EF">
      <w:pPr>
        <w:spacing w:after="245"/>
        <w:ind w:left="-5"/>
      </w:pPr>
      <w:r>
        <w:t xml:space="preserve">8.4. Si el total del mes es menor a S/ ______ (____________ soles), podrá acumularse al mes siguiente, salvo que EL PROMOTOR solicite el pago. </w:t>
      </w:r>
    </w:p>
    <w:p w14:paraId="03E172BA" w14:textId="77777777" w:rsidR="00292592" w:rsidRDefault="006963EF">
      <w:pPr>
        <w:pStyle w:val="Heading1"/>
        <w:ind w:left="-5"/>
      </w:pPr>
      <w:r>
        <w:t xml:space="preserve">CLÁUSULA NOVENA: CONFIDENCIALIDAD Y DATOS PERSONALES </w:t>
      </w:r>
    </w:p>
    <w:p w14:paraId="7AFAF7A6" w14:textId="77777777" w:rsidR="00292592" w:rsidRDefault="006963EF">
      <w:pPr>
        <w:ind w:left="-5"/>
      </w:pPr>
      <w:r>
        <w:t xml:space="preserve">9.1. EL PROMOTOR mantendrá en reserva la información no pública de NOTORIA a la que acceda (precios especiales, datos de clientes, métricas, información técnica y comercial), durante el Contrato y hasta dos (2) años después de su término. </w:t>
      </w:r>
    </w:p>
    <w:p w14:paraId="08FB9059" w14:textId="77777777" w:rsidR="00292592" w:rsidRDefault="006963EF">
      <w:pPr>
        <w:spacing w:after="245"/>
        <w:ind w:left="-5"/>
      </w:pPr>
      <w:r>
        <w:t xml:space="preserve">9.2. Los datos de prospectos y clientes que EL PROMOTOR registre son de titularidad de NOTORIA, se usarán solo para los fines del Contrato y se tratarán conforme a la Ley N.° 29733 y su reglamento. EL PROMOTOR solo recogerá los datos necesarios, informará a la persona para qué se usan cuando los solicite, y al término del Contrato eliminará las copias que conserve fuera de la herramienta. </w:t>
      </w:r>
    </w:p>
    <w:p w14:paraId="35DD4F52" w14:textId="77777777" w:rsidR="00292592" w:rsidRDefault="006963EF">
      <w:pPr>
        <w:pStyle w:val="Heading1"/>
        <w:ind w:left="-5"/>
      </w:pPr>
      <w:r>
        <w:t xml:space="preserve">CLÁUSULA DÉCIMA: MARCA Y CLIENTES </w:t>
      </w:r>
    </w:p>
    <w:p w14:paraId="0638BDFB" w14:textId="77777777" w:rsidR="00292592" w:rsidRDefault="006963EF">
      <w:pPr>
        <w:ind w:left="-5"/>
      </w:pPr>
      <w:r>
        <w:t xml:space="preserve">10.1. La marca, logotipos, contenidos y materiales de Notoria son de NOTORIA. Se autoriza a EL PROMOTOR a usarlos de forma gratuita, no exclusiva y revocable, solo para los fines del Contrato. EL PROMOTOR no creará cuentas en redes sociales, páginas web ni anuncios con la marca Notoria sin autorización escrita. </w:t>
      </w:r>
    </w:p>
    <w:p w14:paraId="49DCFAB5" w14:textId="77777777" w:rsidR="00292592" w:rsidRDefault="006963EF">
      <w:pPr>
        <w:spacing w:after="245"/>
        <w:ind w:left="-5"/>
      </w:pPr>
      <w:r>
        <w:t xml:space="preserve">10.2. Los clientes que contraten el servicio son clientes de NOTORIA. EL PROMOTOR conserva su derecho a las comisiones conforme al Contrato. </w:t>
      </w:r>
    </w:p>
    <w:p w14:paraId="3D8AD842" w14:textId="77777777" w:rsidR="00292592" w:rsidRDefault="006963EF">
      <w:pPr>
        <w:pStyle w:val="Heading1"/>
        <w:ind w:left="-5"/>
      </w:pPr>
      <w:r>
        <w:t xml:space="preserve">CLÁUSULA DÉCIMO PRIMERA: TRIBUTOS </w:t>
      </w:r>
    </w:p>
    <w:p w14:paraId="1297220A" w14:textId="77777777" w:rsidR="00292592" w:rsidRDefault="006963EF">
      <w:pPr>
        <w:ind w:left="-5"/>
      </w:pPr>
      <w:r>
        <w:t xml:space="preserve">11.1. Cada Parte asume sus propios tributos. EL PROMOTOR emitirá recibo por honorarios electrónico u otro comprobante válido por cada pago. NOTORIA efectuará las retenciones que la ley le obligue (por ejemplo, la retención del impuesto a la renta de cuarta categoría cuando el importe del recibo lo exija), salvo que EL PROMOTOR presente la constancia de suspensión de retenciones vigente. </w:t>
      </w:r>
    </w:p>
    <w:p w14:paraId="4B0186BD" w14:textId="77777777" w:rsidR="00292592" w:rsidRDefault="006963EF">
      <w:pPr>
        <w:pStyle w:val="Heading1"/>
        <w:ind w:left="-5"/>
      </w:pPr>
      <w:r>
        <w:t xml:space="preserve">CLÁUSULA DÉCIMO SEGUNDA: NO DESVÍO DE CLIENTES </w:t>
      </w:r>
    </w:p>
    <w:p w14:paraId="149AE7D7" w14:textId="77777777" w:rsidR="00292592" w:rsidRDefault="006963EF">
      <w:pPr>
        <w:spacing w:after="245"/>
        <w:ind w:left="-5"/>
      </w:pPr>
      <w:r>
        <w:t xml:space="preserve">12.1. Durante la vigencia del Contrato y los seis (6) meses siguientes a su término, EL PROMOTOR no inducirá a los Clientes Atribuidos a cancelar Notoria para contratar un servicio competidor de monitoreo de reputación. Esta cláusula no impide a EL PROMOTOR prestar otros servicios ni promover productos que no compitan con Notoria. </w:t>
      </w:r>
    </w:p>
    <w:p w14:paraId="15BCDB28" w14:textId="77777777" w:rsidR="00292592" w:rsidRDefault="006963EF">
      <w:pPr>
        <w:pStyle w:val="Heading1"/>
        <w:ind w:left="-5"/>
      </w:pPr>
      <w:r>
        <w:t xml:space="preserve">CLÁUSULA DÉCIMO TERCERA: PLAZO Y TERMINACIÓN </w:t>
      </w:r>
    </w:p>
    <w:p w14:paraId="09303BEA" w14:textId="77777777" w:rsidR="00292592" w:rsidRDefault="006963EF">
      <w:pPr>
        <w:spacing w:after="5"/>
        <w:ind w:left="-5"/>
      </w:pPr>
      <w:r>
        <w:t xml:space="preserve">13.1. El Contrato rige desde su firma por un plazo de </w:t>
      </w:r>
      <w:r>
        <w:rPr>
          <w:b/>
        </w:rPr>
        <w:t>doce (12) meses</w:t>
      </w:r>
      <w:r>
        <w:t xml:space="preserve">, renovable automáticamente por periodos iguales si ninguna de las Partes comunica lo contrario con quince </w:t>
      </w:r>
    </w:p>
    <w:p w14:paraId="1A774432" w14:textId="77777777" w:rsidR="00292592" w:rsidRDefault="006963EF">
      <w:pPr>
        <w:ind w:left="-5"/>
      </w:pPr>
      <w:r>
        <w:t xml:space="preserve">(15) días de anticipación al vencimiento. </w:t>
      </w:r>
    </w:p>
    <w:p w14:paraId="6C7FF0E0" w14:textId="77777777" w:rsidR="00292592" w:rsidRDefault="006963EF">
      <w:pPr>
        <w:ind w:left="-5"/>
      </w:pPr>
      <w:r>
        <w:t xml:space="preserve">13.2. Cualquiera de las Partes puede terminar el Contrato </w:t>
      </w:r>
      <w:r>
        <w:rPr>
          <w:b/>
        </w:rPr>
        <w:t>sin expresión de causa</w:t>
      </w:r>
      <w:r>
        <w:t xml:space="preserve">, comunicándolo por escrito con </w:t>
      </w:r>
      <w:r>
        <w:rPr>
          <w:b/>
        </w:rPr>
        <w:t>quince (15) días calendario</w:t>
      </w:r>
      <w:r>
        <w:t xml:space="preserve"> de anticipación. </w:t>
      </w:r>
    </w:p>
    <w:p w14:paraId="0348C2DB" w14:textId="77777777" w:rsidR="00292592" w:rsidRDefault="006963EF">
      <w:pPr>
        <w:ind w:left="-5"/>
      </w:pPr>
      <w:r>
        <w:t xml:space="preserve">13.3. Cualquiera de las Partes puede resolver el Contrato de pleno derecho, conforme al artículo 1430 del Código Civil, comunicándolo por escrito, en caso de incumplimiento grave de la otra, como: cobrar o recibir dinero de clientes, prometer reiteradamente funciones o resultados falsos pese a advertencia escrita, uso indebido de datos personales o de la marca, o falta de pago de comisiones devengadas por más de treinta (30) días desde su vencimiento. </w:t>
      </w:r>
    </w:p>
    <w:p w14:paraId="1967FA3E" w14:textId="77777777" w:rsidR="00292592" w:rsidRDefault="006963EF">
      <w:pPr>
        <w:spacing w:after="243"/>
        <w:ind w:left="-5"/>
      </w:pPr>
      <w:r>
        <w:t xml:space="preserve">13.4. </w:t>
      </w:r>
      <w:r>
        <w:rPr>
          <w:b/>
        </w:rPr>
        <w:t>Efectos de la terminación.</w:t>
      </w:r>
      <w:r>
        <w:t xml:space="preserve"> Se pagarán todas las comisiones devengadas hasta la fecha de término. Si el Contrato termina sin causa (13.2), por vencimiento del plazo, o por resolución imputable a NOTORIA, EL PROMOTOR </w:t>
      </w:r>
      <w:r>
        <w:rPr>
          <w:b/>
        </w:rPr>
        <w:t>conservará el derecho</w:t>
      </w:r>
      <w:r>
        <w:t xml:space="preserve"> a la comisión residual y a los bonos de alta que se devenguen después, por los Clientes Atribuidos antes del término, hasta completar los doce (12) meses de cada cliente. Si el Contrato se resuelve por incumplimiento grave de EL PROMOTOR, solo se pagarán las comisiones devengadas hasta la fecha de resolución. </w:t>
      </w:r>
    </w:p>
    <w:p w14:paraId="44F7D638" w14:textId="77777777" w:rsidR="00292592" w:rsidRDefault="006963EF">
      <w:pPr>
        <w:pStyle w:val="Heading1"/>
        <w:ind w:left="-5"/>
      </w:pPr>
      <w:r>
        <w:t xml:space="preserve">CLÁUSULA DÉCIMO CUARTA: MODIFICACIONES </w:t>
      </w:r>
    </w:p>
    <w:p w14:paraId="72E20DF0" w14:textId="6B111555" w:rsidR="00292592" w:rsidRDefault="006963EF">
      <w:pPr>
        <w:ind w:left="-5"/>
      </w:pPr>
      <w:r>
        <w:t xml:space="preserve">14.1. Toda modificación del Contrato, incluidos los porcentajes de comisión, debe constar por escrito (se admite correo electrónico de ambas Partes) y regirá desde los treinta (30) días de comunicada. Los cambios en las comisiones </w:t>
      </w:r>
      <w:r>
        <w:rPr>
          <w:b/>
        </w:rPr>
        <w:t>no afectan a los Clientes Atribuidos antes</w:t>
      </w:r>
      <w:r>
        <w:t xml:space="preserve"> </w:t>
      </w:r>
      <w:r w:rsidR="00FD576F">
        <w:t>de su entrada en vigencia: cada registro conserva la versión de las reglas de comisión vigente en la fecha de la visita o contacto, y se le aplican esas reglas.</w:t>
      </w:r>
      <w:r>
        <w:t xml:space="preserve"> </w:t>
      </w:r>
    </w:p>
    <w:p w14:paraId="653DAA18" w14:textId="77777777" w:rsidR="00292592" w:rsidRDefault="006963EF">
      <w:pPr>
        <w:spacing w:after="243"/>
        <w:ind w:left="-5"/>
      </w:pPr>
      <w:r>
        <w:t xml:space="preserve">14.2. NOTORIA puede modificar libremente sus precios y planes publicados; las comisiones se calculan sobre los precios vigentes al momento del pago respectivo. </w:t>
      </w:r>
    </w:p>
    <w:p w14:paraId="09B348F1" w14:textId="77777777" w:rsidR="00292592" w:rsidRDefault="006963EF">
      <w:pPr>
        <w:pStyle w:val="Heading1"/>
        <w:ind w:left="-5"/>
      </w:pPr>
      <w:r>
        <w:t xml:space="preserve">CLÁUSULA DÉCIMO QUINTA: COMUNICACIONES </w:t>
      </w:r>
    </w:p>
    <w:p w14:paraId="3E020072" w14:textId="77777777" w:rsidR="00292592" w:rsidRDefault="006963EF">
      <w:pPr>
        <w:spacing w:after="245"/>
        <w:ind w:left="-5"/>
      </w:pPr>
      <w:r>
        <w:t xml:space="preserve">15.1. Las comunicaciones se cursarán a los correos electrónicos indicados en la introducción y en el Anexo 2, y se entienden recibidas el día hábil siguiente a su envío. Las coordinaciones operativas pueden realizarse por WhatsApp. El cambio de correo o domicilio debe comunicarse por escrito. </w:t>
      </w:r>
    </w:p>
    <w:p w14:paraId="6DD7E669" w14:textId="77777777" w:rsidR="00292592" w:rsidRDefault="006963EF">
      <w:pPr>
        <w:pStyle w:val="Heading1"/>
        <w:ind w:left="-5"/>
      </w:pPr>
      <w:r>
        <w:t xml:space="preserve">CLÁUSULA DÉCIMO SEXTA: SOLUCIÓN DE CONTROVERSIAS Y LEY APLICABLE </w:t>
      </w:r>
    </w:p>
    <w:p w14:paraId="0EAF318D" w14:textId="77777777" w:rsidR="00292592" w:rsidRDefault="006963EF">
      <w:pPr>
        <w:ind w:left="-5"/>
      </w:pPr>
      <w:r>
        <w:t xml:space="preserve">16.1. El Contrato se rige por las leyes de la República del Perú. Las Partes procurarán resolver cualquier controversia mediante trato directo durante quince (15) días hábiles desde que una de ellas la comunique por escrito. De no llegar a un acuerdo, podrán acudir a un centro de conciliación y, en su defecto, a los jueces y tribunales de ____________________________, renunciando al fuero de sus domicilios. </w:t>
      </w:r>
    </w:p>
    <w:p w14:paraId="720C94CF" w14:textId="77777777" w:rsidR="00292592" w:rsidRDefault="006963EF">
      <w:pPr>
        <w:pStyle w:val="Heading1"/>
        <w:ind w:left="-5"/>
      </w:pPr>
      <w:r>
        <w:t xml:space="preserve">CLÁUSULA DÉCIMO SÉPTIMA: DECLARACIONES FINALES </w:t>
      </w:r>
    </w:p>
    <w:p w14:paraId="67B5B7F1" w14:textId="77777777" w:rsidR="00292592" w:rsidRDefault="006963EF">
      <w:pPr>
        <w:spacing w:after="1344"/>
        <w:ind w:left="-5"/>
      </w:pPr>
      <w:r>
        <w:t xml:space="preserve">17.1. Las Partes declaran que han leído el Contrato, que lo consideran justo y equilibrado, y que lo suscriben libremente en dos (2) ejemplares de igual valor, en la ciudad de ____________________, el ______ de ____________________ de 20____. </w:t>
      </w:r>
    </w:p>
    <w:p w14:paraId="415E845F" w14:textId="77777777" w:rsidR="00292592" w:rsidRDefault="006963EF">
      <w:pPr>
        <w:tabs>
          <w:tab w:val="center" w:pos="2256"/>
          <w:tab w:val="center" w:pos="6771"/>
        </w:tabs>
        <w:spacing w:after="3" w:line="259" w:lineRule="auto"/>
        <w:ind w:left="0" w:firstLine="0"/>
        <w:jc w:val="left"/>
      </w:pPr>
      <w:r>
        <w:rPr>
          <w:rFonts w:ascii="Calibri" w:eastAsia="Calibri" w:hAnsi="Calibri" w:cs="Calibri"/>
          <w:sz w:val="22"/>
        </w:rPr>
        <w:tab/>
      </w:r>
      <w:r>
        <w:t xml:space="preserve">________________________________ </w:t>
      </w:r>
      <w:r>
        <w:tab/>
        <w:t xml:space="preserve">________________________________ </w:t>
      </w:r>
    </w:p>
    <w:p w14:paraId="620918F6" w14:textId="77777777" w:rsidR="00292592" w:rsidRDefault="006963EF">
      <w:pPr>
        <w:tabs>
          <w:tab w:val="center" w:pos="2257"/>
          <w:tab w:val="center" w:pos="6770"/>
        </w:tabs>
        <w:spacing w:after="1" w:line="259" w:lineRule="auto"/>
        <w:ind w:left="0" w:firstLine="0"/>
        <w:jc w:val="left"/>
      </w:pPr>
      <w:r>
        <w:rPr>
          <w:rFonts w:ascii="Calibri" w:eastAsia="Calibri" w:hAnsi="Calibri" w:cs="Calibri"/>
          <w:sz w:val="22"/>
        </w:rPr>
        <w:tab/>
      </w:r>
      <w:r>
        <w:rPr>
          <w:b/>
        </w:rPr>
        <w:t>NOTORIA E.I.R.L.</w:t>
      </w:r>
      <w:r>
        <w:t xml:space="preserve"> </w:t>
      </w:r>
      <w:r>
        <w:tab/>
      </w:r>
      <w:r>
        <w:rPr>
          <w:b/>
        </w:rPr>
        <w:t>EL PROMOTOR</w:t>
      </w:r>
      <w:r>
        <w:t xml:space="preserve"> </w:t>
      </w:r>
    </w:p>
    <w:p w14:paraId="120F7727" w14:textId="77777777" w:rsidR="00292592" w:rsidRDefault="006963EF">
      <w:pPr>
        <w:tabs>
          <w:tab w:val="center" w:pos="2254"/>
          <w:tab w:val="center" w:pos="6771"/>
        </w:tabs>
        <w:spacing w:after="3" w:line="259" w:lineRule="auto"/>
        <w:ind w:left="0" w:firstLine="0"/>
        <w:jc w:val="left"/>
      </w:pPr>
      <w:r>
        <w:rPr>
          <w:rFonts w:ascii="Calibri" w:eastAsia="Calibri" w:hAnsi="Calibri" w:cs="Calibri"/>
          <w:sz w:val="22"/>
        </w:rPr>
        <w:tab/>
      </w:r>
      <w:r>
        <w:rPr>
          <w:sz w:val="19"/>
        </w:rPr>
        <w:t>RUC 20616239466</w:t>
      </w:r>
      <w:r>
        <w:t xml:space="preserve"> </w:t>
      </w:r>
      <w:r>
        <w:tab/>
      </w:r>
      <w:r>
        <w:rPr>
          <w:sz w:val="19"/>
        </w:rPr>
        <w:t>Nombre: ____________________</w:t>
      </w:r>
      <w:r>
        <w:t xml:space="preserve"> </w:t>
      </w:r>
    </w:p>
    <w:p w14:paraId="765AC837" w14:textId="77777777" w:rsidR="00292592" w:rsidRDefault="006963EF">
      <w:pPr>
        <w:tabs>
          <w:tab w:val="center" w:pos="2254"/>
          <w:tab w:val="center" w:pos="6768"/>
        </w:tabs>
        <w:spacing w:after="3" w:line="259" w:lineRule="auto"/>
        <w:ind w:left="0" w:firstLine="0"/>
        <w:jc w:val="left"/>
      </w:pPr>
      <w:r>
        <w:rPr>
          <w:rFonts w:ascii="Calibri" w:eastAsia="Calibri" w:hAnsi="Calibri" w:cs="Calibri"/>
          <w:sz w:val="22"/>
        </w:rPr>
        <w:tab/>
      </w:r>
      <w:r>
        <w:rPr>
          <w:sz w:val="19"/>
        </w:rPr>
        <w:t>Titular-Gerente: ____________________</w:t>
      </w:r>
      <w:r>
        <w:t xml:space="preserve"> </w:t>
      </w:r>
      <w:r>
        <w:tab/>
      </w:r>
      <w:r>
        <w:rPr>
          <w:sz w:val="19"/>
        </w:rPr>
        <w:t>DNI: ______________</w:t>
      </w:r>
      <w:r>
        <w:t xml:space="preserve"> </w:t>
      </w:r>
    </w:p>
    <w:p w14:paraId="13BFD6E7" w14:textId="77777777" w:rsidR="00292592" w:rsidRDefault="006963EF">
      <w:pPr>
        <w:spacing w:after="3" w:line="259" w:lineRule="auto"/>
        <w:ind w:left="1308"/>
        <w:jc w:val="left"/>
      </w:pPr>
      <w:r>
        <w:rPr>
          <w:sz w:val="19"/>
        </w:rPr>
        <w:t>DNI: ______________</w:t>
      </w:r>
      <w:r>
        <w:t xml:space="preserve"> </w:t>
      </w:r>
      <w:r>
        <w:br w:type="page"/>
      </w:r>
    </w:p>
    <w:p w14:paraId="41A40534" w14:textId="77777777" w:rsidR="00292592" w:rsidRDefault="006963EF" w:rsidP="008C452D">
      <w:pPr>
        <w:pStyle w:val="Heading1"/>
        <w:pageBreakBefore/>
        <w:spacing w:after="130"/>
        <w:ind w:left="-5"/>
      </w:pPr>
      <w:r>
        <w:rPr>
          <w:sz w:val="26"/>
        </w:rPr>
        <w:t xml:space="preserve">ANEXO 1: PRECIOS Y EJEMPLOS DE COMISIÓN </w:t>
      </w:r>
    </w:p>
    <w:p w14:paraId="4C6878F3" w14:textId="77777777" w:rsidR="00292592" w:rsidRDefault="006963EF">
      <w:pPr>
        <w:spacing w:after="0"/>
        <w:ind w:left="-5"/>
      </w:pPr>
      <w:r>
        <w:t xml:space="preserve">Precios de lista publicados en usenotoria.app a la fecha de firma (incluyen IGV). Las comisiones se calculan sin IGV (precio ÷ 1.18). </w:t>
      </w:r>
    </w:p>
    <w:tbl>
      <w:tblPr>
        <w:tblStyle w:val="TableGrid"/>
        <w:tblW w:w="9025" w:type="dxa"/>
        <w:tblInd w:w="6" w:type="dxa"/>
        <w:tblCellMar>
          <w:top w:w="79" w:type="dxa"/>
          <w:left w:w="98" w:type="dxa"/>
          <w:right w:w="52" w:type="dxa"/>
        </w:tblCellMar>
        <w:tblLook w:val="04A0" w:firstRow="1" w:lastRow="0" w:firstColumn="1" w:lastColumn="0" w:noHBand="0" w:noVBand="1"/>
      </w:tblPr>
      <w:tblGrid>
        <w:gridCol w:w="1599"/>
        <w:gridCol w:w="1300"/>
        <w:gridCol w:w="1300"/>
        <w:gridCol w:w="2228"/>
        <w:gridCol w:w="2598"/>
      </w:tblGrid>
      <w:tr w:rsidR="00292592" w14:paraId="4A98280A" w14:textId="77777777">
        <w:trPr>
          <w:trHeight w:val="519"/>
        </w:trPr>
        <w:tc>
          <w:tcPr>
            <w:tcW w:w="1600" w:type="dxa"/>
            <w:tcBorders>
              <w:top w:val="single" w:sz="4" w:space="0" w:color="AAAAAA"/>
              <w:left w:val="single" w:sz="4" w:space="0" w:color="AAAAAA"/>
              <w:bottom w:val="single" w:sz="4" w:space="0" w:color="AAAAAA"/>
              <w:right w:val="single" w:sz="4" w:space="0" w:color="AAAAAA"/>
            </w:tcBorders>
            <w:shd w:val="clear" w:color="auto" w:fill="E6EFE8"/>
          </w:tcPr>
          <w:p w14:paraId="5EF4F30B" w14:textId="77777777" w:rsidR="00292592" w:rsidRDefault="006963EF">
            <w:pPr>
              <w:spacing w:after="0" w:line="259" w:lineRule="auto"/>
              <w:ind w:left="1" w:firstLine="0"/>
              <w:jc w:val="left"/>
            </w:pPr>
            <w:r>
              <w:rPr>
                <w:b/>
                <w:sz w:val="19"/>
              </w:rPr>
              <w:t>Plan</w:t>
            </w:r>
            <w:r>
              <w:t xml:space="preserve"> </w:t>
            </w:r>
          </w:p>
        </w:tc>
        <w:tc>
          <w:tcPr>
            <w:tcW w:w="1300" w:type="dxa"/>
            <w:tcBorders>
              <w:top w:val="single" w:sz="4" w:space="0" w:color="AAAAAA"/>
              <w:left w:val="single" w:sz="4" w:space="0" w:color="AAAAAA"/>
              <w:bottom w:val="single" w:sz="4" w:space="0" w:color="AAAAAA"/>
              <w:right w:val="single" w:sz="4" w:space="0" w:color="AAAAAA"/>
            </w:tcBorders>
            <w:shd w:val="clear" w:color="auto" w:fill="E6EFE8"/>
          </w:tcPr>
          <w:p w14:paraId="761CD4FE" w14:textId="77777777" w:rsidR="00292592" w:rsidRDefault="006963EF">
            <w:pPr>
              <w:spacing w:after="0" w:line="259" w:lineRule="auto"/>
              <w:ind w:left="0" w:firstLine="0"/>
              <w:jc w:val="left"/>
            </w:pPr>
            <w:r>
              <w:rPr>
                <w:b/>
                <w:sz w:val="19"/>
              </w:rPr>
              <w:t>Mensual</w:t>
            </w:r>
            <w:r>
              <w:t xml:space="preserve"> </w:t>
            </w:r>
          </w:p>
        </w:tc>
        <w:tc>
          <w:tcPr>
            <w:tcW w:w="1300" w:type="dxa"/>
            <w:tcBorders>
              <w:top w:val="single" w:sz="4" w:space="0" w:color="AAAAAA"/>
              <w:left w:val="single" w:sz="4" w:space="0" w:color="AAAAAA"/>
              <w:bottom w:val="single" w:sz="4" w:space="0" w:color="AAAAAA"/>
              <w:right w:val="single" w:sz="4" w:space="0" w:color="AAAAAA"/>
            </w:tcBorders>
            <w:shd w:val="clear" w:color="auto" w:fill="E6EFE8"/>
          </w:tcPr>
          <w:p w14:paraId="4B2418F9" w14:textId="77777777" w:rsidR="00292592" w:rsidRDefault="006963EF">
            <w:pPr>
              <w:spacing w:after="0" w:line="259" w:lineRule="auto"/>
              <w:ind w:left="1" w:firstLine="0"/>
              <w:jc w:val="left"/>
            </w:pPr>
            <w:r>
              <w:rPr>
                <w:b/>
                <w:sz w:val="19"/>
              </w:rPr>
              <w:t>Anual</w:t>
            </w:r>
            <w:r>
              <w:t xml:space="preserve"> </w:t>
            </w:r>
          </w:p>
        </w:tc>
        <w:tc>
          <w:tcPr>
            <w:tcW w:w="2228" w:type="dxa"/>
            <w:tcBorders>
              <w:top w:val="single" w:sz="4" w:space="0" w:color="AAAAAA"/>
              <w:left w:val="single" w:sz="4" w:space="0" w:color="AAAAAA"/>
              <w:bottom w:val="single" w:sz="4" w:space="0" w:color="AAAAAA"/>
              <w:right w:val="single" w:sz="4" w:space="0" w:color="AAAAAA"/>
            </w:tcBorders>
            <w:shd w:val="clear" w:color="auto" w:fill="E6EFE8"/>
          </w:tcPr>
          <w:p w14:paraId="42DED64F" w14:textId="77777777" w:rsidR="00292592" w:rsidRDefault="006963EF">
            <w:pPr>
              <w:spacing w:after="0" w:line="259" w:lineRule="auto"/>
              <w:ind w:left="2" w:firstLine="0"/>
              <w:jc w:val="left"/>
            </w:pPr>
            <w:r>
              <w:rPr>
                <w:b/>
                <w:sz w:val="19"/>
              </w:rPr>
              <w:t>Local adicional</w:t>
            </w:r>
            <w:r>
              <w:t xml:space="preserve"> </w:t>
            </w:r>
          </w:p>
        </w:tc>
        <w:tc>
          <w:tcPr>
            <w:tcW w:w="2598" w:type="dxa"/>
            <w:tcBorders>
              <w:top w:val="single" w:sz="4" w:space="0" w:color="AAAAAA"/>
              <w:left w:val="single" w:sz="4" w:space="0" w:color="AAAAAA"/>
              <w:bottom w:val="single" w:sz="4" w:space="0" w:color="AAAAAA"/>
              <w:right w:val="single" w:sz="4" w:space="0" w:color="AAAAAA"/>
            </w:tcBorders>
            <w:shd w:val="clear" w:color="auto" w:fill="E6EFE8"/>
          </w:tcPr>
          <w:p w14:paraId="79D063F8" w14:textId="77777777" w:rsidR="00292592" w:rsidRDefault="006963EF">
            <w:pPr>
              <w:spacing w:after="0" w:line="259" w:lineRule="auto"/>
              <w:ind w:left="0" w:firstLine="0"/>
              <w:jc w:val="left"/>
            </w:pPr>
            <w:r>
              <w:rPr>
                <w:b/>
                <w:sz w:val="19"/>
              </w:rPr>
              <w:t>Bono de alta (50% del mes sin IGV)</w:t>
            </w:r>
            <w:r>
              <w:t xml:space="preserve"> </w:t>
            </w:r>
          </w:p>
        </w:tc>
      </w:tr>
      <w:tr w:rsidR="00292592" w14:paraId="79E9D979" w14:textId="77777777">
        <w:trPr>
          <w:trHeight w:val="374"/>
        </w:trPr>
        <w:tc>
          <w:tcPr>
            <w:tcW w:w="1600" w:type="dxa"/>
            <w:tcBorders>
              <w:top w:val="single" w:sz="4" w:space="0" w:color="AAAAAA"/>
              <w:left w:val="single" w:sz="4" w:space="0" w:color="AAAAAA"/>
              <w:bottom w:val="single" w:sz="4" w:space="0" w:color="AAAAAA"/>
              <w:right w:val="single" w:sz="4" w:space="0" w:color="AAAAAA"/>
            </w:tcBorders>
          </w:tcPr>
          <w:p w14:paraId="4A44E6B7" w14:textId="77777777" w:rsidR="00292592" w:rsidRDefault="006963EF">
            <w:pPr>
              <w:spacing w:after="0" w:line="259" w:lineRule="auto"/>
              <w:ind w:left="1" w:firstLine="0"/>
              <w:jc w:val="left"/>
            </w:pPr>
            <w:r>
              <w:rPr>
                <w:sz w:val="19"/>
              </w:rPr>
              <w:t>Impulso</w:t>
            </w:r>
            <w:r>
              <w:t xml:space="preserve"> </w:t>
            </w:r>
          </w:p>
        </w:tc>
        <w:tc>
          <w:tcPr>
            <w:tcW w:w="1300" w:type="dxa"/>
            <w:tcBorders>
              <w:top w:val="single" w:sz="4" w:space="0" w:color="AAAAAA"/>
              <w:left w:val="single" w:sz="4" w:space="0" w:color="AAAAAA"/>
              <w:bottom w:val="single" w:sz="4" w:space="0" w:color="AAAAAA"/>
              <w:right w:val="single" w:sz="4" w:space="0" w:color="AAAAAA"/>
            </w:tcBorders>
          </w:tcPr>
          <w:p w14:paraId="5053E793" w14:textId="77777777" w:rsidR="00292592" w:rsidRDefault="006963EF">
            <w:pPr>
              <w:spacing w:after="0" w:line="259" w:lineRule="auto"/>
              <w:ind w:left="0" w:firstLine="0"/>
              <w:jc w:val="left"/>
            </w:pPr>
            <w:r>
              <w:rPr>
                <w:sz w:val="19"/>
              </w:rPr>
              <w:t>S/29</w:t>
            </w:r>
            <w:r>
              <w:t xml:space="preserve"> </w:t>
            </w:r>
          </w:p>
        </w:tc>
        <w:tc>
          <w:tcPr>
            <w:tcW w:w="1300" w:type="dxa"/>
            <w:tcBorders>
              <w:top w:val="single" w:sz="4" w:space="0" w:color="AAAAAA"/>
              <w:left w:val="single" w:sz="4" w:space="0" w:color="AAAAAA"/>
              <w:bottom w:val="single" w:sz="4" w:space="0" w:color="AAAAAA"/>
              <w:right w:val="single" w:sz="4" w:space="0" w:color="AAAAAA"/>
            </w:tcBorders>
          </w:tcPr>
          <w:p w14:paraId="3DE7DE39" w14:textId="77777777" w:rsidR="00292592" w:rsidRDefault="006963EF">
            <w:pPr>
              <w:spacing w:after="0" w:line="259" w:lineRule="auto"/>
              <w:ind w:left="1" w:firstLine="0"/>
              <w:jc w:val="left"/>
            </w:pPr>
            <w:r>
              <w:rPr>
                <w:sz w:val="19"/>
              </w:rPr>
              <w:t>S/276</w:t>
            </w:r>
            <w:r>
              <w:t xml:space="preserve"> </w:t>
            </w:r>
          </w:p>
        </w:tc>
        <w:tc>
          <w:tcPr>
            <w:tcW w:w="2228" w:type="dxa"/>
            <w:tcBorders>
              <w:top w:val="single" w:sz="4" w:space="0" w:color="AAAAAA"/>
              <w:left w:val="single" w:sz="4" w:space="0" w:color="AAAAAA"/>
              <w:bottom w:val="single" w:sz="4" w:space="0" w:color="AAAAAA"/>
              <w:right w:val="single" w:sz="4" w:space="0" w:color="AAAAAA"/>
            </w:tcBorders>
          </w:tcPr>
          <w:p w14:paraId="03451929" w14:textId="77777777" w:rsidR="00292592" w:rsidRDefault="006963EF">
            <w:pPr>
              <w:spacing w:after="0" w:line="259" w:lineRule="auto"/>
              <w:ind w:left="2" w:firstLine="0"/>
              <w:jc w:val="left"/>
            </w:pPr>
            <w:r>
              <w:rPr>
                <w:sz w:val="19"/>
              </w:rPr>
              <w:t>No aplica</w:t>
            </w:r>
            <w:r>
              <w:t xml:space="preserve"> </w:t>
            </w:r>
          </w:p>
        </w:tc>
        <w:tc>
          <w:tcPr>
            <w:tcW w:w="2598" w:type="dxa"/>
            <w:tcBorders>
              <w:top w:val="single" w:sz="4" w:space="0" w:color="AAAAAA"/>
              <w:left w:val="single" w:sz="4" w:space="0" w:color="AAAAAA"/>
              <w:bottom w:val="single" w:sz="4" w:space="0" w:color="AAAAAA"/>
              <w:right w:val="single" w:sz="4" w:space="0" w:color="AAAAAA"/>
            </w:tcBorders>
          </w:tcPr>
          <w:p w14:paraId="0CE2F551" w14:textId="77777777" w:rsidR="00292592" w:rsidRDefault="006963EF">
            <w:pPr>
              <w:spacing w:after="0" w:line="259" w:lineRule="auto"/>
              <w:ind w:left="0" w:firstLine="0"/>
              <w:jc w:val="left"/>
            </w:pPr>
            <w:r>
              <w:rPr>
                <w:sz w:val="19"/>
              </w:rPr>
              <w:t>S/12.29</w:t>
            </w:r>
            <w:r>
              <w:t xml:space="preserve"> </w:t>
            </w:r>
          </w:p>
        </w:tc>
      </w:tr>
      <w:tr w:rsidR="00292592" w14:paraId="7F2662EF" w14:textId="77777777">
        <w:trPr>
          <w:trHeight w:val="348"/>
        </w:trPr>
        <w:tc>
          <w:tcPr>
            <w:tcW w:w="1600" w:type="dxa"/>
            <w:tcBorders>
              <w:top w:val="single" w:sz="4" w:space="0" w:color="AAAAAA"/>
              <w:left w:val="single" w:sz="4" w:space="0" w:color="AAAAAA"/>
              <w:bottom w:val="single" w:sz="4" w:space="0" w:color="AAAAAA"/>
              <w:right w:val="single" w:sz="4" w:space="0" w:color="AAAAAA"/>
            </w:tcBorders>
          </w:tcPr>
          <w:p w14:paraId="1B48FEDF" w14:textId="77777777" w:rsidR="00292592" w:rsidRDefault="006963EF">
            <w:pPr>
              <w:spacing w:after="0" w:line="259" w:lineRule="auto"/>
              <w:ind w:left="1" w:firstLine="0"/>
              <w:jc w:val="left"/>
            </w:pPr>
            <w:r>
              <w:rPr>
                <w:sz w:val="19"/>
              </w:rPr>
              <w:t>Negocio</w:t>
            </w:r>
            <w:r>
              <w:t xml:space="preserve"> </w:t>
            </w:r>
          </w:p>
        </w:tc>
        <w:tc>
          <w:tcPr>
            <w:tcW w:w="1300" w:type="dxa"/>
            <w:tcBorders>
              <w:top w:val="single" w:sz="4" w:space="0" w:color="AAAAAA"/>
              <w:left w:val="single" w:sz="4" w:space="0" w:color="AAAAAA"/>
              <w:bottom w:val="single" w:sz="4" w:space="0" w:color="AAAAAA"/>
              <w:right w:val="single" w:sz="4" w:space="0" w:color="AAAAAA"/>
            </w:tcBorders>
          </w:tcPr>
          <w:p w14:paraId="5A666862" w14:textId="77777777" w:rsidR="00292592" w:rsidRDefault="006963EF">
            <w:pPr>
              <w:spacing w:after="0" w:line="259" w:lineRule="auto"/>
              <w:ind w:left="0" w:firstLine="0"/>
              <w:jc w:val="left"/>
            </w:pPr>
            <w:r>
              <w:rPr>
                <w:sz w:val="19"/>
              </w:rPr>
              <w:t>S/59</w:t>
            </w:r>
            <w:r>
              <w:t xml:space="preserve"> </w:t>
            </w:r>
          </w:p>
        </w:tc>
        <w:tc>
          <w:tcPr>
            <w:tcW w:w="1300" w:type="dxa"/>
            <w:tcBorders>
              <w:top w:val="single" w:sz="4" w:space="0" w:color="AAAAAA"/>
              <w:left w:val="single" w:sz="4" w:space="0" w:color="AAAAAA"/>
              <w:bottom w:val="single" w:sz="4" w:space="0" w:color="AAAAAA"/>
              <w:right w:val="single" w:sz="4" w:space="0" w:color="AAAAAA"/>
            </w:tcBorders>
          </w:tcPr>
          <w:p w14:paraId="25BF5A5C" w14:textId="77777777" w:rsidR="00292592" w:rsidRDefault="006963EF">
            <w:pPr>
              <w:spacing w:after="0" w:line="259" w:lineRule="auto"/>
              <w:ind w:left="1" w:firstLine="0"/>
              <w:jc w:val="left"/>
            </w:pPr>
            <w:r>
              <w:rPr>
                <w:sz w:val="19"/>
              </w:rPr>
              <w:t>S/564</w:t>
            </w:r>
            <w:r>
              <w:t xml:space="preserve"> </w:t>
            </w:r>
          </w:p>
        </w:tc>
        <w:tc>
          <w:tcPr>
            <w:tcW w:w="2228" w:type="dxa"/>
            <w:tcBorders>
              <w:top w:val="single" w:sz="4" w:space="0" w:color="AAAAAA"/>
              <w:left w:val="single" w:sz="4" w:space="0" w:color="AAAAAA"/>
              <w:bottom w:val="single" w:sz="4" w:space="0" w:color="AAAAAA"/>
              <w:right w:val="single" w:sz="4" w:space="0" w:color="AAAAAA"/>
            </w:tcBorders>
          </w:tcPr>
          <w:p w14:paraId="38FA3E55" w14:textId="77777777" w:rsidR="00292592" w:rsidRDefault="006963EF">
            <w:pPr>
              <w:spacing w:after="0" w:line="259" w:lineRule="auto"/>
              <w:ind w:left="2" w:firstLine="0"/>
              <w:jc w:val="left"/>
            </w:pPr>
            <w:r>
              <w:rPr>
                <w:sz w:val="19"/>
              </w:rPr>
              <w:t>S/39/mes · S/372/año</w:t>
            </w:r>
            <w:r>
              <w:t xml:space="preserve"> </w:t>
            </w:r>
          </w:p>
        </w:tc>
        <w:tc>
          <w:tcPr>
            <w:tcW w:w="2598" w:type="dxa"/>
            <w:tcBorders>
              <w:top w:val="single" w:sz="4" w:space="0" w:color="AAAAAA"/>
              <w:left w:val="single" w:sz="4" w:space="0" w:color="AAAAAA"/>
              <w:bottom w:val="single" w:sz="4" w:space="0" w:color="AAAAAA"/>
              <w:right w:val="single" w:sz="4" w:space="0" w:color="AAAAAA"/>
            </w:tcBorders>
          </w:tcPr>
          <w:p w14:paraId="73362495" w14:textId="77777777" w:rsidR="00292592" w:rsidRDefault="006963EF">
            <w:pPr>
              <w:spacing w:after="0" w:line="259" w:lineRule="auto"/>
              <w:ind w:left="0" w:firstLine="0"/>
              <w:jc w:val="left"/>
            </w:pPr>
            <w:r>
              <w:rPr>
                <w:sz w:val="19"/>
              </w:rPr>
              <w:t>S/25.00</w:t>
            </w:r>
            <w:r>
              <w:t xml:space="preserve"> </w:t>
            </w:r>
          </w:p>
        </w:tc>
      </w:tr>
      <w:tr w:rsidR="00292592" w14:paraId="73712033" w14:textId="77777777">
        <w:trPr>
          <w:trHeight w:val="348"/>
        </w:trPr>
        <w:tc>
          <w:tcPr>
            <w:tcW w:w="1600" w:type="dxa"/>
            <w:tcBorders>
              <w:top w:val="single" w:sz="4" w:space="0" w:color="AAAAAA"/>
              <w:left w:val="single" w:sz="4" w:space="0" w:color="AAAAAA"/>
              <w:bottom w:val="single" w:sz="4" w:space="0" w:color="AAAAAA"/>
              <w:right w:val="single" w:sz="4" w:space="0" w:color="AAAAAA"/>
            </w:tcBorders>
          </w:tcPr>
          <w:p w14:paraId="7EAE5FEF" w14:textId="77777777" w:rsidR="00292592" w:rsidRDefault="006963EF">
            <w:pPr>
              <w:spacing w:after="0" w:line="259" w:lineRule="auto"/>
              <w:ind w:left="1" w:firstLine="0"/>
              <w:jc w:val="left"/>
            </w:pPr>
            <w:r>
              <w:rPr>
                <w:sz w:val="19"/>
              </w:rPr>
              <w:t>Franquicia</w:t>
            </w:r>
            <w:r>
              <w:t xml:space="preserve"> </w:t>
            </w:r>
          </w:p>
        </w:tc>
        <w:tc>
          <w:tcPr>
            <w:tcW w:w="1300" w:type="dxa"/>
            <w:tcBorders>
              <w:top w:val="single" w:sz="4" w:space="0" w:color="AAAAAA"/>
              <w:left w:val="single" w:sz="4" w:space="0" w:color="AAAAAA"/>
              <w:bottom w:val="single" w:sz="4" w:space="0" w:color="AAAAAA"/>
              <w:right w:val="single" w:sz="4" w:space="0" w:color="AAAAAA"/>
            </w:tcBorders>
          </w:tcPr>
          <w:p w14:paraId="02A3506F" w14:textId="77777777" w:rsidR="00292592" w:rsidRDefault="006963EF">
            <w:pPr>
              <w:spacing w:after="0" w:line="259" w:lineRule="auto"/>
              <w:ind w:left="0" w:firstLine="0"/>
              <w:jc w:val="left"/>
            </w:pPr>
            <w:r>
              <w:rPr>
                <w:sz w:val="19"/>
              </w:rPr>
              <w:t>S/179</w:t>
            </w:r>
            <w:r>
              <w:t xml:space="preserve"> </w:t>
            </w:r>
          </w:p>
        </w:tc>
        <w:tc>
          <w:tcPr>
            <w:tcW w:w="1300" w:type="dxa"/>
            <w:tcBorders>
              <w:top w:val="single" w:sz="4" w:space="0" w:color="AAAAAA"/>
              <w:left w:val="single" w:sz="4" w:space="0" w:color="AAAAAA"/>
              <w:bottom w:val="single" w:sz="4" w:space="0" w:color="AAAAAA"/>
              <w:right w:val="single" w:sz="4" w:space="0" w:color="AAAAAA"/>
            </w:tcBorders>
          </w:tcPr>
          <w:p w14:paraId="4E51687F" w14:textId="77777777" w:rsidR="00292592" w:rsidRDefault="006963EF">
            <w:pPr>
              <w:spacing w:after="0" w:line="259" w:lineRule="auto"/>
              <w:ind w:left="1" w:firstLine="0"/>
              <w:jc w:val="left"/>
            </w:pPr>
            <w:r>
              <w:rPr>
                <w:sz w:val="19"/>
              </w:rPr>
              <w:t>S/1,716</w:t>
            </w:r>
            <w:r>
              <w:t xml:space="preserve"> </w:t>
            </w:r>
          </w:p>
        </w:tc>
        <w:tc>
          <w:tcPr>
            <w:tcW w:w="2228" w:type="dxa"/>
            <w:tcBorders>
              <w:top w:val="single" w:sz="4" w:space="0" w:color="AAAAAA"/>
              <w:left w:val="single" w:sz="4" w:space="0" w:color="AAAAAA"/>
              <w:bottom w:val="single" w:sz="4" w:space="0" w:color="AAAAAA"/>
              <w:right w:val="single" w:sz="4" w:space="0" w:color="AAAAAA"/>
            </w:tcBorders>
          </w:tcPr>
          <w:p w14:paraId="2422B67E" w14:textId="77777777" w:rsidR="00292592" w:rsidRDefault="006963EF">
            <w:pPr>
              <w:spacing w:after="0" w:line="259" w:lineRule="auto"/>
              <w:ind w:left="2" w:firstLine="0"/>
              <w:jc w:val="left"/>
            </w:pPr>
            <w:r>
              <w:rPr>
                <w:sz w:val="19"/>
              </w:rPr>
              <w:t>S/99/mes · S/948/año</w:t>
            </w:r>
            <w:r>
              <w:t xml:space="preserve"> </w:t>
            </w:r>
          </w:p>
        </w:tc>
        <w:tc>
          <w:tcPr>
            <w:tcW w:w="2598" w:type="dxa"/>
            <w:tcBorders>
              <w:top w:val="single" w:sz="4" w:space="0" w:color="AAAAAA"/>
              <w:left w:val="single" w:sz="4" w:space="0" w:color="AAAAAA"/>
              <w:bottom w:val="single" w:sz="4" w:space="0" w:color="AAAAAA"/>
              <w:right w:val="single" w:sz="4" w:space="0" w:color="AAAAAA"/>
            </w:tcBorders>
          </w:tcPr>
          <w:p w14:paraId="62BFCEE5" w14:textId="77777777" w:rsidR="00292592" w:rsidRDefault="006963EF">
            <w:pPr>
              <w:spacing w:after="0" w:line="259" w:lineRule="auto"/>
              <w:ind w:left="0" w:firstLine="0"/>
              <w:jc w:val="left"/>
            </w:pPr>
            <w:r>
              <w:rPr>
                <w:sz w:val="19"/>
              </w:rPr>
              <w:t>S/75.85</w:t>
            </w:r>
            <w:r>
              <w:t xml:space="preserve"> </w:t>
            </w:r>
          </w:p>
        </w:tc>
      </w:tr>
    </w:tbl>
    <w:p w14:paraId="55ED2BC7" w14:textId="77777777" w:rsidR="00292592" w:rsidRDefault="006963EF">
      <w:pPr>
        <w:spacing w:after="160" w:line="259" w:lineRule="auto"/>
        <w:ind w:left="0" w:firstLine="0"/>
        <w:jc w:val="left"/>
      </w:pPr>
      <w:r>
        <w:t xml:space="preserve"> </w:t>
      </w:r>
    </w:p>
    <w:p w14:paraId="06B556D3" w14:textId="77777777" w:rsidR="00292592" w:rsidRDefault="006963EF">
      <w:pPr>
        <w:spacing w:after="0" w:line="259" w:lineRule="auto"/>
        <w:ind w:left="-5"/>
        <w:jc w:val="left"/>
      </w:pPr>
      <w:r>
        <w:rPr>
          <w:b/>
        </w:rPr>
        <w:t>Ejemplos de cálculo</w:t>
      </w:r>
      <w:r>
        <w:t xml:space="preserve"> (referenciales): </w:t>
      </w:r>
    </w:p>
    <w:tbl>
      <w:tblPr>
        <w:tblStyle w:val="TableGrid"/>
        <w:tblW w:w="9025" w:type="dxa"/>
        <w:tblInd w:w="6" w:type="dxa"/>
        <w:tblCellMar>
          <w:top w:w="102" w:type="dxa"/>
          <w:left w:w="100" w:type="dxa"/>
          <w:right w:w="51" w:type="dxa"/>
        </w:tblCellMar>
        <w:tblLook w:val="04A0" w:firstRow="1" w:lastRow="0" w:firstColumn="1" w:lastColumn="0" w:noHBand="0" w:noVBand="1"/>
      </w:tblPr>
      <w:tblGrid>
        <w:gridCol w:w="2999"/>
        <w:gridCol w:w="4227"/>
        <w:gridCol w:w="1799"/>
      </w:tblGrid>
      <w:tr w:rsidR="00292592" w14:paraId="3AD770E4" w14:textId="77777777">
        <w:trPr>
          <w:trHeight w:val="324"/>
        </w:trPr>
        <w:tc>
          <w:tcPr>
            <w:tcW w:w="2999" w:type="dxa"/>
            <w:tcBorders>
              <w:top w:val="single" w:sz="4" w:space="0" w:color="AAAAAA"/>
              <w:left w:val="single" w:sz="4" w:space="0" w:color="AAAAAA"/>
              <w:bottom w:val="single" w:sz="4" w:space="0" w:color="AAAAAA"/>
              <w:right w:val="single" w:sz="4" w:space="0" w:color="AAAAAA"/>
            </w:tcBorders>
            <w:shd w:val="clear" w:color="auto" w:fill="E6EFE8"/>
          </w:tcPr>
          <w:p w14:paraId="75D094D8" w14:textId="77777777" w:rsidR="00292592" w:rsidRDefault="006963EF">
            <w:pPr>
              <w:spacing w:after="0" w:line="259" w:lineRule="auto"/>
              <w:ind w:left="0" w:firstLine="0"/>
              <w:jc w:val="left"/>
            </w:pPr>
            <w:r>
              <w:rPr>
                <w:b/>
                <w:sz w:val="19"/>
              </w:rPr>
              <w:t>Caso</w:t>
            </w:r>
            <w:r>
              <w:t xml:space="preserve"> </w:t>
            </w:r>
          </w:p>
        </w:tc>
        <w:tc>
          <w:tcPr>
            <w:tcW w:w="4227" w:type="dxa"/>
            <w:tcBorders>
              <w:top w:val="single" w:sz="4" w:space="0" w:color="AAAAAA"/>
              <w:left w:val="single" w:sz="4" w:space="0" w:color="AAAAAA"/>
              <w:bottom w:val="single" w:sz="4" w:space="0" w:color="AAAAAA"/>
              <w:right w:val="single" w:sz="4" w:space="0" w:color="AAAAAA"/>
            </w:tcBorders>
            <w:shd w:val="clear" w:color="auto" w:fill="E6EFE8"/>
          </w:tcPr>
          <w:p w14:paraId="5DEB2B83" w14:textId="77777777" w:rsidR="00292592" w:rsidRDefault="006963EF">
            <w:pPr>
              <w:spacing w:after="0" w:line="259" w:lineRule="auto"/>
              <w:ind w:left="1" w:firstLine="0"/>
              <w:jc w:val="left"/>
            </w:pPr>
            <w:r>
              <w:rPr>
                <w:b/>
                <w:sz w:val="19"/>
              </w:rPr>
              <w:t>Cálculo</w:t>
            </w:r>
            <w:r>
              <w:t xml:space="preserve"> </w:t>
            </w:r>
          </w:p>
        </w:tc>
        <w:tc>
          <w:tcPr>
            <w:tcW w:w="1799" w:type="dxa"/>
            <w:tcBorders>
              <w:top w:val="single" w:sz="4" w:space="0" w:color="AAAAAA"/>
              <w:left w:val="single" w:sz="4" w:space="0" w:color="AAAAAA"/>
              <w:bottom w:val="single" w:sz="4" w:space="0" w:color="AAAAAA"/>
              <w:right w:val="single" w:sz="4" w:space="0" w:color="AAAAAA"/>
            </w:tcBorders>
            <w:shd w:val="clear" w:color="auto" w:fill="E6EFE8"/>
          </w:tcPr>
          <w:p w14:paraId="21F122F9" w14:textId="77777777" w:rsidR="00292592" w:rsidRDefault="006963EF">
            <w:pPr>
              <w:spacing w:after="0" w:line="259" w:lineRule="auto"/>
              <w:ind w:left="2" w:firstLine="0"/>
              <w:jc w:val="left"/>
            </w:pPr>
            <w:r>
              <w:rPr>
                <w:b/>
                <w:sz w:val="19"/>
              </w:rPr>
              <w:t>Comisión total</w:t>
            </w:r>
            <w:r>
              <w:t xml:space="preserve"> </w:t>
            </w:r>
          </w:p>
        </w:tc>
      </w:tr>
      <w:tr w:rsidR="00292592" w14:paraId="70C86260" w14:textId="77777777">
        <w:trPr>
          <w:trHeight w:val="808"/>
        </w:trPr>
        <w:tc>
          <w:tcPr>
            <w:tcW w:w="2999" w:type="dxa"/>
            <w:tcBorders>
              <w:top w:val="single" w:sz="4" w:space="0" w:color="AAAAAA"/>
              <w:left w:val="single" w:sz="4" w:space="0" w:color="AAAAAA"/>
              <w:bottom w:val="single" w:sz="4" w:space="0" w:color="AAAAAA"/>
              <w:right w:val="single" w:sz="4" w:space="0" w:color="AAAAAA"/>
            </w:tcBorders>
          </w:tcPr>
          <w:p w14:paraId="7612AAC6" w14:textId="77777777" w:rsidR="00292592" w:rsidRDefault="006963EF">
            <w:pPr>
              <w:spacing w:after="0" w:line="259" w:lineRule="auto"/>
              <w:ind w:left="0" w:firstLine="0"/>
              <w:jc w:val="left"/>
            </w:pPr>
            <w:r>
              <w:rPr>
                <w:sz w:val="19"/>
              </w:rPr>
              <w:t>Negocio mensual con promo 50% los 2 primeros meses, cliente se queda 12 meses</w:t>
            </w:r>
            <w:r>
              <w:t xml:space="preserve"> </w:t>
            </w:r>
          </w:p>
        </w:tc>
        <w:tc>
          <w:tcPr>
            <w:tcW w:w="4227" w:type="dxa"/>
            <w:tcBorders>
              <w:top w:val="single" w:sz="4" w:space="0" w:color="AAAAAA"/>
              <w:left w:val="single" w:sz="4" w:space="0" w:color="AAAAAA"/>
              <w:bottom w:val="single" w:sz="4" w:space="0" w:color="AAAAAA"/>
              <w:right w:val="single" w:sz="4" w:space="0" w:color="AAAAAA"/>
            </w:tcBorders>
          </w:tcPr>
          <w:p w14:paraId="452E66DD" w14:textId="77777777" w:rsidR="00292592" w:rsidRDefault="006963EF">
            <w:pPr>
              <w:spacing w:after="0" w:line="259" w:lineRule="auto"/>
              <w:ind w:left="1" w:firstLine="0"/>
              <w:jc w:val="left"/>
            </w:pPr>
            <w:r>
              <w:rPr>
                <w:sz w:val="19"/>
              </w:rPr>
              <w:t xml:space="preserve">Alta S/25.00 + 2.º pago 10% × S/25.00 = S/2.50 </w:t>
            </w:r>
          </w:p>
          <w:p w14:paraId="202D0CB8" w14:textId="77777777" w:rsidR="00292592" w:rsidRDefault="006963EF">
            <w:pPr>
              <w:spacing w:after="0" w:line="259" w:lineRule="auto"/>
              <w:ind w:left="1" w:firstLine="0"/>
              <w:jc w:val="left"/>
            </w:pPr>
            <w:r>
              <w:rPr>
                <w:sz w:val="19"/>
              </w:rPr>
              <w:t>+ pagos 3.º a 12.º: 10 × (10% × S/50.00) = S/50.00</w:t>
            </w:r>
            <w:r>
              <w:t xml:space="preserve"> </w:t>
            </w:r>
          </w:p>
        </w:tc>
        <w:tc>
          <w:tcPr>
            <w:tcW w:w="1799" w:type="dxa"/>
            <w:tcBorders>
              <w:top w:val="single" w:sz="4" w:space="0" w:color="AAAAAA"/>
              <w:left w:val="single" w:sz="4" w:space="0" w:color="AAAAAA"/>
              <w:bottom w:val="single" w:sz="4" w:space="0" w:color="AAAAAA"/>
              <w:right w:val="single" w:sz="4" w:space="0" w:color="AAAAAA"/>
            </w:tcBorders>
          </w:tcPr>
          <w:p w14:paraId="7B4DBFEA" w14:textId="77777777" w:rsidR="00292592" w:rsidRDefault="006963EF">
            <w:pPr>
              <w:spacing w:after="0" w:line="259" w:lineRule="auto"/>
              <w:ind w:left="2" w:firstLine="0"/>
              <w:jc w:val="left"/>
            </w:pPr>
            <w:r>
              <w:rPr>
                <w:sz w:val="19"/>
              </w:rPr>
              <w:t>S/77.50</w:t>
            </w:r>
            <w:r>
              <w:t xml:space="preserve"> </w:t>
            </w:r>
          </w:p>
        </w:tc>
      </w:tr>
      <w:tr w:rsidR="00292592" w14:paraId="5487690E" w14:textId="77777777">
        <w:trPr>
          <w:trHeight w:val="785"/>
        </w:trPr>
        <w:tc>
          <w:tcPr>
            <w:tcW w:w="2999" w:type="dxa"/>
            <w:tcBorders>
              <w:top w:val="single" w:sz="4" w:space="0" w:color="AAAAAA"/>
              <w:left w:val="single" w:sz="4" w:space="0" w:color="AAAAAA"/>
              <w:bottom w:val="single" w:sz="4" w:space="0" w:color="AAAAAA"/>
              <w:right w:val="single" w:sz="4" w:space="0" w:color="AAAAAA"/>
            </w:tcBorders>
          </w:tcPr>
          <w:p w14:paraId="5272EC25" w14:textId="77777777" w:rsidR="00292592" w:rsidRDefault="006963EF">
            <w:pPr>
              <w:spacing w:after="0" w:line="259" w:lineRule="auto"/>
              <w:ind w:left="0" w:firstLine="0"/>
              <w:jc w:val="left"/>
            </w:pPr>
            <w:r>
              <w:rPr>
                <w:sz w:val="19"/>
              </w:rPr>
              <w:t>Negocio mensual con promo 50% los 2 primeros meses, cliente cancela tras el 3.er pago</w:t>
            </w:r>
            <w:r>
              <w:t xml:space="preserve"> </w:t>
            </w:r>
          </w:p>
        </w:tc>
        <w:tc>
          <w:tcPr>
            <w:tcW w:w="4227" w:type="dxa"/>
            <w:tcBorders>
              <w:top w:val="single" w:sz="4" w:space="0" w:color="AAAAAA"/>
              <w:left w:val="single" w:sz="4" w:space="0" w:color="AAAAAA"/>
              <w:bottom w:val="single" w:sz="4" w:space="0" w:color="AAAAAA"/>
              <w:right w:val="single" w:sz="4" w:space="0" w:color="AAAAAA"/>
            </w:tcBorders>
          </w:tcPr>
          <w:p w14:paraId="1DDA173E" w14:textId="77777777" w:rsidR="00292592" w:rsidRDefault="006963EF">
            <w:pPr>
              <w:spacing w:after="0" w:line="259" w:lineRule="auto"/>
              <w:ind w:left="1" w:firstLine="0"/>
              <w:jc w:val="left"/>
            </w:pPr>
            <w:r>
              <w:rPr>
                <w:sz w:val="19"/>
              </w:rPr>
              <w:t>Alta S/25.00 + S/2.50 + S/5.00</w:t>
            </w:r>
            <w:r>
              <w:t xml:space="preserve"> </w:t>
            </w:r>
          </w:p>
        </w:tc>
        <w:tc>
          <w:tcPr>
            <w:tcW w:w="1799" w:type="dxa"/>
            <w:tcBorders>
              <w:top w:val="single" w:sz="4" w:space="0" w:color="AAAAAA"/>
              <w:left w:val="single" w:sz="4" w:space="0" w:color="AAAAAA"/>
              <w:bottom w:val="single" w:sz="4" w:space="0" w:color="AAAAAA"/>
              <w:right w:val="single" w:sz="4" w:space="0" w:color="AAAAAA"/>
            </w:tcBorders>
          </w:tcPr>
          <w:p w14:paraId="52BA6A28" w14:textId="77777777" w:rsidR="00292592" w:rsidRDefault="006963EF">
            <w:pPr>
              <w:spacing w:after="0" w:line="259" w:lineRule="auto"/>
              <w:ind w:left="2" w:firstLine="0"/>
              <w:jc w:val="left"/>
            </w:pPr>
            <w:r>
              <w:rPr>
                <w:sz w:val="19"/>
              </w:rPr>
              <w:t>S/32.50</w:t>
            </w:r>
            <w:r>
              <w:t xml:space="preserve"> </w:t>
            </w:r>
          </w:p>
        </w:tc>
      </w:tr>
      <w:tr w:rsidR="00292592" w14:paraId="0EB63395" w14:textId="77777777">
        <w:trPr>
          <w:trHeight w:val="569"/>
        </w:trPr>
        <w:tc>
          <w:tcPr>
            <w:tcW w:w="2999" w:type="dxa"/>
            <w:tcBorders>
              <w:top w:val="single" w:sz="4" w:space="0" w:color="AAAAAA"/>
              <w:left w:val="single" w:sz="4" w:space="0" w:color="AAAAAA"/>
              <w:bottom w:val="single" w:sz="4" w:space="0" w:color="AAAAAA"/>
              <w:right w:val="single" w:sz="4" w:space="0" w:color="AAAAAA"/>
            </w:tcBorders>
          </w:tcPr>
          <w:p w14:paraId="69D626D5" w14:textId="77777777" w:rsidR="00292592" w:rsidRDefault="006963EF">
            <w:pPr>
              <w:spacing w:after="0" w:line="259" w:lineRule="auto"/>
              <w:ind w:left="0" w:firstLine="0"/>
              <w:jc w:val="left"/>
            </w:pPr>
            <w:r>
              <w:rPr>
                <w:sz w:val="19"/>
              </w:rPr>
              <w:t>Negocio mensual, cliente pide reembolso del 1.er pago</w:t>
            </w:r>
            <w:r>
              <w:t xml:space="preserve"> </w:t>
            </w:r>
          </w:p>
        </w:tc>
        <w:tc>
          <w:tcPr>
            <w:tcW w:w="4227" w:type="dxa"/>
            <w:tcBorders>
              <w:top w:val="single" w:sz="4" w:space="0" w:color="AAAAAA"/>
              <w:left w:val="single" w:sz="4" w:space="0" w:color="AAAAAA"/>
              <w:bottom w:val="single" w:sz="4" w:space="0" w:color="AAAAAA"/>
              <w:right w:val="single" w:sz="4" w:space="0" w:color="AAAAAA"/>
            </w:tcBorders>
          </w:tcPr>
          <w:p w14:paraId="579CB708" w14:textId="77777777" w:rsidR="00292592" w:rsidRDefault="006963EF">
            <w:pPr>
              <w:spacing w:after="0" w:line="259" w:lineRule="auto"/>
              <w:ind w:left="1" w:firstLine="0"/>
              <w:jc w:val="left"/>
            </w:pPr>
            <w:r>
              <w:rPr>
                <w:sz w:val="19"/>
              </w:rPr>
              <w:t>No hay comisión (cláusula 7.4)</w:t>
            </w:r>
            <w:r>
              <w:t xml:space="preserve"> </w:t>
            </w:r>
          </w:p>
        </w:tc>
        <w:tc>
          <w:tcPr>
            <w:tcW w:w="1799" w:type="dxa"/>
            <w:tcBorders>
              <w:top w:val="single" w:sz="4" w:space="0" w:color="AAAAAA"/>
              <w:left w:val="single" w:sz="4" w:space="0" w:color="AAAAAA"/>
              <w:bottom w:val="single" w:sz="4" w:space="0" w:color="AAAAAA"/>
              <w:right w:val="single" w:sz="4" w:space="0" w:color="AAAAAA"/>
            </w:tcBorders>
          </w:tcPr>
          <w:p w14:paraId="32269F33" w14:textId="77777777" w:rsidR="00292592" w:rsidRDefault="006963EF">
            <w:pPr>
              <w:spacing w:after="0" w:line="259" w:lineRule="auto"/>
              <w:ind w:left="2" w:firstLine="0"/>
              <w:jc w:val="left"/>
            </w:pPr>
            <w:r>
              <w:rPr>
                <w:sz w:val="19"/>
              </w:rPr>
              <w:t>S/0.00</w:t>
            </w:r>
            <w:r>
              <w:t xml:space="preserve"> </w:t>
            </w:r>
          </w:p>
        </w:tc>
      </w:tr>
      <w:tr w:rsidR="00292592" w14:paraId="5E94926A" w14:textId="77777777">
        <w:trPr>
          <w:trHeight w:val="566"/>
        </w:trPr>
        <w:tc>
          <w:tcPr>
            <w:tcW w:w="2999" w:type="dxa"/>
            <w:tcBorders>
              <w:top w:val="single" w:sz="4" w:space="0" w:color="AAAAAA"/>
              <w:left w:val="single" w:sz="4" w:space="0" w:color="AAAAAA"/>
              <w:bottom w:val="single" w:sz="4" w:space="0" w:color="AAAAAA"/>
              <w:right w:val="single" w:sz="4" w:space="0" w:color="AAAAAA"/>
            </w:tcBorders>
          </w:tcPr>
          <w:p w14:paraId="7EE59C9D" w14:textId="77777777" w:rsidR="00292592" w:rsidRDefault="006963EF">
            <w:pPr>
              <w:spacing w:after="0" w:line="259" w:lineRule="auto"/>
              <w:ind w:left="0" w:firstLine="0"/>
              <w:jc w:val="left"/>
            </w:pPr>
            <w:r>
              <w:rPr>
                <w:sz w:val="19"/>
              </w:rPr>
              <w:t>Negocio anual (S/564)</w:t>
            </w:r>
            <w:r>
              <w:t xml:space="preserve"> </w:t>
            </w:r>
          </w:p>
        </w:tc>
        <w:tc>
          <w:tcPr>
            <w:tcW w:w="4227" w:type="dxa"/>
            <w:tcBorders>
              <w:top w:val="single" w:sz="4" w:space="0" w:color="AAAAAA"/>
              <w:left w:val="single" w:sz="4" w:space="0" w:color="AAAAAA"/>
              <w:bottom w:val="single" w:sz="4" w:space="0" w:color="AAAAAA"/>
              <w:right w:val="single" w:sz="4" w:space="0" w:color="AAAAAA"/>
            </w:tcBorders>
          </w:tcPr>
          <w:p w14:paraId="49B629CC" w14:textId="77777777" w:rsidR="00292592" w:rsidRDefault="006963EF">
            <w:pPr>
              <w:spacing w:after="0" w:line="259" w:lineRule="auto"/>
              <w:ind w:left="1" w:firstLine="0"/>
              <w:jc w:val="left"/>
            </w:pPr>
            <w:r>
              <w:rPr>
                <w:sz w:val="19"/>
              </w:rPr>
              <w:t>Alta S/25.00 + residual 10% × S/477.97 = S/47.80</w:t>
            </w:r>
            <w:r>
              <w:t xml:space="preserve"> </w:t>
            </w:r>
          </w:p>
        </w:tc>
        <w:tc>
          <w:tcPr>
            <w:tcW w:w="1799" w:type="dxa"/>
            <w:tcBorders>
              <w:top w:val="single" w:sz="4" w:space="0" w:color="AAAAAA"/>
              <w:left w:val="single" w:sz="4" w:space="0" w:color="AAAAAA"/>
              <w:bottom w:val="single" w:sz="4" w:space="0" w:color="AAAAAA"/>
              <w:right w:val="single" w:sz="4" w:space="0" w:color="AAAAAA"/>
            </w:tcBorders>
          </w:tcPr>
          <w:p w14:paraId="6C6E4D33" w14:textId="77777777" w:rsidR="00292592" w:rsidRDefault="006963EF">
            <w:pPr>
              <w:spacing w:after="0" w:line="259" w:lineRule="auto"/>
              <w:ind w:left="2" w:firstLine="0"/>
              <w:jc w:val="left"/>
            </w:pPr>
            <w:r>
              <w:rPr>
                <w:sz w:val="19"/>
              </w:rPr>
              <w:t>S/72.80</w:t>
            </w:r>
            <w:r>
              <w:t xml:space="preserve"> </w:t>
            </w:r>
          </w:p>
        </w:tc>
      </w:tr>
      <w:tr w:rsidR="00292592" w14:paraId="572048A5" w14:textId="77777777">
        <w:trPr>
          <w:trHeight w:val="566"/>
        </w:trPr>
        <w:tc>
          <w:tcPr>
            <w:tcW w:w="2999" w:type="dxa"/>
            <w:tcBorders>
              <w:top w:val="single" w:sz="4" w:space="0" w:color="AAAAAA"/>
              <w:left w:val="single" w:sz="4" w:space="0" w:color="AAAAAA"/>
              <w:bottom w:val="single" w:sz="4" w:space="0" w:color="AAAAAA"/>
              <w:right w:val="single" w:sz="4" w:space="0" w:color="AAAAAA"/>
            </w:tcBorders>
          </w:tcPr>
          <w:p w14:paraId="04C1D423" w14:textId="77777777" w:rsidR="00292592" w:rsidRDefault="006963EF">
            <w:pPr>
              <w:spacing w:after="0" w:line="259" w:lineRule="auto"/>
              <w:ind w:left="0" w:firstLine="0"/>
              <w:jc w:val="left"/>
            </w:pPr>
            <w:r>
              <w:rPr>
                <w:sz w:val="19"/>
              </w:rPr>
              <w:t>Franquicia anual (S/1,716)</w:t>
            </w:r>
            <w:r>
              <w:t xml:space="preserve"> </w:t>
            </w:r>
          </w:p>
        </w:tc>
        <w:tc>
          <w:tcPr>
            <w:tcW w:w="4227" w:type="dxa"/>
            <w:tcBorders>
              <w:top w:val="single" w:sz="4" w:space="0" w:color="AAAAAA"/>
              <w:left w:val="single" w:sz="4" w:space="0" w:color="AAAAAA"/>
              <w:bottom w:val="single" w:sz="4" w:space="0" w:color="AAAAAA"/>
              <w:right w:val="single" w:sz="4" w:space="0" w:color="AAAAAA"/>
            </w:tcBorders>
          </w:tcPr>
          <w:p w14:paraId="1AF3FE36" w14:textId="77777777" w:rsidR="00292592" w:rsidRDefault="006963EF">
            <w:pPr>
              <w:spacing w:after="0" w:line="259" w:lineRule="auto"/>
              <w:ind w:left="1" w:firstLine="0"/>
              <w:jc w:val="left"/>
            </w:pPr>
            <w:r>
              <w:rPr>
                <w:sz w:val="19"/>
              </w:rPr>
              <w:t>Alta S/75.85 + residual 10% × S/1,454.24 = S/145.42</w:t>
            </w:r>
            <w:r>
              <w:t xml:space="preserve"> </w:t>
            </w:r>
          </w:p>
        </w:tc>
        <w:tc>
          <w:tcPr>
            <w:tcW w:w="1799" w:type="dxa"/>
            <w:tcBorders>
              <w:top w:val="single" w:sz="4" w:space="0" w:color="AAAAAA"/>
              <w:left w:val="single" w:sz="4" w:space="0" w:color="AAAAAA"/>
              <w:bottom w:val="single" w:sz="4" w:space="0" w:color="AAAAAA"/>
              <w:right w:val="single" w:sz="4" w:space="0" w:color="AAAAAA"/>
            </w:tcBorders>
          </w:tcPr>
          <w:p w14:paraId="1D6C19A3" w14:textId="77777777" w:rsidR="00292592" w:rsidRDefault="006963EF">
            <w:pPr>
              <w:spacing w:after="0" w:line="259" w:lineRule="auto"/>
              <w:ind w:left="2" w:firstLine="0"/>
              <w:jc w:val="left"/>
            </w:pPr>
            <w:r>
              <w:rPr>
                <w:sz w:val="19"/>
              </w:rPr>
              <w:t>S/221.27</w:t>
            </w:r>
            <w:r>
              <w:t xml:space="preserve"> </w:t>
            </w:r>
          </w:p>
        </w:tc>
      </w:tr>
      <w:tr w:rsidR="00292592" w14:paraId="6ACF338E" w14:textId="77777777">
        <w:trPr>
          <w:trHeight w:val="569"/>
        </w:trPr>
        <w:tc>
          <w:tcPr>
            <w:tcW w:w="2999" w:type="dxa"/>
            <w:tcBorders>
              <w:top w:val="single" w:sz="4" w:space="0" w:color="AAAAAA"/>
              <w:left w:val="single" w:sz="4" w:space="0" w:color="AAAAAA"/>
              <w:bottom w:val="single" w:sz="4" w:space="0" w:color="AAAAAA"/>
              <w:right w:val="single" w:sz="4" w:space="0" w:color="AAAAAA"/>
            </w:tcBorders>
          </w:tcPr>
          <w:p w14:paraId="0C8FD842" w14:textId="77777777" w:rsidR="00292592" w:rsidRDefault="006963EF">
            <w:pPr>
              <w:spacing w:after="0" w:line="259" w:lineRule="auto"/>
              <w:ind w:left="0" w:firstLine="0"/>
              <w:jc w:val="left"/>
            </w:pPr>
            <w:r>
              <w:rPr>
                <w:sz w:val="19"/>
              </w:rPr>
              <w:t>Negocio mensual con 1 local adicional (lista S/98)</w:t>
            </w:r>
            <w:r>
              <w:t xml:space="preserve"> </w:t>
            </w:r>
          </w:p>
        </w:tc>
        <w:tc>
          <w:tcPr>
            <w:tcW w:w="4227" w:type="dxa"/>
            <w:tcBorders>
              <w:top w:val="single" w:sz="4" w:space="0" w:color="AAAAAA"/>
              <w:left w:val="single" w:sz="4" w:space="0" w:color="AAAAAA"/>
              <w:bottom w:val="single" w:sz="4" w:space="0" w:color="AAAAAA"/>
              <w:right w:val="single" w:sz="4" w:space="0" w:color="AAAAAA"/>
            </w:tcBorders>
          </w:tcPr>
          <w:p w14:paraId="05680830" w14:textId="77777777" w:rsidR="00292592" w:rsidRDefault="006963EF">
            <w:pPr>
              <w:spacing w:after="0" w:line="259" w:lineRule="auto"/>
              <w:ind w:left="1" w:firstLine="0"/>
              <w:jc w:val="left"/>
            </w:pPr>
            <w:r>
              <w:rPr>
                <w:sz w:val="19"/>
              </w:rPr>
              <w:t>Alta 50% × S/83.05 = S/41.53, más 10% de cada pago posterior</w:t>
            </w:r>
            <w:r>
              <w:t xml:space="preserve"> </w:t>
            </w:r>
          </w:p>
        </w:tc>
        <w:tc>
          <w:tcPr>
            <w:tcW w:w="1799" w:type="dxa"/>
            <w:tcBorders>
              <w:top w:val="single" w:sz="4" w:space="0" w:color="AAAAAA"/>
              <w:left w:val="single" w:sz="4" w:space="0" w:color="AAAAAA"/>
              <w:bottom w:val="single" w:sz="4" w:space="0" w:color="AAAAAA"/>
              <w:right w:val="single" w:sz="4" w:space="0" w:color="AAAAAA"/>
            </w:tcBorders>
          </w:tcPr>
          <w:p w14:paraId="030ED35C" w14:textId="77777777" w:rsidR="00292592" w:rsidRDefault="006963EF">
            <w:pPr>
              <w:spacing w:after="0" w:line="259" w:lineRule="auto"/>
              <w:ind w:left="2" w:firstLine="0"/>
              <w:jc w:val="left"/>
            </w:pPr>
            <w:r>
              <w:rPr>
                <w:sz w:val="19"/>
              </w:rPr>
              <w:t>S/41.53 + residual</w:t>
            </w:r>
            <w:r>
              <w:t xml:space="preserve"> </w:t>
            </w:r>
          </w:p>
        </w:tc>
      </w:tr>
    </w:tbl>
    <w:p w14:paraId="29F9C534" w14:textId="77777777" w:rsidR="00292592" w:rsidRDefault="006963EF" w:rsidP="008C452D">
      <w:pPr>
        <w:pStyle w:val="Heading1"/>
        <w:pageBreakBefore/>
        <w:spacing w:after="130"/>
        <w:ind w:left="-5"/>
      </w:pPr>
      <w:r>
        <w:rPr>
          <w:sz w:val="26"/>
        </w:rPr>
        <w:t xml:space="preserve">ANEXO 2: REGISTRO DE VISITAS, DATOS DE PAGO Y CONTACTO </w:t>
      </w:r>
    </w:p>
    <w:p w14:paraId="6E0F149C" w14:textId="77777777" w:rsidR="00292592" w:rsidRDefault="006963EF">
      <w:pPr>
        <w:ind w:left="-5"/>
      </w:pPr>
      <w:r>
        <w:rPr>
          <w:b/>
        </w:rPr>
        <w:t>A. Qué debe registrar EL PROMOTOR por cada local</w:t>
      </w:r>
      <w:r>
        <w:t xml:space="preserve"> (en la herramienta Ruta Comercial Notoria, dentro de las 48 horas): </w:t>
      </w:r>
    </w:p>
    <w:p w14:paraId="539691C4" w14:textId="77777777" w:rsidR="00292592" w:rsidRDefault="006963EF">
      <w:pPr>
        <w:numPr>
          <w:ilvl w:val="0"/>
          <w:numId w:val="5"/>
        </w:numPr>
        <w:spacing w:after="57"/>
        <w:ind w:hanging="300"/>
      </w:pPr>
      <w:r>
        <w:rPr>
          <w:b/>
        </w:rPr>
        <w:t>Siempre:</w:t>
      </w:r>
      <w:r>
        <w:t xml:space="preserve"> el local, elegido en Google Maps cuando aparezca (o su nombre, si no aparece), y cómo terminó la visita (solo visitó, interesado, volver otro día, creó cuenta gratis, pagó o no le interesa). La fecha se registra sola. </w:t>
      </w:r>
    </w:p>
    <w:p w14:paraId="5262F806" w14:textId="77777777" w:rsidR="00292592" w:rsidRDefault="006963EF">
      <w:pPr>
        <w:numPr>
          <w:ilvl w:val="0"/>
          <w:numId w:val="5"/>
        </w:numPr>
        <w:spacing w:after="58"/>
        <w:ind w:hanging="300"/>
      </w:pPr>
      <w:r>
        <w:rPr>
          <w:b/>
        </w:rPr>
        <w:t>Si es posible:</w:t>
      </w:r>
      <w:r>
        <w:t xml:space="preserve"> distrito, y nombre y teléfono de la persona con quien habló. </w:t>
      </w:r>
    </w:p>
    <w:p w14:paraId="39D1E6A1" w14:textId="77777777" w:rsidR="00292592" w:rsidRDefault="006963EF">
      <w:pPr>
        <w:numPr>
          <w:ilvl w:val="0"/>
          <w:numId w:val="5"/>
        </w:numPr>
        <w:spacing w:after="57"/>
        <w:ind w:hanging="300"/>
      </w:pPr>
      <w:r>
        <w:rPr>
          <w:b/>
        </w:rPr>
        <w:t>Si crea su cuenta o paga:</w:t>
      </w:r>
      <w:r>
        <w:t xml:space="preserve"> el correo de su cuenta en Notoria, si lo conoce. Es obligatorio si el local no se eligió en Google Maps. </w:t>
      </w:r>
    </w:p>
    <w:p w14:paraId="1D341F73" w14:textId="77777777" w:rsidR="00FD576F" w:rsidRDefault="006963EF">
      <w:pPr>
        <w:numPr>
          <w:ilvl w:val="0"/>
          <w:numId w:val="5"/>
        </w:numPr>
        <w:spacing w:after="58"/>
        <w:ind w:hanging="300"/>
      </w:pPr>
      <w:r>
        <w:rPr>
          <w:b/>
        </w:rPr>
        <w:t>No hace falta registrar:</w:t>
      </w:r>
      <w:r>
        <w:t xml:space="preserve"> el plan, el periodo ni los pagos. La herramienta los obtiene del sistema de pagos de NOTORIA y actualiza sola el estado de la visita. </w:t>
      </w:r>
    </w:p>
    <w:p w14:paraId="44899045" w14:textId="73A72DFB" w:rsidR="00292592" w:rsidRDefault="00FD576F">
      <w:pPr>
        <w:numPr>
          <w:ilvl w:val="0"/>
          <w:numId w:val="5"/>
        </w:numPr>
        <w:spacing w:after="58"/>
        <w:ind w:hanging="300"/>
      </w:pPr>
      <w:r w:rsidRPr="00FD576F">
        <w:rPr>
          <w:b/>
        </w:rPr>
        <w:t>Registros erróneos:</w:t>
      </w:r>
      <w:r w:rsidRPr="00FD576F">
        <w:t xml:space="preserve"> si una visita quedó mal registrada o duplicada, se anula en la herramienta indicando el motivo; no se elimina. Los cambios de correo, local, fecha y estado quedan en un historial que NOTORIA y EL PROMOTOR pueden consultar.</w:t>
      </w:r>
    </w:p>
    <w:p w14:paraId="6C70827A" w14:textId="77777777" w:rsidR="00292592" w:rsidRDefault="006963EF">
      <w:pPr>
        <w:numPr>
          <w:ilvl w:val="0"/>
          <w:numId w:val="5"/>
        </w:numPr>
        <w:spacing w:after="57"/>
        <w:ind w:hanging="300"/>
      </w:pPr>
      <w:r>
        <w:t xml:space="preserve">Las comisiones pagadas las registra NOTORIA. El uso de la herramienta se explica paso a paso en el capítulo 14 del Manual de producto y guía comercial. </w:t>
      </w:r>
    </w:p>
    <w:p w14:paraId="334A733D" w14:textId="77777777" w:rsidR="00292592" w:rsidRDefault="006963EF">
      <w:pPr>
        <w:pStyle w:val="Heading2"/>
        <w:spacing w:after="0"/>
        <w:ind w:left="-5"/>
      </w:pPr>
      <w:r>
        <w:t>B. Datos para el pago de comisiones</w:t>
      </w:r>
      <w:r>
        <w:rPr>
          <w:b w:val="0"/>
        </w:rPr>
        <w:t xml:space="preserve"> </w:t>
      </w:r>
    </w:p>
    <w:tbl>
      <w:tblPr>
        <w:tblStyle w:val="TableGrid"/>
        <w:tblW w:w="9026" w:type="dxa"/>
        <w:tblInd w:w="6" w:type="dxa"/>
        <w:tblCellMar>
          <w:top w:w="101" w:type="dxa"/>
          <w:left w:w="98" w:type="dxa"/>
          <w:right w:w="115" w:type="dxa"/>
        </w:tblCellMar>
        <w:tblLook w:val="04A0" w:firstRow="1" w:lastRow="0" w:firstColumn="1" w:lastColumn="0" w:noHBand="0" w:noVBand="1"/>
      </w:tblPr>
      <w:tblGrid>
        <w:gridCol w:w="3400"/>
        <w:gridCol w:w="5626"/>
      </w:tblGrid>
      <w:tr w:rsidR="00292592" w14:paraId="3682F8BF" w14:textId="77777777">
        <w:trPr>
          <w:trHeight w:val="323"/>
        </w:trPr>
        <w:tc>
          <w:tcPr>
            <w:tcW w:w="3400" w:type="dxa"/>
            <w:tcBorders>
              <w:top w:val="single" w:sz="4" w:space="0" w:color="AAAAAA"/>
              <w:left w:val="single" w:sz="4" w:space="0" w:color="AAAAAA"/>
              <w:bottom w:val="single" w:sz="4" w:space="0" w:color="AAAAAA"/>
              <w:right w:val="single" w:sz="4" w:space="0" w:color="AAAAAA"/>
            </w:tcBorders>
            <w:shd w:val="clear" w:color="auto" w:fill="E6EFE8"/>
          </w:tcPr>
          <w:p w14:paraId="4A33BACF" w14:textId="77777777" w:rsidR="00292592" w:rsidRDefault="006963EF">
            <w:pPr>
              <w:spacing w:after="0" w:line="259" w:lineRule="auto"/>
              <w:ind w:left="1" w:firstLine="0"/>
              <w:jc w:val="left"/>
            </w:pPr>
            <w:r>
              <w:rPr>
                <w:b/>
                <w:sz w:val="19"/>
              </w:rPr>
              <w:t>Dato</w:t>
            </w:r>
            <w:r>
              <w:t xml:space="preserve"> </w:t>
            </w:r>
          </w:p>
        </w:tc>
        <w:tc>
          <w:tcPr>
            <w:tcW w:w="5625" w:type="dxa"/>
            <w:tcBorders>
              <w:top w:val="single" w:sz="4" w:space="0" w:color="AAAAAA"/>
              <w:left w:val="single" w:sz="4" w:space="0" w:color="AAAAAA"/>
              <w:bottom w:val="single" w:sz="4" w:space="0" w:color="AAAAAA"/>
              <w:right w:val="single" w:sz="4" w:space="0" w:color="AAAAAA"/>
            </w:tcBorders>
            <w:shd w:val="clear" w:color="auto" w:fill="E6EFE8"/>
          </w:tcPr>
          <w:p w14:paraId="3D927443" w14:textId="77777777" w:rsidR="00292592" w:rsidRDefault="006963EF">
            <w:pPr>
              <w:spacing w:after="0" w:line="259" w:lineRule="auto"/>
              <w:ind w:left="0" w:firstLine="0"/>
              <w:jc w:val="left"/>
            </w:pPr>
            <w:r>
              <w:rPr>
                <w:b/>
                <w:sz w:val="19"/>
              </w:rPr>
              <w:t>Completar</w:t>
            </w:r>
            <w:r>
              <w:t xml:space="preserve"> </w:t>
            </w:r>
          </w:p>
        </w:tc>
      </w:tr>
      <w:tr w:rsidR="00292592" w14:paraId="03A1CABC" w14:textId="77777777">
        <w:trPr>
          <w:trHeight w:val="396"/>
        </w:trPr>
        <w:tc>
          <w:tcPr>
            <w:tcW w:w="3400" w:type="dxa"/>
            <w:tcBorders>
              <w:top w:val="single" w:sz="4" w:space="0" w:color="AAAAAA"/>
              <w:left w:val="single" w:sz="4" w:space="0" w:color="AAAAAA"/>
              <w:bottom w:val="single" w:sz="4" w:space="0" w:color="AAAAAA"/>
              <w:right w:val="single" w:sz="4" w:space="0" w:color="AAAAAA"/>
            </w:tcBorders>
          </w:tcPr>
          <w:p w14:paraId="598D7906" w14:textId="77777777" w:rsidR="00292592" w:rsidRDefault="006963EF">
            <w:pPr>
              <w:spacing w:after="0" w:line="259" w:lineRule="auto"/>
              <w:ind w:left="1" w:firstLine="0"/>
              <w:jc w:val="left"/>
            </w:pPr>
            <w:r>
              <w:rPr>
                <w:sz w:val="19"/>
              </w:rPr>
              <w:t>Banco</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2368B984" w14:textId="77777777" w:rsidR="00292592" w:rsidRDefault="006963EF">
            <w:pPr>
              <w:spacing w:after="0" w:line="259" w:lineRule="auto"/>
              <w:ind w:left="0" w:firstLine="0"/>
              <w:jc w:val="left"/>
            </w:pPr>
            <w:r>
              <w:t xml:space="preserve"> </w:t>
            </w:r>
          </w:p>
        </w:tc>
      </w:tr>
      <w:tr w:rsidR="00292592" w14:paraId="527794EB" w14:textId="77777777">
        <w:trPr>
          <w:trHeight w:val="370"/>
        </w:trPr>
        <w:tc>
          <w:tcPr>
            <w:tcW w:w="3400" w:type="dxa"/>
            <w:tcBorders>
              <w:top w:val="single" w:sz="4" w:space="0" w:color="AAAAAA"/>
              <w:left w:val="single" w:sz="4" w:space="0" w:color="AAAAAA"/>
              <w:bottom w:val="single" w:sz="4" w:space="0" w:color="AAAAAA"/>
              <w:right w:val="single" w:sz="4" w:space="0" w:color="AAAAAA"/>
            </w:tcBorders>
          </w:tcPr>
          <w:p w14:paraId="70EB303D" w14:textId="77777777" w:rsidR="00292592" w:rsidRDefault="006963EF">
            <w:pPr>
              <w:spacing w:after="0" w:line="259" w:lineRule="auto"/>
              <w:ind w:left="1" w:firstLine="0"/>
              <w:jc w:val="left"/>
            </w:pPr>
            <w:r>
              <w:rPr>
                <w:sz w:val="19"/>
              </w:rPr>
              <w:t>Titular de la cuenta</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09A678DE" w14:textId="77777777" w:rsidR="00292592" w:rsidRDefault="006963EF">
            <w:pPr>
              <w:spacing w:after="0" w:line="259" w:lineRule="auto"/>
              <w:ind w:left="0" w:firstLine="0"/>
              <w:jc w:val="left"/>
            </w:pPr>
            <w:r>
              <w:t xml:space="preserve"> </w:t>
            </w:r>
          </w:p>
        </w:tc>
      </w:tr>
      <w:tr w:rsidR="00292592" w14:paraId="78901933" w14:textId="77777777">
        <w:trPr>
          <w:trHeight w:val="372"/>
        </w:trPr>
        <w:tc>
          <w:tcPr>
            <w:tcW w:w="3400" w:type="dxa"/>
            <w:tcBorders>
              <w:top w:val="single" w:sz="4" w:space="0" w:color="AAAAAA"/>
              <w:left w:val="single" w:sz="4" w:space="0" w:color="AAAAAA"/>
              <w:bottom w:val="single" w:sz="4" w:space="0" w:color="AAAAAA"/>
              <w:right w:val="single" w:sz="4" w:space="0" w:color="AAAAAA"/>
            </w:tcBorders>
          </w:tcPr>
          <w:p w14:paraId="5098E505" w14:textId="77777777" w:rsidR="00292592" w:rsidRDefault="006963EF">
            <w:pPr>
              <w:spacing w:after="0" w:line="259" w:lineRule="auto"/>
              <w:ind w:left="1" w:firstLine="0"/>
              <w:jc w:val="left"/>
            </w:pPr>
            <w:r>
              <w:rPr>
                <w:sz w:val="19"/>
              </w:rPr>
              <w:t>N.° de cuenta</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1496CF01" w14:textId="77777777" w:rsidR="00292592" w:rsidRDefault="006963EF">
            <w:pPr>
              <w:spacing w:after="0" w:line="259" w:lineRule="auto"/>
              <w:ind w:left="0" w:firstLine="0"/>
              <w:jc w:val="left"/>
            </w:pPr>
            <w:r>
              <w:t xml:space="preserve"> </w:t>
            </w:r>
          </w:p>
        </w:tc>
      </w:tr>
      <w:tr w:rsidR="00292592" w14:paraId="046D0521" w14:textId="77777777">
        <w:trPr>
          <w:trHeight w:val="372"/>
        </w:trPr>
        <w:tc>
          <w:tcPr>
            <w:tcW w:w="3400" w:type="dxa"/>
            <w:tcBorders>
              <w:top w:val="single" w:sz="4" w:space="0" w:color="AAAAAA"/>
              <w:left w:val="single" w:sz="4" w:space="0" w:color="AAAAAA"/>
              <w:bottom w:val="single" w:sz="4" w:space="0" w:color="AAAAAA"/>
              <w:right w:val="single" w:sz="4" w:space="0" w:color="AAAAAA"/>
            </w:tcBorders>
          </w:tcPr>
          <w:p w14:paraId="4B23B070" w14:textId="77777777" w:rsidR="00292592" w:rsidRDefault="006963EF">
            <w:pPr>
              <w:spacing w:after="0" w:line="259" w:lineRule="auto"/>
              <w:ind w:left="1" w:firstLine="0"/>
              <w:jc w:val="left"/>
            </w:pPr>
            <w:r>
              <w:rPr>
                <w:sz w:val="19"/>
              </w:rPr>
              <w:t>CCI</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33349CB8" w14:textId="77777777" w:rsidR="00292592" w:rsidRDefault="006963EF">
            <w:pPr>
              <w:spacing w:after="0" w:line="259" w:lineRule="auto"/>
              <w:ind w:left="0" w:firstLine="0"/>
              <w:jc w:val="left"/>
            </w:pPr>
            <w:r>
              <w:t xml:space="preserve"> </w:t>
            </w:r>
          </w:p>
        </w:tc>
      </w:tr>
      <w:tr w:rsidR="00292592" w14:paraId="5706AA18" w14:textId="77777777">
        <w:trPr>
          <w:trHeight w:val="372"/>
        </w:trPr>
        <w:tc>
          <w:tcPr>
            <w:tcW w:w="3400" w:type="dxa"/>
            <w:tcBorders>
              <w:top w:val="single" w:sz="4" w:space="0" w:color="AAAAAA"/>
              <w:left w:val="single" w:sz="4" w:space="0" w:color="AAAAAA"/>
              <w:bottom w:val="single" w:sz="4" w:space="0" w:color="AAAAAA"/>
              <w:right w:val="single" w:sz="4" w:space="0" w:color="AAAAAA"/>
            </w:tcBorders>
          </w:tcPr>
          <w:p w14:paraId="656A8500" w14:textId="77777777" w:rsidR="00292592" w:rsidRDefault="006963EF">
            <w:pPr>
              <w:spacing w:after="0" w:line="259" w:lineRule="auto"/>
              <w:ind w:left="1" w:firstLine="0"/>
              <w:jc w:val="left"/>
            </w:pPr>
            <w:r>
              <w:rPr>
                <w:sz w:val="19"/>
              </w:rPr>
              <w:t>Correo para liquidaciones</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427D2BD0" w14:textId="77777777" w:rsidR="00292592" w:rsidRDefault="006963EF">
            <w:pPr>
              <w:spacing w:after="0" w:line="259" w:lineRule="auto"/>
              <w:ind w:left="0" w:firstLine="0"/>
              <w:jc w:val="left"/>
            </w:pPr>
            <w:r>
              <w:t xml:space="preserve"> </w:t>
            </w:r>
          </w:p>
        </w:tc>
      </w:tr>
      <w:tr w:rsidR="00292592" w14:paraId="094BB907" w14:textId="77777777">
        <w:trPr>
          <w:trHeight w:val="372"/>
        </w:trPr>
        <w:tc>
          <w:tcPr>
            <w:tcW w:w="3400" w:type="dxa"/>
            <w:tcBorders>
              <w:top w:val="single" w:sz="4" w:space="0" w:color="AAAAAA"/>
              <w:left w:val="single" w:sz="4" w:space="0" w:color="AAAAAA"/>
              <w:bottom w:val="single" w:sz="4" w:space="0" w:color="AAAAAA"/>
              <w:right w:val="single" w:sz="4" w:space="0" w:color="AAAAAA"/>
            </w:tcBorders>
          </w:tcPr>
          <w:p w14:paraId="35B84B43" w14:textId="77777777" w:rsidR="00292592" w:rsidRDefault="006963EF">
            <w:pPr>
              <w:spacing w:after="0" w:line="259" w:lineRule="auto"/>
              <w:ind w:left="1" w:firstLine="0"/>
              <w:jc w:val="left"/>
            </w:pPr>
            <w:r>
              <w:rPr>
                <w:sz w:val="19"/>
              </w:rPr>
              <w:t>Teléfono / WhatsApp</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7A2C1C6F" w14:textId="77777777" w:rsidR="00292592" w:rsidRDefault="006963EF">
            <w:pPr>
              <w:spacing w:after="0" w:line="259" w:lineRule="auto"/>
              <w:ind w:left="0" w:firstLine="0"/>
              <w:jc w:val="left"/>
            </w:pPr>
            <w:r>
              <w:t xml:space="preserve"> </w:t>
            </w:r>
          </w:p>
        </w:tc>
      </w:tr>
    </w:tbl>
    <w:p w14:paraId="3905E7D5" w14:textId="77777777" w:rsidR="00292592" w:rsidRDefault="006963EF">
      <w:pPr>
        <w:spacing w:after="160" w:line="259" w:lineRule="auto"/>
        <w:ind w:left="0" w:firstLine="0"/>
        <w:jc w:val="left"/>
      </w:pPr>
      <w:r>
        <w:t xml:space="preserve"> </w:t>
      </w:r>
    </w:p>
    <w:p w14:paraId="329BA940" w14:textId="77777777" w:rsidR="00292592" w:rsidRDefault="006963EF">
      <w:pPr>
        <w:pStyle w:val="Heading2"/>
        <w:spacing w:after="0"/>
        <w:ind w:left="-5"/>
      </w:pPr>
      <w:r>
        <w:t>C. Contactos de NOTORIA</w:t>
      </w:r>
      <w:r>
        <w:rPr>
          <w:b w:val="0"/>
        </w:rPr>
        <w:t xml:space="preserve"> </w:t>
      </w:r>
    </w:p>
    <w:tbl>
      <w:tblPr>
        <w:tblStyle w:val="TableGrid"/>
        <w:tblW w:w="9026" w:type="dxa"/>
        <w:tblInd w:w="6" w:type="dxa"/>
        <w:tblCellMar>
          <w:top w:w="101" w:type="dxa"/>
          <w:left w:w="98" w:type="dxa"/>
          <w:right w:w="115" w:type="dxa"/>
        </w:tblCellMar>
        <w:tblLook w:val="04A0" w:firstRow="1" w:lastRow="0" w:firstColumn="1" w:lastColumn="0" w:noHBand="0" w:noVBand="1"/>
      </w:tblPr>
      <w:tblGrid>
        <w:gridCol w:w="3400"/>
        <w:gridCol w:w="5626"/>
      </w:tblGrid>
      <w:tr w:rsidR="00292592" w14:paraId="205249D7" w14:textId="77777777">
        <w:trPr>
          <w:trHeight w:val="323"/>
        </w:trPr>
        <w:tc>
          <w:tcPr>
            <w:tcW w:w="3400" w:type="dxa"/>
            <w:tcBorders>
              <w:top w:val="single" w:sz="4" w:space="0" w:color="AAAAAA"/>
              <w:left w:val="single" w:sz="4" w:space="0" w:color="AAAAAA"/>
              <w:bottom w:val="single" w:sz="4" w:space="0" w:color="AAAAAA"/>
              <w:right w:val="single" w:sz="4" w:space="0" w:color="AAAAAA"/>
            </w:tcBorders>
            <w:shd w:val="clear" w:color="auto" w:fill="E6EFE8"/>
          </w:tcPr>
          <w:p w14:paraId="18B8D20C" w14:textId="77777777" w:rsidR="00292592" w:rsidRDefault="006963EF">
            <w:pPr>
              <w:spacing w:after="0" w:line="259" w:lineRule="auto"/>
              <w:ind w:left="1" w:firstLine="0"/>
              <w:jc w:val="left"/>
            </w:pPr>
            <w:r>
              <w:rPr>
                <w:b/>
                <w:sz w:val="19"/>
              </w:rPr>
              <w:t>Dato</w:t>
            </w:r>
            <w:r>
              <w:t xml:space="preserve"> </w:t>
            </w:r>
          </w:p>
        </w:tc>
        <w:tc>
          <w:tcPr>
            <w:tcW w:w="5625" w:type="dxa"/>
            <w:tcBorders>
              <w:top w:val="single" w:sz="4" w:space="0" w:color="AAAAAA"/>
              <w:left w:val="single" w:sz="4" w:space="0" w:color="AAAAAA"/>
              <w:bottom w:val="single" w:sz="4" w:space="0" w:color="AAAAAA"/>
              <w:right w:val="single" w:sz="4" w:space="0" w:color="AAAAAA"/>
            </w:tcBorders>
            <w:shd w:val="clear" w:color="auto" w:fill="E6EFE8"/>
          </w:tcPr>
          <w:p w14:paraId="055EC904" w14:textId="77777777" w:rsidR="00292592" w:rsidRDefault="006963EF">
            <w:pPr>
              <w:spacing w:after="0" w:line="259" w:lineRule="auto"/>
              <w:ind w:left="0" w:firstLine="0"/>
              <w:jc w:val="left"/>
            </w:pPr>
            <w:r>
              <w:rPr>
                <w:b/>
                <w:sz w:val="19"/>
              </w:rPr>
              <w:t>Completar</w:t>
            </w:r>
            <w:r>
              <w:t xml:space="preserve"> </w:t>
            </w:r>
          </w:p>
        </w:tc>
      </w:tr>
      <w:tr w:rsidR="00292592" w14:paraId="12C2EF5A" w14:textId="77777777">
        <w:trPr>
          <w:trHeight w:val="396"/>
        </w:trPr>
        <w:tc>
          <w:tcPr>
            <w:tcW w:w="3400" w:type="dxa"/>
            <w:tcBorders>
              <w:top w:val="single" w:sz="4" w:space="0" w:color="AAAAAA"/>
              <w:left w:val="single" w:sz="4" w:space="0" w:color="AAAAAA"/>
              <w:bottom w:val="single" w:sz="4" w:space="0" w:color="AAAAAA"/>
              <w:right w:val="single" w:sz="4" w:space="0" w:color="AAAAAA"/>
            </w:tcBorders>
          </w:tcPr>
          <w:p w14:paraId="0FE7771A" w14:textId="77777777" w:rsidR="00292592" w:rsidRDefault="006963EF">
            <w:pPr>
              <w:spacing w:after="0" w:line="259" w:lineRule="auto"/>
              <w:ind w:left="1" w:firstLine="0"/>
              <w:jc w:val="left"/>
            </w:pPr>
            <w:r>
              <w:rPr>
                <w:sz w:val="19"/>
              </w:rPr>
              <w:t>Responsable comercial</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3DD0EA8D" w14:textId="77777777" w:rsidR="00292592" w:rsidRDefault="006963EF">
            <w:pPr>
              <w:spacing w:after="0" w:line="259" w:lineRule="auto"/>
              <w:ind w:left="0" w:firstLine="0"/>
              <w:jc w:val="left"/>
            </w:pPr>
            <w:r>
              <w:t xml:space="preserve"> </w:t>
            </w:r>
          </w:p>
        </w:tc>
      </w:tr>
      <w:tr w:rsidR="00292592" w14:paraId="025357CF" w14:textId="77777777">
        <w:trPr>
          <w:trHeight w:val="348"/>
        </w:trPr>
        <w:tc>
          <w:tcPr>
            <w:tcW w:w="3400" w:type="dxa"/>
            <w:tcBorders>
              <w:top w:val="single" w:sz="4" w:space="0" w:color="AAAAAA"/>
              <w:left w:val="single" w:sz="4" w:space="0" w:color="AAAAAA"/>
              <w:bottom w:val="single" w:sz="4" w:space="0" w:color="AAAAAA"/>
              <w:right w:val="single" w:sz="4" w:space="0" w:color="AAAAAA"/>
            </w:tcBorders>
          </w:tcPr>
          <w:p w14:paraId="5B651826" w14:textId="77777777" w:rsidR="00292592" w:rsidRDefault="006963EF">
            <w:pPr>
              <w:spacing w:after="0" w:line="259" w:lineRule="auto"/>
              <w:ind w:left="1" w:firstLine="0"/>
              <w:jc w:val="left"/>
            </w:pPr>
            <w:r>
              <w:rPr>
                <w:sz w:val="19"/>
              </w:rPr>
              <w:t>Correo</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505C5C72" w14:textId="77777777" w:rsidR="00292592" w:rsidRDefault="006963EF">
            <w:pPr>
              <w:spacing w:after="0" w:line="259" w:lineRule="auto"/>
              <w:ind w:left="0" w:firstLine="0"/>
              <w:jc w:val="left"/>
            </w:pPr>
            <w:r>
              <w:rPr>
                <w:sz w:val="19"/>
              </w:rPr>
              <w:t>hola@usenotoria.app</w:t>
            </w:r>
            <w:r>
              <w:t xml:space="preserve"> </w:t>
            </w:r>
          </w:p>
        </w:tc>
      </w:tr>
      <w:tr w:rsidR="00292592" w14:paraId="2BF5798C" w14:textId="77777777">
        <w:trPr>
          <w:trHeight w:val="350"/>
        </w:trPr>
        <w:tc>
          <w:tcPr>
            <w:tcW w:w="3400" w:type="dxa"/>
            <w:tcBorders>
              <w:top w:val="single" w:sz="4" w:space="0" w:color="AAAAAA"/>
              <w:left w:val="single" w:sz="4" w:space="0" w:color="AAAAAA"/>
              <w:bottom w:val="single" w:sz="4" w:space="0" w:color="AAAAAA"/>
              <w:right w:val="single" w:sz="4" w:space="0" w:color="AAAAAA"/>
            </w:tcBorders>
          </w:tcPr>
          <w:p w14:paraId="525C643C" w14:textId="77777777" w:rsidR="00292592" w:rsidRDefault="006963EF">
            <w:pPr>
              <w:spacing w:after="0" w:line="259" w:lineRule="auto"/>
              <w:ind w:left="1" w:firstLine="0"/>
              <w:jc w:val="left"/>
            </w:pPr>
            <w:r>
              <w:rPr>
                <w:sz w:val="19"/>
              </w:rPr>
              <w:t>WhatsApp comercial</w:t>
            </w:r>
            <w:r>
              <w:t xml:space="preserve"> </w:t>
            </w:r>
          </w:p>
        </w:tc>
        <w:tc>
          <w:tcPr>
            <w:tcW w:w="5625" w:type="dxa"/>
            <w:tcBorders>
              <w:top w:val="single" w:sz="4" w:space="0" w:color="AAAAAA"/>
              <w:left w:val="single" w:sz="4" w:space="0" w:color="AAAAAA"/>
              <w:bottom w:val="single" w:sz="4" w:space="0" w:color="AAAAAA"/>
              <w:right w:val="single" w:sz="4" w:space="0" w:color="AAAAAA"/>
            </w:tcBorders>
          </w:tcPr>
          <w:p w14:paraId="3D7E28F1" w14:textId="77777777" w:rsidR="00292592" w:rsidRDefault="006963EF">
            <w:pPr>
              <w:spacing w:after="0" w:line="259" w:lineRule="auto"/>
              <w:ind w:left="0" w:firstLine="0"/>
              <w:jc w:val="left"/>
            </w:pPr>
            <w:r>
              <w:rPr>
                <w:sz w:val="19"/>
              </w:rPr>
              <w:t>+51 916 383 038</w:t>
            </w:r>
            <w:r>
              <w:t xml:space="preserve"> </w:t>
            </w:r>
          </w:p>
        </w:tc>
      </w:tr>
    </w:tbl>
    <w:p w14:paraId="0344BB17" w14:textId="77777777" w:rsidR="00292592" w:rsidRDefault="006963EF">
      <w:pPr>
        <w:spacing w:after="0" w:line="259" w:lineRule="auto"/>
        <w:ind w:left="0" w:firstLine="0"/>
        <w:jc w:val="left"/>
      </w:pPr>
      <w:r>
        <w:t xml:space="preserve"> </w:t>
      </w:r>
    </w:p>
    <w:sectPr w:rsidR="00292592">
      <w:headerReference w:type="even" r:id="rId7"/>
      <w:headerReference w:type="default" r:id="rId8"/>
      <w:footerReference w:type="even" r:id="rId9"/>
      <w:footerReference w:type="default" r:id="rId10"/>
      <w:headerReference w:type="first" r:id="rId11"/>
      <w:footerReference w:type="first" r:id="rId12"/>
      <w:pgSz w:w="11906" w:h="16838"/>
      <w:pgMar w:top="1344" w:right="1434" w:bottom="1480" w:left="1440" w:header="72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BC9CC" w14:textId="77777777" w:rsidR="00815896" w:rsidRDefault="00815896">
      <w:pPr>
        <w:spacing w:after="0" w:line="240" w:lineRule="auto"/>
      </w:pPr>
      <w:r>
        <w:separator/>
      </w:r>
    </w:p>
  </w:endnote>
  <w:endnote w:type="continuationSeparator" w:id="0">
    <w:p w14:paraId="5E453278" w14:textId="77777777" w:rsidR="00815896" w:rsidRDefault="00815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CEC8" w14:textId="77777777" w:rsidR="00292592" w:rsidRDefault="006963EF">
    <w:pPr>
      <w:spacing w:after="0" w:line="259" w:lineRule="auto"/>
      <w:ind w:left="0" w:right="8" w:firstLine="0"/>
      <w:jc w:val="center"/>
    </w:pPr>
    <w:r>
      <w:rPr>
        <w:color w:val="666666"/>
        <w:sz w:val="16"/>
      </w:rPr>
      <w:t xml:space="preserve">Contrato de promoción comercial · NOTORIA E.I.R.L. · Página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de </w:t>
    </w:r>
    <w:fldSimple w:instr=" NUMPAGES   \* MERGEFORMAT ">
      <w:r>
        <w:rPr>
          <w:color w:val="666666"/>
          <w:sz w:val="16"/>
        </w:rPr>
        <w:t>8</w:t>
      </w:r>
    </w:fldSimple>
    <w:r>
      <w:rPr>
        <w:color w:val="666666"/>
        <w:sz w:val="16"/>
      </w:rPr>
      <w:t xml:space="preserve">     Rúbricas: ________  ________</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D9505" w14:textId="77777777" w:rsidR="00292592" w:rsidRDefault="006963EF">
    <w:pPr>
      <w:spacing w:after="0" w:line="259" w:lineRule="auto"/>
      <w:ind w:left="0" w:right="8" w:firstLine="0"/>
      <w:jc w:val="center"/>
    </w:pPr>
    <w:r>
      <w:rPr>
        <w:color w:val="666666"/>
        <w:sz w:val="16"/>
      </w:rPr>
      <w:t xml:space="preserve">Contrato de promoción comercial · NOTORIA E.I.R.L. · Página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de </w:t>
    </w:r>
    <w:fldSimple w:instr=" NUMPAGES   \* MERGEFORMAT ">
      <w:r>
        <w:rPr>
          <w:color w:val="666666"/>
          <w:sz w:val="16"/>
        </w:rPr>
        <w:t>8</w:t>
      </w:r>
    </w:fldSimple>
    <w:r>
      <w:rPr>
        <w:color w:val="666666"/>
        <w:sz w:val="16"/>
      </w:rPr>
      <w:t xml:space="preserve">     Rúbricas: ________  ________</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6D9B" w14:textId="77777777" w:rsidR="00292592" w:rsidRDefault="006963EF">
    <w:pPr>
      <w:spacing w:after="0" w:line="259" w:lineRule="auto"/>
      <w:ind w:left="0" w:right="8" w:firstLine="0"/>
      <w:jc w:val="center"/>
    </w:pPr>
    <w:r>
      <w:rPr>
        <w:color w:val="666666"/>
        <w:sz w:val="16"/>
      </w:rPr>
      <w:t xml:space="preserve">Contrato de promoción comercial · NOTORIA E.I.R.L. · Página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de </w:t>
    </w:r>
    <w:fldSimple w:instr=" NUMPAGES   \* MERGEFORMAT ">
      <w:r>
        <w:rPr>
          <w:color w:val="666666"/>
          <w:sz w:val="16"/>
        </w:rPr>
        <w:t>8</w:t>
      </w:r>
    </w:fldSimple>
    <w:r>
      <w:rPr>
        <w:color w:val="666666"/>
        <w:sz w:val="16"/>
      </w:rPr>
      <w:t xml:space="preserve">     Rúbricas: ________  ________</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DF25C" w14:textId="77777777" w:rsidR="00815896" w:rsidRDefault="00815896">
      <w:pPr>
        <w:spacing w:after="0" w:line="240" w:lineRule="auto"/>
      </w:pPr>
      <w:r>
        <w:separator/>
      </w:r>
    </w:p>
  </w:footnote>
  <w:footnote w:type="continuationSeparator" w:id="0">
    <w:p w14:paraId="34AFDE1F" w14:textId="77777777" w:rsidR="00815896" w:rsidRDefault="00815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6B37" w14:textId="77777777" w:rsidR="00FD576F" w:rsidRDefault="00FD57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D27E" w14:textId="77777777" w:rsidR="00FD576F" w:rsidRDefault="00FD5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1F5C" w14:textId="77777777" w:rsidR="00FD576F" w:rsidRDefault="00FD5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6EC"/>
    <w:multiLevelType w:val="hybridMultilevel"/>
    <w:tmpl w:val="5F4C7C56"/>
    <w:lvl w:ilvl="0" w:tplc="6896989E">
      <w:start w:val="1"/>
      <w:numFmt w:val="lowerLetter"/>
      <w:lvlText w:val="%1)"/>
      <w:lvlJc w:val="left"/>
      <w:pPr>
        <w:ind w:left="6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50A375C">
      <w:start w:val="1"/>
      <w:numFmt w:val="lowerLetter"/>
      <w:lvlText w:val="%2"/>
      <w:lvlJc w:val="left"/>
      <w:pPr>
        <w:ind w:left="1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15A7060">
      <w:start w:val="1"/>
      <w:numFmt w:val="lowerRoman"/>
      <w:lvlText w:val="%3"/>
      <w:lvlJc w:val="left"/>
      <w:pPr>
        <w:ind w:left="2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96A508E">
      <w:start w:val="1"/>
      <w:numFmt w:val="decimal"/>
      <w:lvlText w:val="%4"/>
      <w:lvlJc w:val="left"/>
      <w:pPr>
        <w:ind w:left="2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23EF478">
      <w:start w:val="1"/>
      <w:numFmt w:val="lowerLetter"/>
      <w:lvlText w:val="%5"/>
      <w:lvlJc w:val="left"/>
      <w:pPr>
        <w:ind w:left="3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D5A2DE0">
      <w:start w:val="1"/>
      <w:numFmt w:val="lowerRoman"/>
      <w:lvlText w:val="%6"/>
      <w:lvlJc w:val="left"/>
      <w:pPr>
        <w:ind w:left="4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E06508A">
      <w:start w:val="1"/>
      <w:numFmt w:val="decimal"/>
      <w:lvlText w:val="%7"/>
      <w:lvlJc w:val="left"/>
      <w:pPr>
        <w:ind w:left="49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0A8794">
      <w:start w:val="1"/>
      <w:numFmt w:val="lowerLetter"/>
      <w:lvlText w:val="%8"/>
      <w:lvlJc w:val="left"/>
      <w:pPr>
        <w:ind w:left="56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C94F5A6">
      <w:start w:val="1"/>
      <w:numFmt w:val="lowerRoman"/>
      <w:lvlText w:val="%9"/>
      <w:lvlJc w:val="left"/>
      <w:pPr>
        <w:ind w:left="6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B3B3475"/>
    <w:multiLevelType w:val="hybridMultilevel"/>
    <w:tmpl w:val="4846145E"/>
    <w:lvl w:ilvl="0" w:tplc="980A2CC4">
      <w:start w:val="1"/>
      <w:numFmt w:val="lowerLetter"/>
      <w:lvlText w:val="%1)"/>
      <w:lvlJc w:val="left"/>
      <w:pPr>
        <w:ind w:left="6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E3657A4">
      <w:start w:val="1"/>
      <w:numFmt w:val="lowerLetter"/>
      <w:lvlText w:val="%2"/>
      <w:lvlJc w:val="left"/>
      <w:pPr>
        <w:ind w:left="1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4A0D440">
      <w:start w:val="1"/>
      <w:numFmt w:val="lowerRoman"/>
      <w:lvlText w:val="%3"/>
      <w:lvlJc w:val="left"/>
      <w:pPr>
        <w:ind w:left="2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2DCCAF6">
      <w:start w:val="1"/>
      <w:numFmt w:val="decimal"/>
      <w:lvlText w:val="%4"/>
      <w:lvlJc w:val="left"/>
      <w:pPr>
        <w:ind w:left="2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C365592">
      <w:start w:val="1"/>
      <w:numFmt w:val="lowerLetter"/>
      <w:lvlText w:val="%5"/>
      <w:lvlJc w:val="left"/>
      <w:pPr>
        <w:ind w:left="3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524C48C">
      <w:start w:val="1"/>
      <w:numFmt w:val="lowerRoman"/>
      <w:lvlText w:val="%6"/>
      <w:lvlJc w:val="left"/>
      <w:pPr>
        <w:ind w:left="4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3E8BE4E">
      <w:start w:val="1"/>
      <w:numFmt w:val="decimal"/>
      <w:lvlText w:val="%7"/>
      <w:lvlJc w:val="left"/>
      <w:pPr>
        <w:ind w:left="49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42243BA">
      <w:start w:val="1"/>
      <w:numFmt w:val="lowerLetter"/>
      <w:lvlText w:val="%8"/>
      <w:lvlJc w:val="left"/>
      <w:pPr>
        <w:ind w:left="56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104014A">
      <w:start w:val="1"/>
      <w:numFmt w:val="lowerRoman"/>
      <w:lvlText w:val="%9"/>
      <w:lvlJc w:val="left"/>
      <w:pPr>
        <w:ind w:left="6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BA0664E"/>
    <w:multiLevelType w:val="hybridMultilevel"/>
    <w:tmpl w:val="2CECB96C"/>
    <w:lvl w:ilvl="0" w:tplc="F9802FD4">
      <w:start w:val="1"/>
      <w:numFmt w:val="lowerLetter"/>
      <w:lvlText w:val="%1)"/>
      <w:lvlJc w:val="left"/>
      <w:pPr>
        <w:ind w:left="6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2AC808">
      <w:start w:val="1"/>
      <w:numFmt w:val="lowerLetter"/>
      <w:lvlText w:val="%2"/>
      <w:lvlJc w:val="left"/>
      <w:pPr>
        <w:ind w:left="1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226BCB4">
      <w:start w:val="1"/>
      <w:numFmt w:val="lowerRoman"/>
      <w:lvlText w:val="%3"/>
      <w:lvlJc w:val="left"/>
      <w:pPr>
        <w:ind w:left="2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308CB6">
      <w:start w:val="1"/>
      <w:numFmt w:val="decimal"/>
      <w:lvlText w:val="%4"/>
      <w:lvlJc w:val="left"/>
      <w:pPr>
        <w:ind w:left="2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E69D72">
      <w:start w:val="1"/>
      <w:numFmt w:val="lowerLetter"/>
      <w:lvlText w:val="%5"/>
      <w:lvlJc w:val="left"/>
      <w:pPr>
        <w:ind w:left="3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9E6677A">
      <w:start w:val="1"/>
      <w:numFmt w:val="lowerRoman"/>
      <w:lvlText w:val="%6"/>
      <w:lvlJc w:val="left"/>
      <w:pPr>
        <w:ind w:left="4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D4CD4AC">
      <w:start w:val="1"/>
      <w:numFmt w:val="decimal"/>
      <w:lvlText w:val="%7"/>
      <w:lvlJc w:val="left"/>
      <w:pPr>
        <w:ind w:left="49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73475F0">
      <w:start w:val="1"/>
      <w:numFmt w:val="lowerLetter"/>
      <w:lvlText w:val="%8"/>
      <w:lvlJc w:val="left"/>
      <w:pPr>
        <w:ind w:left="56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007BE0">
      <w:start w:val="1"/>
      <w:numFmt w:val="lowerRoman"/>
      <w:lvlText w:val="%9"/>
      <w:lvlJc w:val="left"/>
      <w:pPr>
        <w:ind w:left="6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D85733A"/>
    <w:multiLevelType w:val="multilevel"/>
    <w:tmpl w:val="7F38204E"/>
    <w:lvl w:ilvl="0">
      <w:start w:val="7"/>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2"/>
      <w:numFmt w:val="decimal"/>
      <w:lvlRestart w:val="0"/>
      <w:lvlText w:val="%1.%2."/>
      <w:lvlJc w:val="left"/>
      <w:pPr>
        <w:ind w:left="7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F075872"/>
    <w:multiLevelType w:val="hybridMultilevel"/>
    <w:tmpl w:val="D1D2E698"/>
    <w:lvl w:ilvl="0" w:tplc="DDD0FD38">
      <w:start w:val="1"/>
      <w:numFmt w:val="bullet"/>
      <w:lvlText w:val="•"/>
      <w:lvlJc w:val="left"/>
      <w:pPr>
        <w:ind w:left="6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AB6DA16">
      <w:start w:val="1"/>
      <w:numFmt w:val="bullet"/>
      <w:lvlText w:val="o"/>
      <w:lvlJc w:val="left"/>
      <w:pPr>
        <w:ind w:left="13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AEC44D2">
      <w:start w:val="1"/>
      <w:numFmt w:val="bullet"/>
      <w:lvlText w:val="▪"/>
      <w:lvlJc w:val="left"/>
      <w:pPr>
        <w:ind w:left="21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3F0E2D6">
      <w:start w:val="1"/>
      <w:numFmt w:val="bullet"/>
      <w:lvlText w:val="•"/>
      <w:lvlJc w:val="left"/>
      <w:pPr>
        <w:ind w:left="28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4E85536">
      <w:start w:val="1"/>
      <w:numFmt w:val="bullet"/>
      <w:lvlText w:val="o"/>
      <w:lvlJc w:val="left"/>
      <w:pPr>
        <w:ind w:left="35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780DA22">
      <w:start w:val="1"/>
      <w:numFmt w:val="bullet"/>
      <w:lvlText w:val="▪"/>
      <w:lvlJc w:val="left"/>
      <w:pPr>
        <w:ind w:left="42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3F2319A">
      <w:start w:val="1"/>
      <w:numFmt w:val="bullet"/>
      <w:lvlText w:val="•"/>
      <w:lvlJc w:val="left"/>
      <w:pPr>
        <w:ind w:left="49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F4AF028">
      <w:start w:val="1"/>
      <w:numFmt w:val="bullet"/>
      <w:lvlText w:val="o"/>
      <w:lvlJc w:val="left"/>
      <w:pPr>
        <w:ind w:left="57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3582A04">
      <w:start w:val="1"/>
      <w:numFmt w:val="bullet"/>
      <w:lvlText w:val="▪"/>
      <w:lvlJc w:val="left"/>
      <w:pPr>
        <w:ind w:left="64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382708130">
    <w:abstractNumId w:val="2"/>
  </w:num>
  <w:num w:numId="2" w16cid:durableId="819732544">
    <w:abstractNumId w:val="1"/>
  </w:num>
  <w:num w:numId="3" w16cid:durableId="1670016551">
    <w:abstractNumId w:val="0"/>
  </w:num>
  <w:num w:numId="4" w16cid:durableId="529415489">
    <w:abstractNumId w:val="3"/>
  </w:num>
  <w:num w:numId="5" w16cid:durableId="1085570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592"/>
    <w:rsid w:val="00292592"/>
    <w:rsid w:val="006963EF"/>
    <w:rsid w:val="00815896"/>
    <w:rsid w:val="008C452D"/>
    <w:rsid w:val="009406F5"/>
    <w:rsid w:val="00B5554E"/>
    <w:rsid w:val="00C60F3A"/>
    <w:rsid w:val="00CD0C34"/>
    <w:rsid w:val="00E73DF7"/>
    <w:rsid w:val="00FD576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B04C"/>
  <w15:docId w15:val="{BD419DF2-ABEC-4B7B-A982-D220F6B1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93"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80" w:line="259" w:lineRule="auto"/>
      <w:ind w:left="10" w:hanging="10"/>
      <w:outlineLvl w:val="0"/>
    </w:pPr>
    <w:rPr>
      <w:rFonts w:ascii="Arial" w:eastAsia="Arial" w:hAnsi="Arial" w:cs="Arial"/>
      <w:b/>
      <w:color w:val="000000"/>
      <w:sz w:val="21"/>
    </w:rPr>
  </w:style>
  <w:style w:type="paragraph" w:styleId="Heading2">
    <w:name w:val="heading 2"/>
    <w:next w:val="Normal"/>
    <w:link w:val="Heading2Char"/>
    <w:uiPriority w:val="9"/>
    <w:unhideWhenUsed/>
    <w:qFormat/>
    <w:pPr>
      <w:keepNext/>
      <w:keepLines/>
      <w:spacing w:after="80"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1"/>
    </w:rPr>
  </w:style>
  <w:style w:type="character" w:customStyle="1" w:styleId="Heading2Char">
    <w:name w:val="Heading 2 Char"/>
    <w:link w:val="Heading2"/>
    <w:rPr>
      <w:rFonts w:ascii="Arial" w:eastAsia="Arial" w:hAnsi="Arial" w:cs="Arial"/>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D57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76F"/>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2928</Words>
  <Characters>16109</Characters>
  <Application>Microsoft Office Word</Application>
  <DocSecurity>0</DocSecurity>
  <Lines>134</Lines>
  <Paragraphs>37</Paragraphs>
  <ScaleCrop>false</ScaleCrop>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Principe</dc:creator>
  <cp:keywords/>
  <cp:lastModifiedBy>Didier Principe</cp:lastModifiedBy>
  <cp:revision>4</cp:revision>
  <dcterms:created xsi:type="dcterms:W3CDTF">2026-10-05T20:03:00Z</dcterms:created>
  <dcterms:modified xsi:type="dcterms:W3CDTF">2026-10-05T20:35:00Z</dcterms:modified>
</cp:coreProperties>
</file>