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MAHARASHTRA APPELLATE AUTHORITY FOR ADVANCE RULING</w:t>
        <w:br/>
        <w:t>FOR GOODS AND SERVICES TAX</w:t>
        <w:br/>
        <w:t>(Constituted under Section 99 of the Maharashtra Goods and Services Tax Act, 2017)</w:t>
        <w:br/>
        <w:t>ORDER NO. MAH/AAAR/DS-RM/ 19 /2022-23 Date- 30.03.2023</w:t>
        <w:br/>
        <w:br/>
        <w:t>BEFORE THE BENCH OF</w:t>
        <w:br/>
        <w:t>(1) Shri. Dr. D.K. Srinivas, MEMBER (Central Tax)</w:t>
        <w:br/>
        <w:t>(2) Shri. Rajeev Kumar Mital, MEMBER (State Tax)</w:t>
        <w:br/>
        <w:br/>
        <w:t>Name and Address of the</w:t>
        <w:br/>
        <w:br/>
        <w:t>M/s Puranik Builders Limited,</w:t>
        <w:br/>
        <w:br/>
        <w:t>Appellant: Puranik One Kanchanpushp Complex Opp Suraj</w:t>
        <w:br/>
        <w:t>Water Park, Kavesar Ghodbunder Road Thane,</w:t>
        <w:br/>
        <w:t>400615,</w:t>
        <w:br/>
        <w:br/>
        <w:t>GSTIN Number:</w:t>
        <w:br/>
        <w:br/>
        <w:t>27AABCPO109R1Z9</w:t>
        <w:br/>
        <w:br/>
        <w:t>Clause(s) of Section 97, under</w:t>
        <w:br/>
        <w:br/>
        <w:t>which the question(s) raised:</w:t>
        <w:br/>
        <w:br/>
        <w:t>(a) Classification of any goods or services or both;</w:t>
        <w:br/>
        <w:br/>
        <w:t>Date of Personal Hearing:</w:t>
        <w:br/>
        <w:br/>
        <w:t>| 10.11.2022</w:t>
        <w:br/>
        <w:br/>
        <w:t>Present for the Appellant:</w:t>
        <w:br/>
        <w:br/>
        <w:t>Shri. Gaurav Sugani, Advocate</w:t>
        <w:br/>
        <w:br/>
        <w:t>Details of appeal:</w:t>
        <w:br/>
        <w:br/>
        <w:t>Appeal No. MAH/GST-AAAR/04/2021-22 dated</w:t>
        <w:br/>
        <w:t>02.11.2021 against Advance Ruling No. GST-ARA-</w:t>
        <w:br/>
        <w:t>68/2019-20/B-52 dated 27.08.2021.</w:t>
        <w:br/>
        <w:br/>
        <w:t>Jurisdictional Officer:</w:t>
        <w:br/>
        <w:br/>
        <w:t>Deputy Commissioner, THA-VAT-E-005,Thane</w:t>
        <w:br/>
        <w:br/>
        <w:t>Division</w:t>
        <w:br/>
        <w:br/>
        <w:t>(Proceedings under Section 101 of the Central Goods and Services Tax Act, 2017 and</w:t>
        <w:br/>
        <w:br/>
        <w:t>the Maharashtra Goods and Services Tax Act, 2017)</w:t>
        <w:br/>
        <w:br/>
        <w:t>1. At the outset, we would like to make it clear that the provisions of both the CGST Act and</w:t>
        <w:br/>
        <w:br/>
        <w:t>the MGST Act are the same except for certain provisions. Therefore, unless a mention is made</w:t>
        <w:br/>
        <w:br/>
        <w:t>in respect of such dissimilar provisions, a reference to the CGST Act would also mean a</w:t>
        <w:br/>
        <w:br/>
        <w:t>reference to the same provisions under the MGST Act.</w:t>
        <w:br/>
        <w:br/>
        <w:t>1</w:t>
        <w:br/>
        <w:t>2. The present appeal has been filed under Section 100 of the Central Goods and Services</w:t>
        <w:br/>
        <w:t>Tax Act, 2017 and the Maharashtra Goods and Services Tax Act, 2017 [hereinafter referred</w:t>
        <w:br/>
        <w:t>to as “CGST Act” and “MGST Act”] by M/s. M/s Puranik Builders Limited, Puranik One,</w:t>
        <w:br/>
        <w:t>Kanchanpushp Complex Opp Suraj Water Park, Kavesar Ghodbunder Road Thane, 400615.</w:t>
        <w:br/>
        <w:t>(“hereinafter referred to as “the Appellant”) against the Advance Ruling No. GST-ARA-</w:t>
        <w:br/>
        <w:t>68/2019-20/B-52 dated 27.08.2021., pronounced by the Maharashtra Authority for Advance</w:t>
        <w:br/>
        <w:t>Ruling (hereinafter referred to as “MAAR”).</w:t>
        <w:br/>
        <w:br/>
        <w:t>3. FACTS IN BRIEF.</w:t>
        <w:br/>
        <w:br/>
        <w:t>3.1. M/s. Puranik Builders Limited, having its corporate office at Puranik One Kanchanpushp</w:t>
        <w:br/>
        <w:t>Complex Opp. Suraj Water Park, Kavesar Ghodbunder Road Thane, 400615, is, inter-alia,</w:t>
        <w:br/>
        <w:t>engaged in the business of construction and sale of residential apartments, wherein the</w:t>
        <w:br/>
        <w:t>appellant discharges Goods and Services Tax (GST) in respect of supply of construction of</w:t>
        <w:br/>
        <w:t>residential apartments sold prior to receipt of the Occupancy / Completion Certificate. The</w:t>
        <w:br/>
        <w:t>Appellant has obtained registration and holding valid registration certificate issued under</w:t>
        <w:br/>
        <w:t>CGST Act, 2017.</w:t>
        <w:br/>
        <w:br/>
        <w:t>3.2. The terms of sale of an under construction residential apartments by the Appellant are</w:t>
        <w:br/>
        <w:t>governed by an “Agreement for Sale” entered between the Appellant and the customers,</w:t>
        <w:br/>
        <w:br/>
        <w:t>which upon completion of construction is supplemented by a sale deed.</w:t>
        <w:br/>
        <w:br/>
        <w:t>3.3. The construction services provided by the appellant are classified under SAC code 9954</w:t>
        <w:br/>
        <w:t>and are covered under Entry 3 of Notification No.11/2017- (Central Tax-Rate), (hereinafter</w:t>
        <w:br/>
        <w:t>referred as Rate Notification). As per Paragraph 2 of Rate Notification, value of transfer of</w:t>
        <w:br/>
        <w:t>land or undivided share of land is deemed to be 1/3rd of the total value of construction</w:t>
        <w:br/>
        <w:t>services and the same is deducted from the total value of the construction services to arrive</w:t>
        <w:br/>
        <w:br/>
        <w:t>at the taxable value, for the purpose of levy and collection of GST.</w:t>
        <w:br/>
        <w:br/>
        <w:t>3.4. As a part of terms of Agreement for Sale between appellant and customers, the Appellant</w:t>
        <w:br/>
        <w:t>is to provide certain other services (hereinafter referred as “other services”). The</w:t>
        <w:br/>
        <w:t>consideration towards the other services is provided for in the sale agreement which is</w:t>
        <w:br/>
        <w:br/>
        <w:t>collected under the respective heads. They are distinctly identified in the sale agreement.</w:t>
        <w:br/>
        <w:t>3.5. As per the documents submitted, the residential project doesn’t fall under affordable</w:t>
        <w:br/>
        <w:br/>
        <w:t>housing category and the appellant is collecting GST and discharging the liability at the rate</w:t>
        <w:br/>
        <w:t>of 12%.</w:t>
        <w:br/>
        <w:br/>
        <w:t>3.6 Presently the appellant has been collecting and discharging GST at the rate of 18% on the</w:t>
        <w:br/>
        <w:br/>
        <w:t>Other Charges collected from its customers in respect of the sale of residential apartments.</w:t>
        <w:br/>
        <w:br/>
        <w:t>3.7 The appellant has submitted a list of heads of charges generally recovered from the</w:t>
        <w:br/>
        <w:t>customers. A list of such charges generally recovered by the appellant for their various projects</w:t>
        <w:br/>
        <w:br/>
        <w:t>is as under-</w:t>
        <w:br/>
        <w:t>Sr. Description of charges Brief explanation</w:t>
        <w:br/>
        <w:t>No.</w:t>
        <w:br/>
        <w:t>1 | Electric meter installation Paid by the appellant to Maharashtra Electricity Board for each</w:t>
        <w:br/>
        <w:t>and deposit for meter unit at construction stage and later reimbursement is claimed</w:t>
        <w:br/>
        <w:t>from the customer.</w:t>
        <w:br/>
        <w:br/>
        <w:t>2 | Water connection charges Paid by the appellant for each unit at construction stage and</w:t>
        <w:br/>
        <w:t>later reimbursement is claimed from the customer.</w:t>
        <w:br/>
        <w:br/>
        <w:t>3 | Share of municipal taxes Pertains to property tax required to be paid for period post</w:t>
        <w:br/>
        <w:t>receipt of Occupancy Certificate. The amounts are used for</w:t>
        <w:br/>
        <w:br/>
        <w:t>| paying such tax.</w:t>
        <w:br/>
        <w:br/>
        <w:t>4 | Advance maintenance Collected on behalf of the society yet to be formed. These</w:t>
        <w:br/>
        <w:t>amounts are used for maintenance till the time society is</w:t>
        <w:br/>
        <w:t>formed and upon formation of society, any unspent amount is</w:t>
        <w:br/>
        <w:t>transferred to the society.</w:t>
        <w:br/>
        <w:br/>
        <w:t>5 | Club house maintenance Collected on behalf of the society yet to be formed. These</w:t>
        <w:br/>
        <w:t>amounts are used for maintenance till the time society is</w:t>
        <w:br/>
        <w:t>formed and upon formation of society, any unspent amount is</w:t>
        <w:br/>
        <w:t>transferred to the society.</w:t>
        <w:br/>
        <w:br/>
        <w:t>6 | Development charges Additional charges for development of the project computed</w:t>
        <w:br/>
        <w:t>based on premium paid to the Municipal Corporation for the</w:t>
        <w:br/>
        <w:br/>
        <w:t>_project and various other factors.</w:t>
        <w:br/>
        <w:t>7 | Share money. Application &amp; | charges of making application for allotment, share money for</w:t>
        <w:br/>
        <w:t>entrance fee of the future society of residents, etc.</w:t>
        <w:br/>
        <w:t>organization</w:t>
        <w:br/>
        <w:t>8 | Formation and registration | Charges in respect of formation of future society of residents</w:t>
        <w:br/>
        <w:t>of the organization and legal | and associated legal cost.</w:t>
        <w:br/>
        <w:t>charges in connection</w:t>
        <w:br/>
        <w:t>therewith</w:t>
        <w:br/>
        <w:br/>
        <w:t>9 | Infrastructure charges Additional charges for development of common area</w:t>
        <w:br/>
        <w:t>infrastructure.</w:t>
        <w:br/>
        <w:br/>
        <w:t>10 | Legal fees Charges for legal cost of the transaction of sale of residential</w:t>
        <w:br/>
        <w:br/>
        <w:t>apartments.</w:t>
        <w:br/>
        <w:br/>
        <w:t>4. The order of Advance Ruling Authority: -</w:t>
        <w:br/>
        <w:t>4.1 The Appellant had filed an application before the Advance Ruling Authority (AAR) to</w:t>
        <w:br/>
        <w:t>seek the answers for following two questions in respect of other charges recovered from the</w:t>
        <w:br/>
        <w:t>customer.</w:t>
        <w:br/>
        <w:t>(a) Whether the Other Charges received by the company will be treated</w:t>
        <w:br/>
        <w:t>as consideration for construction services of the Company and classified</w:t>
        <w:br/>
        <w:t>under HSN 9954 along with the main residential construction services of</w:t>
        <w:br/>
        <w:t>the Company or whether the same will be treated as consideration for</w:t>
        <w:br/>
        <w:t>independent service(s) of the respective head?</w:t>
        <w:br/>
        <w:t>(b) Consequently, what will be the applicable effective rate of GSTm</w:t>
        <w:br/>
        <w:br/>
        <w:t>services underlying the Other Charges?</w:t>
        <w:br/>
        <w:br/>
        <w:t>4.2. The AAR passed an order rejecting the contention of the appellant that other services</w:t>
        <w:br/>
        <w:t>are part of a composite supply with construction services being the principle supply. It held</w:t>
        <w:br/>
        <w:t>that “other charges’’ will not be treated as a consideration for construction services and</w:t>
        <w:br/>
        <w:t>will be treated as consideration received against supply of independent services of the</w:t>
        <w:br/>
        <w:t>respective heads. It is further held that other charges would be taxable as per the respective</w:t>
        <w:br/>
        <w:br/>
        <w:t>SAC codes prescribed under Rate Notification and taxable @ 18% without any abetment.</w:t>
        <w:br/>
        <w:br/>
        <w:t>4.3. The AAR rejected the contention of the appellant on following grounds.</w:t>
        <w:br/>
        <w:br/>
        <w:t>= The contract entered into vide impugned agreement is for supply of</w:t>
        <w:br/>
        <w:t>construction services.</w:t>
        <w:br/>
        <w:br/>
        <w:t>" For payment of stamp duty consideration towards construction services is only</w:t>
        <w:br/>
        <w:t>taken into account. The appellant cannot take different and conflicting stand</w:t>
        <w:br/>
        <w:t>about considerations for the same activity before the two independent</w:t>
        <w:br/>
        <w:t>authorities.</w:t>
        <w:br/>
        <w:br/>
        <w:t>" The agreement was intended to transfer the ownership right in flats only and</w:t>
        <w:br/>
        <w:t>not of the adjoining area and other amenities for which charges are collected.</w:t>
        <w:br/>
        <w:br/>
        <w:t>" The charges for construction of residential unit and other services are shown</w:t>
        <w:br/>
        <w:br/>
        <w:t>4</w:t>
        <w:br/>
        <w:t>separately.</w:t>
        <w:br/>
        <w:br/>
        <w:t>" These facilities/ amenities provided by the applicant to its customers for the</w:t>
        <w:br/>
        <w:t>limited period because, for these facilities created the customers haven’t been</w:t>
        <w:br/>
        <w:t>given perpetual rights as per the said agreement. Therefore, it is held that the</w:t>
        <w:br/>
        <w:t>impugned transactions are not part of a composite supply.</w:t>
        <w:br/>
        <w:br/>
        <w:t>= Therefore, these other services do not part of original construction service.</w:t>
        <w:br/>
        <w:t>5. Appeal before the Appellate Authority of Advance Ruling (AAAR) :-</w:t>
        <w:br/>
        <w:br/>
        <w:t>5.1 Being aggrieved by the order of AAR, the Appellant has filed an appeal before the</w:t>
        <w:br/>
        <w:t>Appellate Authority of Advance Ruling (AAAR). The appeal needs to be filed within 30</w:t>
        <w:br/>
        <w:t>days from the date of communication of AAR order. The order of AAR was passed on</w:t>
        <w:br/>
        <w:t>27.8.2021 while the Appeal against the said order is filed on 02/11/2021. Thus the appeal</w:t>
        <w:br/>
        <w:t>is filed late by 36 days. Section 100 provides for condonation of delay up to further 30</w:t>
        <w:br/>
        <w:t>days. The appeal has been filed after the stipulated 30 days. So it is liable to be rejected on</w:t>
        <w:br/>
        <w:t>the ground of barred by limitation. However, the appellant has found support in the</w:t>
        <w:br/>
        <w:t>Supreme Court order in SMW(C) No.3 of 2020 dt.23.9.2021. The relevant part of the</w:t>
        <w:br/>
        <w:t>Supreme Court order is reproduced below:-</w:t>
        <w:br/>
        <w:br/>
        <w:t>I. In computing the period of limitation for any suit, appeal, application or proceeding,</w:t>
        <w:br/>
        <w:t>the period from 15.3.2020 till 2.10.2021 shall stand excluded. Consequently, the balance</w:t>
        <w:br/>
        <w:t>period of limitation remaining as on 15.3.2021, if any, shall become available with effect</w:t>
        <w:br/>
        <w:br/>
        <w:t>from 03.10.2021.</w:t>
        <w:br/>
        <w:br/>
        <w:t>5.2. Thus, the period from 27.8.2021 to 3.10.2021 will stand excluded from the period of</w:t>
        <w:br/>
        <w:t>limitation. As a result, appeal application filed on 02/11/2021 is treated as filed in time and</w:t>
        <w:br/>
        <w:br/>
        <w:t>it is admitted for disposal.</w:t>
        <w:br/>
        <w:br/>
        <w:t>6. The Grounds of Appeal: -</w:t>
        <w:br/>
        <w:br/>
        <w:t>6.1 The impugned order is erroneous and bad in law and has not properly appreciated the</w:t>
        <w:br/>
        <w:br/>
        <w:t>5</w:t>
        <w:br/>
        <w:t>factual and legal position.</w:t>
        <w:br/>
        <w:br/>
        <w:t>6.2 The AAR has overlooked the submissions made by the Appellant and has</w:t>
        <w:br/>
        <w:t>mechanically ruled that services supplied in respect of “other charges” are not naturally</w:t>
        <w:br/>
        <w:t>bundled.</w:t>
        <w:br/>
        <w:br/>
        <w:t>6.3 The impugned order is liable to be set aside as it is arbitrary and based on fallacious</w:t>
        <w:br/>
        <w:br/>
        <w:t>presumptions.</w:t>
        <w:br/>
        <w:br/>
        <w:t>7. Personal Hearing :-</w:t>
        <w:br/>
        <w:br/>
        <w:t>The personal hearing in the matter was conducted on 10.11.2022. It was attended by</w:t>
        <w:br/>
        <w:t>Mr. Gaurav Sugani, Advocate on behalf of the Appellant. Shri. Sugani, reiterated the</w:t>
        <w:br/>
        <w:t>submissions made in writing. He described the services provided by the Appellant and</w:t>
        <w:br/>
        <w:t>emphasised that supply of construction services and other services is a composite supply,</w:t>
        <w:br/>
        <w:t>supplied in conjunction with each other, naturally bundled and supplied in the ordinary course</w:t>
        <w:br/>
        <w:t>of business. He also submitted that the payment of stamp duty shouldn’t be considered for</w:t>
        <w:br/>
        <w:br/>
        <w:t>determining the nature of services.</w:t>
        <w:br/>
        <w:br/>
        <w:t>8. Contention of the Appellant:-</w:t>
        <w:br/>
        <w:br/>
        <w:t>8.1 The primary contention of the appellant is that the supply of construction</w:t>
        <w:br/>
        <w:t>services and consideration in respect of other charges (for electricity meter connection and</w:t>
        <w:br/>
        <w:t>water charges, property tax payment. Infrastructure development, legal fees etc.) is a</w:t>
        <w:br/>
        <w:t>composite supply. The appellant has reproduced the definition of Composite supply as</w:t>
        <w:br/>
        <w:t>provide in section 2(30). It has tried to interpret the concept by analyzing the attributes of</w:t>
        <w:br/>
        <w:t>composite supply. There are three attributes, namely,</w:t>
        <w:br/>
        <w:br/>
        <w:t>a) The supply should consist of two or more taxable supplies, where the supply may be</w:t>
        <w:br/>
        <w:t>of goods or services or both, or any combination thereof;</w:t>
        <w:br/>
        <w:br/>
        <w:t>b) Such supplies should be naturally bundled and supplied in conjunction with each other</w:t>
        <w:br/>
        <w:t>in the ordinary course of business</w:t>
        <w:br/>
        <w:br/>
        <w:t>c) One of the supplies should be a principal supply.</w:t>
        <w:br/>
        <w:br/>
        <w:t>8.2 Appellant has submitted that there is no dispute that supply of construction services and</w:t>
        <w:br/>
        <w:t>supply of other services are two taxable supplies.</w:t>
        <w:br/>
        <w:br/>
        <w:t>8.3 The Appellant has referred to the Education Guide to Taxation of Services dt.20.6.2012</w:t>
        <w:br/>
        <w:br/>
        <w:t>6</w:t>
        <w:br/>
        <w:t>published by the Tax Research Unit, Central Board of Excise &amp; Customs. Whether the</w:t>
        <w:br/>
        <w:t>services are bundled in the ordinary course of business is dependent on following</w:t>
        <w:br/>
        <w:t>indicators/ characteristics.</w:t>
        <w:br/>
        <w:t>a) The perception of the consumer or the service receive. If large number of service</w:t>
        <w:br/>
        <w:t>receivers of such bundle of services reasonably expect such services to be provided as a</w:t>
        <w:br/>
        <w:t>package then such a package could be treated as naturally bundled in the ordinary course</w:t>
        <w:br/>
        <w:t>of business.</w:t>
        <w:br/>
        <w:t>b) Majority of service providers in a particular area of business provide similar bundle of</w:t>
        <w:br/>
        <w:t>services. For example, bundle of catering on board and transport by air is a bundle offered</w:t>
        <w:br/>
        <w:t>by a majority of airlines.</w:t>
        <w:br/>
        <w:t>c) The nature of the various services in a bundle of services will also help in determining</w:t>
        <w:br/>
        <w:t>whether the services are bundled in the ordinary course of business. If the nature of</w:t>
        <w:br/>
        <w:t>services is such that one of the services combined with such service are in the nature of</w:t>
        <w:br/>
        <w:t>incidental or ancillary services which help in better enjoyment of a main service. For</w:t>
        <w:br/>
        <w:t>example, service of stay in a hotel is often combined with a service or laundering of 3-4</w:t>
        <w:br/>
        <w:t>items of clothing free of cost per day. Such service is ancillary service to the provision of</w:t>
        <w:br/>
        <w:t>hotel accommodation and the resultant package would be treated as services naturally</w:t>
        <w:br/>
        <w:t>bundled in the ordinary course of business.</w:t>
        <w:br/>
        <w:t>d) Other illustrative indicators, not determinative but indicative of bundling services in</w:t>
        <w:br/>
        <w:t>ordinary course of business are —</w:t>
        <w:br/>
        <w:br/>
        <w:t>- There is a single price or the customer pays the same amount, no matter how</w:t>
        <w:br/>
        <w:br/>
        <w:t>much of the package they actually receive or use.</w:t>
        <w:br/>
        <w:br/>
        <w:t>- The elements are normally advertised as a package</w:t>
        <w:br/>
        <w:br/>
        <w:t>- The different elements are not available separately</w:t>
        <w:br/>
        <w:t>- The different elements are integral to one overall supply- if one or more is</w:t>
        <w:br/>
        <w:br/>
        <w:t>removed, the nature of the supply would be affected.</w:t>
        <w:br/>
        <w:t>8.4 The Appellant has submitted that principles laid down in the Education Guide are</w:t>
        <w:br/>
        <w:t>applicable in the present case in terms of,</w:t>
        <w:br/>
        <w:br/>
        <w:t>a) perception of the service receiver,</w:t>
        <w:br/>
        <w:t>b) majority of service providers provide similar bundle of services,</w:t>
        <w:br/>
        <w:t>c) other charges are in the nature or incidental or ancillary services,</w:t>
        <w:br/>
        <w:t>d) they are advertised as single package, and</w:t>
        <w:br/>
        <w:br/>
        <w:t>e) further it is claimed they are not available separately.</w:t>
        <w:br/>
        <w:br/>
        <w:t>8.5 The Appellant has relied upon the Supreme Court observations in respect of “dominant</w:t>
        <w:br/>
        <w:t>intention test’ in case of composite contracts (BSNL vs Union of India (2006) 145 STC 91</w:t>
        <w:br/>
        <w:t>(SC). The Court observed,” The test for composite contracts remains to be — did the</w:t>
        <w:br/>
        <w:t>parties have in mind or intend separate rights arising out of the sale of goods. The test</w:t>
        <w:br/>
        <w:t>for deciding whether a contract falls into one category or the other is as to what is “the</w:t>
        <w:br/>
        <w:t>substance of the contract”. We will for the want of a better phrase, call this the</w:t>
        <w:br/>
        <w:t>dominant nature test.” The Appellant emphasizes that the primary dominant intent of the</w:t>
        <w:br/>
        <w:t>customer is to purchase the resident apartment and all other facilities/ services are</w:t>
        <w:br/>
        <w:t>incidental to the main supply of construction of residential apartment.</w:t>
        <w:br/>
        <w:br/>
        <w:t>8.6 The Appellant has relied upon Maharashtra AAR in the case of M/s Joyville Shapporji</w:t>
        <w:br/>
        <w:t>Housing Private Limited (hereinafter referred to as “Joyville”). It is submitted that the facts</w:t>
        <w:br/>
        <w:br/>
        <w:t>in the said AAR are identical to the facts in the present case.</w:t>
        <w:br/>
        <w:br/>
        <w:t>9. DISCUSSIONS AND FINDINGS: -</w:t>
        <w:br/>
        <w:br/>
        <w:t>9.1 We have carefully gone through the entire appeal memorandum containing the</w:t>
        <w:br/>
        <w:t>submissions made by the Appellant vis-a-vis the Advance Ruling passed by the MAAR,</w:t>
        <w:br/>
        <w:t>wherein the MAAR has held that services in respect of other charges are independent of</w:t>
        <w:br/>
        <w:t>construction services. Other charges don’t form part of a composite supply. Therefore, the</w:t>
        <w:br/>
        <w:t>moot question in the present appeal is the nature of and rate of tax on other charges received</w:t>
        <w:br/>
        <w:t>from customers by the Appellant. The Appellant has stressed that it is a composite supply</w:t>
        <w:br/>
        <w:t>with construction of residential apartment as the principle supply and other services</w:t>
        <w:br/>
        <w:t>provided are incidental to the main supply.</w:t>
        <w:br/>
        <w:br/>
        <w:t>9.2 The perception of the consumer or the services receiver is an important factor in</w:t>
        <w:br/>
        <w:t>determining whether the services provided are bundled or not. In the construction of</w:t>
        <w:br/>
        <w:t>residential apartment sector, services in relation to water supply connection charges,</w:t>
        <w:br/>
        <w:t>electricity meter installation and security deposit for meter, development charges paid to</w:t>
        <w:br/>
        <w:t>Government authority/local authority, legal fees for transaction of sale of residential</w:t>
        <w:br/>
        <w:t>apartments can reasonably be expected to be supplied by the builder/ developer/ promoter</w:t>
        <w:br/>
        <w:t>of a residential project. They are inextricably linked to a residential apartment or dwelling.</w:t>
        <w:br/>
        <w:t>Without these aspects, the property may not be used. However certain other charges like</w:t>
        <w:br/>
        <w:t>advance maintenance, club house maintenance, infrastructure charges, share money</w:t>
        <w:br/>
        <w:t>application and entrance fee of the organization are not expected by every customer. These</w:t>
        <w:br/>
        <w:t>are not inextricably linked to the construction services in respect of residential projects.</w:t>
        <w:br/>
        <w:t>9.3 In the said education note on which the appellant has relied heavily, other illustrative</w:t>
        <w:br/>
        <w:t>indicators which are indicative of bundling of services in ordinary course of business are</w:t>
        <w:br/>
        <w:t>provided (cited supra). The analysis of indicative indicators of bundled services show that</w:t>
        <w:br/>
        <w:t>they are largely not applicable to the case in hand. The other charges are received</w:t>
        <w:br/>
        <w:t>separately. It means indicator no a) and c) of para 8.3 are not complied with/ fulfilled. All</w:t>
        <w:br/>
        <w:t>the aspects may be or may not be advertised as a package. The submission of the appellant</w:t>
        <w:br/>
        <w:t>is silent on this aspect of the transaction. In fact, he has submitted that the charges are</w:t>
        <w:br/>
        <w:t>received separately to ensure transparency with the customer. Therefore first part of the</w:t>
        <w:br/>
        <w:t>indicator no. d) is absent i.e. there is a single price or the customer pays the same amount,</w:t>
        <w:br/>
        <w:t>no matter how much of the package they actually receive or use in the present case.</w:t>
        <w:br/>
        <w:br/>
        <w:t>9.4 In the present case, the different elements of transactions are available separately. The</w:t>
        <w:br/>
        <w:t>type of supplies or charges received in this case like advance maintenance charges, club</w:t>
        <w:br/>
        <w:t>house charges, share of municipal taxes (pertaining to period after occupancy), share</w:t>
        <w:br/>
        <w:t>money, application &amp; entrance fee of the organization, formation and registration of the</w:t>
        <w:br/>
        <w:t>organization and legal charges in connection therewith and infrastructure charges (for</w:t>
        <w:br/>
        <w:t>development of common area infrastructure) are independent from construction service.</w:t>
        <w:br/>
        <w:t>Even though any one or all of them is removed from the contract, the supply of services of</w:t>
        <w:br/>
        <w:t>construction of residential apartment / dwelling goes unabated. Therefore, the test that</w:t>
        <w:br/>
        <w:br/>
        <w:t>different elements are integral to one overall supply, even if one or more is removed, the</w:t>
        <w:br/>
        <w:t>nature of the supply would be affected, is not satisfied in the present case. So the nature of</w:t>
        <w:br/>
        <w:t>the other charges in respect of the above said independent services / activities which are</w:t>
        <w:br/>
        <w:t>not inextricably linked to a residential apartment shows that they don’t fulfill the various</w:t>
        <w:br/>
        <w:t>tests of composite supply.</w:t>
        <w:br/>
        <w:br/>
        <w:t>9.5 In view of the Supreme Court observations in respect of “dominant intention test”, the</w:t>
        <w:br/>
        <w:t>intention of the contracting parties is of paramount importance. In the present case, the</w:t>
        <w:br/>
        <w:t>covenants (contained in the agreement for a sale of flat) in respect of other charges, demand</w:t>
        <w:br/>
        <w:t>consideration.</w:t>
        <w:br/>
        <w:br/>
        <w:t>9.6 As per clause 33 (c), all open spaces, road, club house, garden, utility areas and common</w:t>
        <w:br/>
        <w:t>amenities, lobbies, staircases, terraces shall remain the property of the Promoter until the</w:t>
        <w:br/>
        <w:t>said property is transferred to the Apex body as herein mentioned but subject always to the</w:t>
        <w:br/>
        <w:t>rights, reservations, covenants and easements in favor of the Promoter as herein provided.</w:t>
        <w:br/>
        <w:t>9.7 Clause 33 (d) states that Promoter shall have absolute and exclusive right and authority</w:t>
        <w:br/>
        <w:t>to use, utilize and consume present and future FSI and/or TDR which will be made</w:t>
        <w:br/>
        <w:t>available to them, by the concerned local authorities and the Allottee shall not have or claim</w:t>
        <w:br/>
        <w:t>any rights and/or claim any rights and/or benefits of whatsoever nature in respect thereof.</w:t>
        <w:br/>
        <w:t>These two clauses bring out the intention of the parties that customer will not have any</w:t>
        <w:br/>
        <w:t>claim other than the Apartment agreed to be taken by him/her. Even the benefits arising</w:t>
        <w:br/>
        <w:t>out of building will be available to promoter/Appellant only.</w:t>
        <w:br/>
        <w:br/>
        <w:t>9.8 There is another clause that grants Promoter the right to use some of the common areas</w:t>
        <w:br/>
        <w:t>and external facilities to adjoining plot or any other plot in the vicinity of the said property</w:t>
        <w:br/>
        <w:t>(clause 33 (g)). All these clauses bring out the real nature of the services provided other</w:t>
        <w:br/>
        <w:t>than construction services. The property in such services (in terms of use, ownerships, etc.)</w:t>
        <w:br/>
        <w:t>isn’t fully transferred to the customers. Hence it is logical and legal to treat such services</w:t>
        <w:br/>
        <w:t>as not having any inextricable link to the construction services and need to be treated as</w:t>
        <w:br/>
        <w:t>independent supply of services.</w:t>
        <w:br/>
        <w:br/>
        <w:t>9.9 The Appellant has relied upon the case of Advance ruling authority order dated</w:t>
        <w:br/>
        <w:t>26.12.2019 in respect of M/s Joyville Shapoorji Housing Private Limited (herein after</w:t>
        <w:br/>
        <w:br/>
        <w:t>referred as “Joyville”). However the facts of the case are different from the present matter.</w:t>
        <w:br/>
        <w:br/>
        <w:t>10</w:t>
        <w:br/>
        <w:t>Firstly, the project of the appellant doesn’t fall under Affordable House Category while</w:t>
        <w:br/>
        <w:t>“Joyville” was a project under affordable housing category. In said case, the issue before</w:t>
        <w:br/>
        <w:t>authority was to decide whether the expression “the gross amount charged” provided in</w:t>
        <w:br/>
        <w:t>definition of affordable residential unit includes all charges paid to builder in respect of</w:t>
        <w:br/>
        <w:t>units with area less than 60 sq.Mtrs. only. The AAR decided in affirmative relying on the</w:t>
        <w:br/>
        <w:t>explanation provided in Notification no. 11/2017 which is applicable to Affordable Housing</w:t>
        <w:br/>
        <w:t>segment only. The Advance ruling authority in the said order made amply clear that 18%</w:t>
        <w:br/>
        <w:t>will be applicable on such amounts collected by Joyville from buyers of unit with area</w:t>
        <w:br/>
        <w:t>greater than 60 sq.Mtrs. Therefore the Joyville advance ruling order is not applicable in the</w:t>
        <w:br/>
        <w:t>present case.</w:t>
        <w:br/>
        <w:t>Further the services provided would be considered as provided even when the entire</w:t>
        <w:br/>
        <w:t>consideration for the immovable property is received after issuance of Completion</w:t>
        <w:br/>
        <w:t>Certificate or Occupation Certificate. Here the services provided are clearly identifiable</w:t>
        <w:br/>
        <w:t>separately from the construction service. Further, other services provided can be offered</w:t>
        <w:br/>
        <w:t>only once and the purchaser of flat cannot offer such a service to a buyer from him during</w:t>
        <w:br/>
        <w:t>the resale.</w:t>
        <w:br/>
        <w:t>Hon. High Court of Delhi in SURESH KUMAR BANSAL Versus UNION OF INDIA</w:t>
        <w:br/>
        <w:t>[2016(43) S.T.R. 3(Del.)] has held the Preferential Location Service as a taxable service.</w:t>
        <w:br/>
        <w:t>54. Insofar as the challenge to the levy of service tax on taxable services as defined under</w:t>
        <w:br/>
        <w:t>section 65(105) (zzzzu) is concerned, we do not find any merit in the contention that there</w:t>
        <w:br/>
        <w:t>is no element of service involved in the preferential location charges levied by a builder.</w:t>
        <w:br/>
        <w:t>We are unable to accept that such charges relate solely to the location of land. Thus,</w:t>
        <w:br/>
        <w:t>preferential location charges are charged by the builder based on the preferences of its</w:t>
        <w:br/>
        <w:t>customers. They are in one sense a measure of additional value that a customer derives</w:t>
        <w:br/>
        <w:t>from acquiring a particular unit. Such charges may be attributable to the preferences of the</w:t>
        <w:br/>
        <w:t>customer in relation to the directions in which a flat is constructed; the floor on which it is</w:t>
        <w:br/>
        <w:t>located; the views from the unit; accessibility to other facilities provided in the complex</w:t>
        <w:br/>
        <w:t>etc. As stated earlier, service tax is a tax on value addition and charges for preferential</w:t>
        <w:br/>
        <w:br/>
        <w:t>location in one sense embody the value of the satisfaction derived by a customer from</w:t>
        <w:br/>
        <w:br/>
        <w:t>11</w:t>
        <w:br/>
        <w:t>certain additional attributes of the property developed. Such charges cannot be traced</w:t>
        <w:br/>
        <w:t>directly to the value of any goods or value of land but are as a result of the development of</w:t>
        <w:br/>
        <w:t>the complex as a whole and the position of a particular unit in the context of the complex.</w:t>
        <w:br/>
        <w:br/>
        <w:t>Thus, it is an attempt on part of the appellant to subsume various other charges collected</w:t>
        <w:br/>
        <w:t>on the guise of Construction Services provided by him. The other charges collected by the</w:t>
        <w:br/>
        <w:t>appellant is clearly distinguishable from the main services provided.</w:t>
        <w:br/>
        <w:br/>
        <w:t>10. Hence, in view of the above facts and discussion, it is clear that charges in respect of</w:t>
        <w:br/>
        <w:t>some services are inextricably linked while other services are independently provided to</w:t>
        <w:br/>
        <w:t>the customer. The dominant intention test and principles for determination of naturally</w:t>
        <w:br/>
        <w:t>bundled services point out the independent nature of some of the services. Therefore,</w:t>
        <w:br/>
        <w:t>following services are clearly identifiable as bundled services:</w:t>
        <w:br/>
        <w:br/>
        <w:t>(i) Water connection charges;</w:t>
        <w:br/>
        <w:br/>
        <w:t>(ii) Electric meter installation and deposit for meter;</w:t>
        <w:br/>
        <w:br/>
        <w:t>(iit) Development charges;</w:t>
        <w:br/>
        <w:br/>
        <w:t>(iv) Legal fees.</w:t>
        <w:br/>
        <w:br/>
        <w:t>These aforesaid services are considered as naturally bundled services and taxable as per the</w:t>
        <w:br/>
        <w:t>rate of construction services. On the other hand, services of:</w:t>
        <w:br/>
        <w:br/>
        <w:t>(i) Club House Maintenance;</w:t>
        <w:br/>
        <w:br/>
        <w:t>(ii) Advance Maintenance;</w:t>
        <w:br/>
        <w:br/>
        <w:t>(iii) Share of Municipal Taxes (pertaining to period after occupancy)</w:t>
        <w:br/>
        <w:br/>
        <w:t>(iv) Formation and registration of the organization and legal charges in connection there</w:t>
        <w:br/>
        <w:t>with;</w:t>
        <w:br/>
        <w:br/>
        <w:t>(v) Share money, Application &amp; entrance fee of the organization;</w:t>
        <w:br/>
        <w:br/>
        <w:t>(vi) Infrastructure charges</w:t>
        <w:br/>
        <w:br/>
        <w:t>are determinable as independent supplies. The rate of tax thereon would be as per the</w:t>
        <w:br/>
        <w:t>respective service codes as mentioned in rate notification. The rate of tax on the</w:t>
        <w:br/>
        <w:t>inextricably linked services would be 12%</w:t>
        <w:br/>
        <w:br/>
        <w:t>11. Thus, in view of the above discussions and findings, we pass the following order:</w:t>
        <w:br/>
        <w:br/>
        <w:t>12</w:t>
        <w:br/>
        <w:t>ORDER</w:t>
        <w:br/>
        <w:br/>
        <w:t>We, hereby, partly set aside the MAAR Order No. GST-ARA-68/2019-20/B-52 dated</w:t>
        <w:br/>
        <w:t>27.08.2021 by holding that, in the facts and circumstances of the case, the other charges which</w:t>
        <w:br/>
        <w:t>are inextricably linked to services by way of construction of residential apartment /dwelling</w:t>
        <w:br/>
        <w:t>are part of a bundled service with principle service of construction of residential apartment</w:t>
        <w:br/>
        <w:t>/dwelling. The rate of tax applicable on such services would be 12% as applicable to the</w:t>
        <w:br/>
        <w:t>construction service. The other charges that don’t pass the muster of indicators of a bundled</w:t>
        <w:br/>
        <w:t>service are held as supply of independent services. They are to be taxed as per the respective</w:t>
        <w:br/>
        <w:t>SAC codes and rate of tax thereon. As per the submission of the appellant, he has collected</w:t>
        <w:br/>
        <w:t>18% of GST on the supply of such services. In respect of services which are allowed as</w:t>
        <w:br/>
        <w:t>bundled services, the present decision implies an excess collection of tax. It is hereby directed</w:t>
        <w:br/>
        <w:t>that the Appellant to refund the excess tax collected to the customers. Thus, the appeal filed</w:t>
        <w:br/>
        <w:t>by the Appellant is, hereby, partly allowed.</w:t>
        <w:br/>
        <w:br/>
        <w:t>edly —</w:t>
        <w:br/>
        <w:br/>
        <w:t>(RAJEEV KUMAR MITAL) (Dr. D.K. SRINIVAS)</w:t>
        <w:br/>
        <w:br/>
        <w:t>MEMBER MEMBER</w:t>
        <w:br/>
        <w:t>Copy to the:</w:t>
        <w:br/>
        <w:br/>
        <w:t>1. Appellant;</w:t>
        <w:br/>
        <w:br/>
        <w:t>2. AAR, Maharashtra</w:t>
        <w:br/>
        <w:br/>
        <w:t>3. Pr. Chief Commissioner, CGST and Central Excise, Mumbai Zone.</w:t>
        <w:br/>
        <w:t>4. Commissioner of State Tax, Maharashtra.</w:t>
        <w:br/>
        <w:br/>
        <w:t>5. Deputy Commissioner THA-VAT-E-005, Thane.</w:t>
        <w:br/>
        <w:br/>
        <w:t>13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