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Borrador de Informe Pericial</w:t>
      </w:r>
    </w:p>
    <w:p>
      <w:pPr>
        <w:jc w:val="center"/>
      </w:pPr>
      <w:r>
        <w:rPr>
          <w:b/>
          <w:color w:val="B23A48"/>
        </w:rPr>
        <w:t>BORRADOR GENERADO CON APOYO DE IA — PENDIENTE DE REVISIÓN Y VALIDACIÓN POR UN PERITO HABILITADO. VERSIÓN ACADÉMICA.</w:t>
      </w:r>
    </w:p>
    <w:p>
      <w:pPr>
        <w:jc w:val="center"/>
      </w:pPr>
      <w:r>
        <w:rPr>
          <w:i/>
        </w:rPr>
        <w:t>Generado: 2026-08-22 22:08</w:t>
      </w:r>
    </w:p>
    <w:p/>
    <w:p>
      <w:r>
        <w:t>BORRADOR GENERADO CON APOYO DE IA — PENDIENTE DE REVISIÓN Y VALIDACIÓN POR UN PERITO HABILITADO</w:t>
      </w:r>
    </w:p>
    <w:p/>
    <w:p>
      <w:pPr>
        <w:pStyle w:val="Heading1"/>
      </w:pPr>
      <w:r>
        <w:t>Informe pericial sobre lesiones personales</w:t>
      </w:r>
    </w:p>
    <w:p/>
    <w:p>
      <w:pPr>
        <w:pStyle w:val="Heading1"/>
      </w:pPr>
      <w:r>
        <w:t>Identificación del paciente:</w:t>
      </w:r>
    </w:p>
    <w:p>
      <w:r>
        <w:t>Nombre: Carlos Andrés Mendoza Ortiz</w:t>
      </w:r>
    </w:p>
    <w:p>
      <w:r>
        <w:t>Documento de identidad: C.C. 1.020.345.678 expedida en Bogotá D.C.</w:t>
      </w:r>
    </w:p>
    <w:p>
      <w:r>
        <w:t>Edad: 28 años</w:t>
      </w:r>
    </w:p>
    <w:p>
      <w:r>
        <w:t>Fecha de ingreso: 14 de febrero de 2026</w:t>
      </w:r>
    </w:p>
    <w:p>
      <w:r>
        <w:t>Servicio: Urgencias — Hospital Universitario de la Samaritana</w:t>
      </w:r>
    </w:p>
    <w:p/>
    <w:p>
      <w:pPr>
        <w:pStyle w:val="Heading1"/>
      </w:pPr>
      <w:r>
        <w:t>1. análisis del mecanismo de lesión:</w:t>
      </w:r>
    </w:p>
    <w:p>
      <w:r>
        <w:t>El paciente presenta lesiones atribuibles a un presunto asalto en el que se utilizaron dos tipos de elementos vulnerantes: un arma de fuego, que fue empleada como objeto contundente, y un arma cortopunzante tipo navaja. Las lesiones en la región facial, específicamente la herida contusa en la región supraciliar derecha, son compatibles con el impacto de un objeto contundente, mientras que la herida en el antebrazo izquierdo, de bordes nítidos y lineales, sugiere un mecanismo de defensa ante la agresión con el arma cortopunzante. La fractura dentoalveolar de las piezas 11 y 12, acompañada de movilidad y sangrado gingival, refuerza la naturaleza violenta del ataque, indicando un uso directo de la fuerza en la zona maxilofacial.</w:t>
      </w:r>
    </w:p>
    <w:p/>
    <w:p>
      <w:pPr>
        <w:pStyle w:val="Heading1"/>
      </w:pPr>
      <w:r>
        <w:t>2. cálculo de incapacidad:</w:t>
      </w:r>
    </w:p>
    <w:p>
      <w:r>
        <w:t>La incapacidad médico-legal provisional se estima en función de las lesiones descritas. La herida contusa en la región supraciliar y la fractura dentoalveolar pueden generar una incapacidad que, a falta de un análisis más detallado y validación pericial, se sugiere preliminarmente en un rango de 15 a 30 días, dependiendo de la evolución clínica y del tratamiento odontológico requerido. La herida por arma cortopunzante en el antebrazo izquierdo también podría contribuir a la incapacidad, aunque su impacto funcional parece ser menor en comparación con las lesiones faciales.</w:t>
      </w:r>
    </w:p>
    <w:p/>
    <w:p>
      <w:pPr>
        <w:pStyle w:val="Heading1"/>
      </w:pPr>
      <w:r>
        <w:t>3. conclusiones forenses:</w:t>
      </w:r>
    </w:p>
    <w:p>
      <w:r>
        <w:t>Las lesiones documentadas en la historia clínica son compatibles con el relato del paciente sobre el asalto. Se confirma la existencia de lesiones personales en el contexto de un presunto hurto agravado con violencia. Se recomienda un seguimiento odontológico prioritario para el manejo de la fractura dentoalveolar, dado que puede implicar secuelas funcionales en la masticación y estética dental. Además, se sugiere que el paciente esté atento a signos de alarma que puedan surgir tras el trauma, como cefalea intensa o alteraciones en el estado de conciencia.</w:t>
      </w:r>
    </w:p>
    <w:p/>
    <w:p>
      <w:r>
        <w:t>Este informe se emite con base en la información disponible en la historia clínica y los documentos aportados, y está sujeto a revisión y validación por un perito habilitado.</w:t>
      </w:r>
    </w:p>
    <w:p/>
    <w:p>
      <w:r>
        <w:t>_________________________________________</w:t>
      </w:r>
    </w:p>
    <w:p>
      <w:r>
        <w:t>[Firma del perito]</w:t>
      </w:r>
    </w:p>
    <w:p>
      <w:r>
        <w:t>[Nombre del perito]</w:t>
      </w:r>
    </w:p>
    <w:p>
      <w:r>
        <w:t>[Registro médico o profesional]</w:t>
      </w:r>
    </w:p>
    <w:p>
      <w:r>
        <w:t>[Fecha]</w:t>
      </w:r>
    </w:p>
    <w:p/>
    <w:p>
      <w:r>
        <w:rPr>
          <w:i/>
          <w:sz w:val="18"/>
        </w:rPr>
        <w:t>Documento de uso académico. No constituye un dictamen pericial válido sin la revisión, ajuste y firma de un perito forense habilitado.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