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DEBEC" w:val="clear"/>
        <w:spacing w:after="200"/>
        <w:jc w:val="center"/>
      </w:pPr>
      <w:r>
        <w:rPr>
          <w:b/>
          <w:bCs/>
          <w:color w:val="B23A48"/>
          <w:sz w:val="18"/>
          <w:szCs w:val="18"/>
        </w:rPr>
        <w:t xml:space="preserve">DOCUMENTO SINTÉTICO — DATOS FICTICIOS GENERADOS CON FINES ACADÉMICOS. NO CORRESPONDE A UN PACIENTE REAL.</w:t>
      </w:r>
    </w:p>
    <w:p>
      <w:pPr>
        <w:jc w:val="center"/>
      </w:pPr>
      <w:r>
        <w:rPr>
          <w:b/>
          <w:bCs/>
          <w:color w:val="1F3864"/>
          <w:sz w:val="28"/>
          <w:szCs w:val="28"/>
        </w:rPr>
        <w:t xml:space="preserve">HOSPITAL UNIVERSITARIO DE LA SAMARITANA</w:t>
      </w:r>
    </w:p>
    <w:p>
      <w:pPr>
        <w:spacing w:after="40"/>
        <w:jc w:val="center"/>
      </w:pPr>
      <w:r>
        <w:rPr>
          <w:color w:val="595959"/>
          <w:sz w:val="18"/>
          <w:szCs w:val="18"/>
        </w:rPr>
        <w:t xml:space="preserve">Institución Prestadora de Salud (IPS) — NIT 860.028.335-1</w:t>
      </w:r>
    </w:p>
    <w:p>
      <w:pPr>
        <w:spacing w:after="40"/>
        <w:jc w:val="center"/>
      </w:pPr>
      <w:r>
        <w:rPr>
          <w:color w:val="595959"/>
          <w:sz w:val="18"/>
          <w:szCs w:val="18"/>
        </w:rPr>
        <w:t xml:space="preserve">Departamento de Urgencias — Bogotá D.C., Colombia</w:t>
      </w:r>
    </w:p>
    <w:p>
      <w:pPr>
        <w:spacing w:after="200"/>
        <w:jc w:val="center"/>
      </w:pPr>
      <w:r>
        <w:rPr>
          <w:b/>
          <w:bCs/>
          <w:sz w:val="22"/>
          <w:szCs w:val="22"/>
          <w:u w:val="single"/>
        </w:rPr>
        <w:t xml:space="preserve">HISTORIA CLÍNICA DE INGRESO — URGENCIAS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60"/>
              <w:left w:type="dxa" w:w="100"/>
              <w:bottom w:type="dxa" w:w="60"/>
              <w:right w:type="dxa" w:w="100"/>
            </w:tcMar>
          </w:tcPr>
          <w:p>
            <w:r>
              <w:rPr>
                <w:b/>
                <w:bCs/>
                <w:sz w:val="18"/>
                <w:szCs w:val="18"/>
              </w:rPr>
              <w:t xml:space="preserve">N.º de Historia Clínica:</w:t>
            </w:r>
          </w:p>
        </w:tc>
        <w:tc>
          <w:tcPr>
            <w:tcW w:type="dxa" w:w="6750"/>
            <w:tcMar>
              <w:top w:type="dxa" w:w="60"/>
              <w:left w:type="dxa" w:w="100"/>
              <w:bottom w:type="dxa" w:w="60"/>
              <w:right w:type="dxa" w:w="100"/>
            </w:tcMar>
          </w:tcPr>
          <w:p>
            <w:r>
              <w:rPr>
                <w:sz w:val="18"/>
                <w:szCs w:val="18"/>
              </w:rPr>
              <w:t xml:space="preserve">HUS-URG-2026-004821</w:t>
            </w:r>
          </w:p>
        </w:tc>
      </w:tr>
      <w:tr>
        <w:tc>
          <w:tcPr>
            <w:tcW w:type="dxa" w:w="2600"/>
            <w:shd w:fill="F2F2F2" w:val="clear"/>
            <w:tcMar>
              <w:top w:type="dxa" w:w="60"/>
              <w:left w:type="dxa" w:w="100"/>
              <w:bottom w:type="dxa" w:w="60"/>
              <w:right w:type="dxa" w:w="100"/>
            </w:tcMar>
          </w:tcPr>
          <w:p>
            <w:r>
              <w:rPr>
                <w:b/>
                <w:bCs/>
                <w:sz w:val="18"/>
                <w:szCs w:val="18"/>
              </w:rPr>
              <w:t xml:space="preserve">Fecha y hora de ingreso:</w:t>
            </w:r>
          </w:p>
        </w:tc>
        <w:tc>
          <w:tcPr>
            <w:tcW w:type="dxa" w:w="6750"/>
            <w:tcMar>
              <w:top w:type="dxa" w:w="60"/>
              <w:left w:type="dxa" w:w="100"/>
              <w:bottom w:type="dxa" w:w="60"/>
              <w:right w:type="dxa" w:w="100"/>
            </w:tcMar>
          </w:tcPr>
          <w:p>
            <w:r>
              <w:rPr>
                <w:sz w:val="18"/>
                <w:szCs w:val="18"/>
              </w:rPr>
              <w:t xml:space="preserve">14 de febrero de 2026, 22:15 horas</w:t>
            </w:r>
          </w:p>
        </w:tc>
      </w:tr>
      <w:tr>
        <w:tc>
          <w:tcPr>
            <w:tcW w:type="dxa" w:w="2600"/>
            <w:shd w:fill="F2F2F2" w:val="clear"/>
            <w:tcMar>
              <w:top w:type="dxa" w:w="60"/>
              <w:left w:type="dxa" w:w="100"/>
              <w:bottom w:type="dxa" w:w="60"/>
              <w:right w:type="dxa" w:w="100"/>
            </w:tcMar>
          </w:tcPr>
          <w:p>
            <w:r>
              <w:rPr>
                <w:b/>
                <w:bCs/>
                <w:sz w:val="18"/>
                <w:szCs w:val="18"/>
              </w:rPr>
              <w:t xml:space="preserve">Servicio:</w:t>
            </w:r>
          </w:p>
        </w:tc>
        <w:tc>
          <w:tcPr>
            <w:tcW w:type="dxa" w:w="6750"/>
            <w:tcMar>
              <w:top w:type="dxa" w:w="60"/>
              <w:left w:type="dxa" w:w="100"/>
              <w:bottom w:type="dxa" w:w="60"/>
              <w:right w:type="dxa" w:w="100"/>
            </w:tcMar>
          </w:tcPr>
          <w:p>
            <w:r>
              <w:rPr>
                <w:sz w:val="18"/>
                <w:szCs w:val="18"/>
              </w:rPr>
              <w:t xml:space="preserve">Urgencias — Triage II (prioritario)</w:t>
            </w:r>
          </w:p>
        </w:tc>
      </w:tr>
      <w:tr>
        <w:tc>
          <w:tcPr>
            <w:tcW w:type="dxa" w:w="2600"/>
            <w:shd w:fill="F2F2F2" w:val="clear"/>
            <w:tcMar>
              <w:top w:type="dxa" w:w="60"/>
              <w:left w:type="dxa" w:w="100"/>
              <w:bottom w:type="dxa" w:w="60"/>
              <w:right w:type="dxa" w:w="100"/>
            </w:tcMar>
          </w:tcPr>
          <w:p>
            <w:r>
              <w:rPr>
                <w:b/>
                <w:bCs/>
                <w:sz w:val="18"/>
                <w:szCs w:val="18"/>
              </w:rPr>
              <w:t xml:space="preserve">Médico tratante:</w:t>
            </w:r>
          </w:p>
        </w:tc>
        <w:tc>
          <w:tcPr>
            <w:tcW w:type="dxa" w:w="6750"/>
            <w:tcMar>
              <w:top w:type="dxa" w:w="60"/>
              <w:left w:type="dxa" w:w="100"/>
              <w:bottom w:type="dxa" w:w="60"/>
              <w:right w:type="dxa" w:w="100"/>
            </w:tcMar>
          </w:tcPr>
          <w:p>
            <w:r>
              <w:rPr>
                <w:sz w:val="18"/>
                <w:szCs w:val="18"/>
              </w:rPr>
              <w:t xml:space="preserve">Dra. Liliana Patricia Rojas Cárdenas — Registro Médico 45.812 CE</w:t>
            </w:r>
          </w:p>
        </w:tc>
      </w:tr>
    </w:tbl>
    <w:p>
      <w:pPr>
        <w:spacing w:after="120"/>
      </w:pPr>
    </w:p>
    <w:p>
      <w:pPr>
        <w:pStyle w:val="Heading1"/>
        <w:pBdr>
          <w:bottom w:val="single" w:color="BFBFBF" w:sz="6" w:space="4"/>
        </w:pBdr>
        <w:spacing w:after="120" w:before="260"/>
      </w:pPr>
      <w:r>
        <w:rPr>
          <w:b/>
          <w:bCs/>
          <w:color w:val="1F3864"/>
        </w:rPr>
        <w:t xml:space="preserve">1. Identificación del paciente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60"/>
              <w:left w:type="dxa" w:w="100"/>
              <w:bottom w:type="dxa" w:w="60"/>
              <w:right w:type="dxa" w:w="100"/>
            </w:tcMar>
          </w:tcPr>
          <w:p>
            <w:r>
              <w:rPr>
                <w:b/>
                <w:bCs/>
                <w:sz w:val="18"/>
                <w:szCs w:val="18"/>
              </w:rPr>
              <w:t xml:space="preserve">Nombre completo:</w:t>
            </w:r>
          </w:p>
        </w:tc>
        <w:tc>
          <w:tcPr>
            <w:tcW w:type="dxa" w:w="6750"/>
            <w:tcMar>
              <w:top w:type="dxa" w:w="60"/>
              <w:left w:type="dxa" w:w="100"/>
              <w:bottom w:type="dxa" w:w="60"/>
              <w:right w:type="dxa" w:w="100"/>
            </w:tcMar>
          </w:tcPr>
          <w:p>
            <w:r>
              <w:rPr>
                <w:sz w:val="18"/>
                <w:szCs w:val="18"/>
              </w:rPr>
              <w:t xml:space="preserve">Carlos Andrés Mendoza Ortiz</w:t>
            </w:r>
          </w:p>
        </w:tc>
      </w:tr>
      <w:tr>
        <w:tc>
          <w:tcPr>
            <w:tcW w:type="dxa" w:w="2600"/>
            <w:shd w:fill="F2F2F2" w:val="clear"/>
            <w:tcMar>
              <w:top w:type="dxa" w:w="60"/>
              <w:left w:type="dxa" w:w="100"/>
              <w:bottom w:type="dxa" w:w="60"/>
              <w:right w:type="dxa" w:w="100"/>
            </w:tcMar>
          </w:tcPr>
          <w:p>
            <w:r>
              <w:rPr>
                <w:b/>
                <w:bCs/>
                <w:sz w:val="18"/>
                <w:szCs w:val="18"/>
              </w:rPr>
              <w:t xml:space="preserve">Documento de identidad:</w:t>
            </w:r>
          </w:p>
        </w:tc>
        <w:tc>
          <w:tcPr>
            <w:tcW w:type="dxa" w:w="6750"/>
            <w:tcMar>
              <w:top w:type="dxa" w:w="60"/>
              <w:left w:type="dxa" w:w="100"/>
              <w:bottom w:type="dxa" w:w="60"/>
              <w:right w:type="dxa" w:w="100"/>
            </w:tcMar>
          </w:tcPr>
          <w:p>
            <w:r>
              <w:rPr>
                <w:sz w:val="18"/>
                <w:szCs w:val="18"/>
              </w:rPr>
              <w:t xml:space="preserve">C.C. 1.020.345.678 expedida en Bogotá D.C.</w:t>
            </w:r>
          </w:p>
        </w:tc>
      </w:tr>
      <w:tr>
        <w:tc>
          <w:tcPr>
            <w:tcW w:type="dxa" w:w="2600"/>
            <w:shd w:fill="F2F2F2" w:val="clear"/>
            <w:tcMar>
              <w:top w:type="dxa" w:w="60"/>
              <w:left w:type="dxa" w:w="100"/>
              <w:bottom w:type="dxa" w:w="60"/>
              <w:right w:type="dxa" w:w="100"/>
            </w:tcMar>
          </w:tcPr>
          <w:p>
            <w:r>
              <w:rPr>
                <w:b/>
                <w:bCs/>
                <w:sz w:val="18"/>
                <w:szCs w:val="18"/>
              </w:rPr>
              <w:t xml:space="preserve">Edad / Fecha de nacimiento:</w:t>
            </w:r>
          </w:p>
        </w:tc>
        <w:tc>
          <w:tcPr>
            <w:tcW w:type="dxa" w:w="6750"/>
            <w:tcMar>
              <w:top w:type="dxa" w:w="60"/>
              <w:left w:type="dxa" w:w="100"/>
              <w:bottom w:type="dxa" w:w="60"/>
              <w:right w:type="dxa" w:w="100"/>
            </w:tcMar>
          </w:tcPr>
          <w:p>
            <w:r>
              <w:rPr>
                <w:sz w:val="18"/>
                <w:szCs w:val="18"/>
              </w:rPr>
              <w:t xml:space="preserve">28 años / 03 de mayo de 1997</w:t>
            </w:r>
          </w:p>
        </w:tc>
      </w:tr>
      <w:tr>
        <w:tc>
          <w:tcPr>
            <w:tcW w:type="dxa" w:w="2600"/>
            <w:shd w:fill="F2F2F2" w:val="clear"/>
            <w:tcMar>
              <w:top w:type="dxa" w:w="60"/>
              <w:left w:type="dxa" w:w="100"/>
              <w:bottom w:type="dxa" w:w="60"/>
              <w:right w:type="dxa" w:w="100"/>
            </w:tcMar>
          </w:tcPr>
          <w:p>
            <w:r>
              <w:rPr>
                <w:b/>
                <w:bCs/>
                <w:sz w:val="18"/>
                <w:szCs w:val="18"/>
              </w:rPr>
              <w:t xml:space="preserve">Sexo:</w:t>
            </w:r>
          </w:p>
        </w:tc>
        <w:tc>
          <w:tcPr>
            <w:tcW w:type="dxa" w:w="6750"/>
            <w:tcMar>
              <w:top w:type="dxa" w:w="60"/>
              <w:left w:type="dxa" w:w="100"/>
              <w:bottom w:type="dxa" w:w="60"/>
              <w:right w:type="dxa" w:w="100"/>
            </w:tcMar>
          </w:tcPr>
          <w:p>
            <w:r>
              <w:rPr>
                <w:sz w:val="18"/>
                <w:szCs w:val="18"/>
              </w:rPr>
              <w:t xml:space="preserve">Masculino</w:t>
            </w:r>
          </w:p>
        </w:tc>
      </w:tr>
      <w:tr>
        <w:tc>
          <w:tcPr>
            <w:tcW w:type="dxa" w:w="2600"/>
            <w:shd w:fill="F2F2F2" w:val="clear"/>
            <w:tcMar>
              <w:top w:type="dxa" w:w="60"/>
              <w:left w:type="dxa" w:w="100"/>
              <w:bottom w:type="dxa" w:w="60"/>
              <w:right w:type="dxa" w:w="100"/>
            </w:tcMar>
          </w:tcPr>
          <w:p>
            <w:r>
              <w:rPr>
                <w:b/>
                <w:bCs/>
                <w:sz w:val="18"/>
                <w:szCs w:val="18"/>
              </w:rPr>
              <w:t xml:space="preserve">Estado civil:</w:t>
            </w:r>
          </w:p>
        </w:tc>
        <w:tc>
          <w:tcPr>
            <w:tcW w:type="dxa" w:w="6750"/>
            <w:tcMar>
              <w:top w:type="dxa" w:w="60"/>
              <w:left w:type="dxa" w:w="100"/>
              <w:bottom w:type="dxa" w:w="60"/>
              <w:right w:type="dxa" w:w="100"/>
            </w:tcMar>
          </w:tcPr>
          <w:p>
            <w:r>
              <w:rPr>
                <w:sz w:val="18"/>
                <w:szCs w:val="18"/>
              </w:rPr>
              <w:t xml:space="preserve">Soltero</w:t>
            </w:r>
          </w:p>
        </w:tc>
      </w:tr>
      <w:tr>
        <w:tc>
          <w:tcPr>
            <w:tcW w:type="dxa" w:w="2600"/>
            <w:shd w:fill="F2F2F2" w:val="clear"/>
            <w:tcMar>
              <w:top w:type="dxa" w:w="60"/>
              <w:left w:type="dxa" w:w="100"/>
              <w:bottom w:type="dxa" w:w="60"/>
              <w:right w:type="dxa" w:w="100"/>
            </w:tcMar>
          </w:tcPr>
          <w:p>
            <w:r>
              <w:rPr>
                <w:b/>
                <w:bCs/>
                <w:sz w:val="18"/>
                <w:szCs w:val="18"/>
              </w:rPr>
              <w:t xml:space="preserve">Ocupación:</w:t>
            </w:r>
          </w:p>
        </w:tc>
        <w:tc>
          <w:tcPr>
            <w:tcW w:type="dxa" w:w="6750"/>
            <w:tcMar>
              <w:top w:type="dxa" w:w="60"/>
              <w:left w:type="dxa" w:w="100"/>
              <w:bottom w:type="dxa" w:w="60"/>
              <w:right w:type="dxa" w:w="100"/>
            </w:tcMar>
          </w:tcPr>
          <w:p>
            <w:r>
              <w:rPr>
                <w:sz w:val="18"/>
                <w:szCs w:val="18"/>
              </w:rPr>
              <w:t xml:space="preserve">Auxiliar contable, empresa privada</w:t>
            </w:r>
          </w:p>
        </w:tc>
      </w:tr>
      <w:tr>
        <w:tc>
          <w:tcPr>
            <w:tcW w:type="dxa" w:w="2600"/>
            <w:shd w:fill="F2F2F2" w:val="clear"/>
            <w:tcMar>
              <w:top w:type="dxa" w:w="60"/>
              <w:left w:type="dxa" w:w="100"/>
              <w:bottom w:type="dxa" w:w="60"/>
              <w:right w:type="dxa" w:w="100"/>
            </w:tcMar>
          </w:tcPr>
          <w:p>
            <w:r>
              <w:rPr>
                <w:b/>
                <w:bCs/>
                <w:sz w:val="18"/>
                <w:szCs w:val="18"/>
              </w:rPr>
              <w:t xml:space="preserve">Dirección de residencia:</w:t>
            </w:r>
          </w:p>
        </w:tc>
        <w:tc>
          <w:tcPr>
            <w:tcW w:type="dxa" w:w="6750"/>
            <w:tcMar>
              <w:top w:type="dxa" w:w="60"/>
              <w:left w:type="dxa" w:w="100"/>
              <w:bottom w:type="dxa" w:w="60"/>
              <w:right w:type="dxa" w:w="100"/>
            </w:tcMar>
          </w:tcPr>
          <w:p>
            <w:r>
              <w:rPr>
                <w:sz w:val="18"/>
                <w:szCs w:val="18"/>
              </w:rPr>
              <w:t xml:space="preserve">Calle 45 Sur N.º 18-22, Barrio Restrepo, Bogotá D.C.</w:t>
            </w:r>
          </w:p>
        </w:tc>
      </w:tr>
      <w:tr>
        <w:tc>
          <w:tcPr>
            <w:tcW w:type="dxa" w:w="2600"/>
            <w:shd w:fill="F2F2F2" w:val="clear"/>
            <w:tcMar>
              <w:top w:type="dxa" w:w="60"/>
              <w:left w:type="dxa" w:w="100"/>
              <w:bottom w:type="dxa" w:w="60"/>
              <w:right w:type="dxa" w:w="100"/>
            </w:tcMar>
          </w:tcPr>
          <w:p>
            <w:r>
              <w:rPr>
                <w:b/>
                <w:bCs/>
                <w:sz w:val="18"/>
                <w:szCs w:val="18"/>
              </w:rPr>
              <w:t xml:space="preserve">Teléfono de contacto:</w:t>
            </w:r>
          </w:p>
        </w:tc>
        <w:tc>
          <w:tcPr>
            <w:tcW w:type="dxa" w:w="6750"/>
            <w:tcMar>
              <w:top w:type="dxa" w:w="60"/>
              <w:left w:type="dxa" w:w="100"/>
              <w:bottom w:type="dxa" w:w="60"/>
              <w:right w:type="dxa" w:w="100"/>
            </w:tcMar>
          </w:tcPr>
          <w:p>
            <w:r>
              <w:rPr>
                <w:sz w:val="18"/>
                <w:szCs w:val="18"/>
              </w:rPr>
              <w:t xml:space="preserve">310 555 4821</w:t>
            </w:r>
          </w:p>
        </w:tc>
      </w:tr>
      <w:tr>
        <w:tc>
          <w:tcPr>
            <w:tcW w:type="dxa" w:w="2600"/>
            <w:shd w:fill="F2F2F2" w:val="clear"/>
            <w:tcMar>
              <w:top w:type="dxa" w:w="60"/>
              <w:left w:type="dxa" w:w="100"/>
              <w:bottom w:type="dxa" w:w="60"/>
              <w:right w:type="dxa" w:w="100"/>
            </w:tcMar>
          </w:tcPr>
          <w:p>
            <w:r>
              <w:rPr>
                <w:b/>
                <w:bCs/>
                <w:sz w:val="18"/>
                <w:szCs w:val="18"/>
              </w:rPr>
              <w:t xml:space="preserve">EPS / Régimen:</w:t>
            </w:r>
          </w:p>
        </w:tc>
        <w:tc>
          <w:tcPr>
            <w:tcW w:type="dxa" w:w="6750"/>
            <w:tcMar>
              <w:top w:type="dxa" w:w="60"/>
              <w:left w:type="dxa" w:w="100"/>
              <w:bottom w:type="dxa" w:w="60"/>
              <w:right w:type="dxa" w:w="100"/>
            </w:tcMar>
          </w:tcPr>
          <w:p>
            <w:r>
              <w:rPr>
                <w:sz w:val="18"/>
                <w:szCs w:val="18"/>
              </w:rPr>
              <w:t xml:space="preserve">Nueva EPS — Régimen contributivo</w:t>
            </w:r>
          </w:p>
        </w:tc>
      </w:tr>
      <w:tr>
        <w:tc>
          <w:tcPr>
            <w:tcW w:type="dxa" w:w="2600"/>
            <w:shd w:fill="F2F2F2" w:val="clear"/>
            <w:tcMar>
              <w:top w:type="dxa" w:w="60"/>
              <w:left w:type="dxa" w:w="100"/>
              <w:bottom w:type="dxa" w:w="60"/>
              <w:right w:type="dxa" w:w="100"/>
            </w:tcMar>
          </w:tcPr>
          <w:p>
            <w:r>
              <w:rPr>
                <w:b/>
                <w:bCs/>
                <w:sz w:val="18"/>
                <w:szCs w:val="18"/>
              </w:rPr>
              <w:t xml:space="preserve">Acompañante / Informante:</w:t>
            </w:r>
          </w:p>
        </w:tc>
        <w:tc>
          <w:tcPr>
            <w:tcW w:type="dxa" w:w="6750"/>
            <w:tcMar>
              <w:top w:type="dxa" w:w="60"/>
              <w:left w:type="dxa" w:w="100"/>
              <w:bottom w:type="dxa" w:w="60"/>
              <w:right w:type="dxa" w:w="100"/>
            </w:tcMar>
          </w:tcPr>
          <w:p>
            <w:r>
              <w:rPr>
                <w:sz w:val="18"/>
                <w:szCs w:val="18"/>
              </w:rPr>
              <w:t xml:space="preserve">Ingresa remitido por Policía Nacional, sin acompañante familiar</w:t>
            </w:r>
          </w:p>
        </w:tc>
      </w:tr>
    </w:tbl>
    <w:p>
      <w:pPr>
        <w:pStyle w:val="Heading1"/>
        <w:pBdr>
          <w:bottom w:val="single" w:color="BFBFBF" w:sz="6" w:space="4"/>
        </w:pBdr>
        <w:spacing w:after="120" w:before="260"/>
      </w:pPr>
      <w:r>
        <w:rPr>
          <w:b/>
          <w:bCs/>
          <w:color w:val="1F3864"/>
        </w:rPr>
        <w:t xml:space="preserve">2. Motivo de consulta (relato del paciente)</w:t>
      </w:r>
    </w:p>
    <w:p>
      <w:pPr>
        <w:spacing w:after="120"/>
      </w:pPr>
      <w:r>
        <w:rPr>
          <w:i/>
          <w:iCs/>
          <w:sz w:val="21"/>
          <w:szCs w:val="21"/>
        </w:rPr>
        <w:t xml:space="preserve">“Iba saliendo de un establecimiento comercial en el centro de la ciudad cuando un sujeto me abordó para robarme. Me resistí, me golpeó en la cara con la cacha de un revólver y luego me tiró al piso donde me propinó varias patadas y me atacó con una navaja pequeña. La policía llegó y me trajo en la patrulla.”</w:t>
      </w:r>
    </w:p>
    <w:p>
      <w:pPr>
        <w:pStyle w:val="Heading1"/>
        <w:pBdr>
          <w:bottom w:val="single" w:color="BFBFBF" w:sz="6" w:space="4"/>
        </w:pBdr>
        <w:spacing w:after="120" w:before="260"/>
      </w:pPr>
      <w:r>
        <w:rPr>
          <w:b/>
          <w:bCs/>
          <w:color w:val="1F3864"/>
        </w:rPr>
        <w:t xml:space="preserve">3. Enfermedad actual</w:t>
      </w:r>
    </w:p>
    <w:p>
      <w:pPr>
        <w:spacing w:after="120"/>
      </w:pPr>
      <w:r>
        <w:rPr>
          <w:sz w:val="21"/>
          <w:szCs w:val="21"/>
        </w:rPr>
        <w:t xml:space="preserve">Paciente masculino de 28 años, sin antecedentes patológicos de importancia, quien es traído por unidad de Policía Nacional tras ser víctima de presunto asalto con arma de fuego (utilizada como objeto contundente) y arma cortopunzante en hechos ocurridos aproximadamente 30 minutos antes del ingreso, en vía pública del centro de Bogotá D.C. Refiere pérdida de conocimiento negada, no náuseas ni vómito. Consulta por dolor facial, sangrado de encía y herida en antebrazo izquierdo.</w:t>
      </w:r>
    </w:p>
    <w:p>
      <w:pPr>
        <w:pStyle w:val="Heading1"/>
        <w:pBdr>
          <w:bottom w:val="single" w:color="BFBFBF" w:sz="6" w:space="4"/>
        </w:pBdr>
        <w:spacing w:after="120" w:before="260"/>
      </w:pPr>
      <w:r>
        <w:rPr>
          <w:b/>
          <w:bCs/>
          <w:color w:val="1F3864"/>
        </w:rPr>
        <w:t xml:space="preserve">4. Antecedentes</w:t>
      </w:r>
    </w:p>
    <w:p>
      <w:pPr>
        <w:pStyle w:val="ListParagraph"/>
        <w:numPr>
          <w:ilvl w:val="0"/>
          <w:numId w:val="1"/>
        </w:numPr>
        <w:spacing w:after="60"/>
      </w:pPr>
      <w:r>
        <w:rPr>
          <w:sz w:val="21"/>
          <w:szCs w:val="21"/>
        </w:rPr>
        <w:t xml:space="preserve">Patológicos: No refiere.</w:t>
      </w:r>
    </w:p>
    <w:p>
      <w:pPr>
        <w:pStyle w:val="ListParagraph"/>
        <w:numPr>
          <w:ilvl w:val="0"/>
          <w:numId w:val="1"/>
        </w:numPr>
        <w:spacing w:after="60"/>
      </w:pPr>
      <w:r>
        <w:rPr>
          <w:sz w:val="21"/>
          <w:szCs w:val="21"/>
        </w:rPr>
        <w:t xml:space="preserve">Quirúrgicos: No refiere.</w:t>
      </w:r>
    </w:p>
    <w:p>
      <w:pPr>
        <w:pStyle w:val="ListParagraph"/>
        <w:numPr>
          <w:ilvl w:val="0"/>
          <w:numId w:val="1"/>
        </w:numPr>
        <w:spacing w:after="60"/>
      </w:pPr>
      <w:r>
        <w:rPr>
          <w:sz w:val="21"/>
          <w:szCs w:val="21"/>
        </w:rPr>
        <w:t xml:space="preserve">Alérgicos: No refiere alergias medicamentosas conocidas.</w:t>
      </w:r>
    </w:p>
    <w:p>
      <w:pPr>
        <w:pStyle w:val="ListParagraph"/>
        <w:numPr>
          <w:ilvl w:val="0"/>
          <w:numId w:val="1"/>
        </w:numPr>
        <w:spacing w:after="60"/>
      </w:pPr>
      <w:r>
        <w:rPr>
          <w:sz w:val="21"/>
          <w:szCs w:val="21"/>
        </w:rPr>
        <w:t xml:space="preserve">Farmacológicos: No refiere consumo habitual de medicamentos.</w:t>
      </w:r>
    </w:p>
    <w:p>
      <w:pPr>
        <w:pStyle w:val="ListParagraph"/>
        <w:numPr>
          <w:ilvl w:val="0"/>
          <w:numId w:val="1"/>
        </w:numPr>
        <w:spacing w:after="60"/>
      </w:pPr>
      <w:r>
        <w:rPr>
          <w:sz w:val="21"/>
          <w:szCs w:val="21"/>
        </w:rPr>
        <w:t xml:space="preserve">Tóxicos: Niega consumo de alcohol o sustancias psicoactivas en las últimas 24 horas.</w:t>
      </w:r>
    </w:p>
    <w:p>
      <w:pPr>
        <w:pStyle w:val="ListParagraph"/>
        <w:numPr>
          <w:ilvl w:val="0"/>
          <w:numId w:val="1"/>
        </w:numPr>
        <w:spacing w:after="60"/>
      </w:pPr>
      <w:r>
        <w:rPr>
          <w:sz w:val="21"/>
          <w:szCs w:val="21"/>
        </w:rPr>
        <w:t xml:space="preserve">Vacunación: Esquema de toxoide tetánico no verificable por el paciente (último refuerzo hace más de 10 años, según refiere).</w:t>
      </w:r>
    </w:p>
    <w:p>
      <w:pPr>
        <w:pStyle w:val="Heading1"/>
        <w:pBdr>
          <w:bottom w:val="single" w:color="BFBFBF" w:sz="6" w:space="4"/>
        </w:pBdr>
        <w:spacing w:after="120" w:before="260"/>
      </w:pPr>
      <w:r>
        <w:rPr>
          <w:b/>
          <w:bCs/>
          <w:color w:val="1F3864"/>
        </w:rPr>
        <w:t xml:space="preserve">5. Examen físico y hallazgos clínicos</w:t>
      </w:r>
    </w:p>
    <w:p>
      <w:pPr>
        <w:spacing w:after="120"/>
      </w:pPr>
      <w:r>
        <w:rPr>
          <w:b/>
          <w:bCs/>
          <w:sz w:val="21"/>
          <w:szCs w:val="21"/>
        </w:rPr>
        <w:t xml:space="preserve">Signos vitales: TA 120/80 mmHg, FC 88 lpm, FR 18 rpm, SatO₂ 97 % (aire ambiente), Temperatura 36.6 °C, Escala de dolor (EVA) 7/10.</w:t>
      </w:r>
    </w:p>
    <w:p>
      <w:pPr>
        <w:spacing w:after="120"/>
      </w:pPr>
      <w:r>
        <w:rPr>
          <w:sz w:val="21"/>
          <w:szCs w:val="21"/>
        </w:rPr>
        <w:t xml:space="preserve">Estado general: Paciente alerta, orientado en las tres esferas (persona, tiempo y espacio), álgico, colaborador para el examen, sin signos de dificultad respiratoria.</w:t>
      </w:r>
    </w:p>
    <w:p>
      <w:pPr>
        <w:spacing w:after="120"/>
      </w:pPr>
      <w:r>
        <w:rPr>
          <w:sz w:val="21"/>
          <w:szCs w:val="21"/>
        </w:rPr>
        <w:t xml:space="preserve">Cabeza y cuello:</w:t>
      </w:r>
    </w:p>
    <w:p>
      <w:pPr>
        <w:pStyle w:val="ListParagraph"/>
        <w:numPr>
          <w:ilvl w:val="0"/>
          <w:numId w:val="1"/>
        </w:numPr>
        <w:spacing w:after="60"/>
      </w:pPr>
      <w:r>
        <w:rPr>
          <w:sz w:val="21"/>
          <w:szCs w:val="21"/>
        </w:rPr>
        <w:t xml:space="preserve">Herida por trauma contundente en región supraciliar derecha (ceja), de aproximadamente 3 cm de longitud, bordes irregulares, con sangrado activo moderado al momento del ingreso.</w:t>
      </w:r>
    </w:p>
    <w:p>
      <w:pPr>
        <w:pStyle w:val="ListParagraph"/>
        <w:numPr>
          <w:ilvl w:val="0"/>
          <w:numId w:val="1"/>
        </w:numPr>
        <w:spacing w:after="60"/>
      </w:pPr>
      <w:r>
        <w:rPr>
          <w:sz w:val="21"/>
          <w:szCs w:val="21"/>
        </w:rPr>
        <w:t xml:space="preserve">Edema y equimosis periorbitaria derecha en fase aguda, sin limitación a la apertura ocular.</w:t>
      </w:r>
    </w:p>
    <w:p>
      <w:pPr>
        <w:pStyle w:val="ListParagraph"/>
        <w:numPr>
          <w:ilvl w:val="0"/>
          <w:numId w:val="1"/>
        </w:numPr>
        <w:spacing w:after="60"/>
      </w:pPr>
      <w:r>
        <w:rPr>
          <w:sz w:val="21"/>
          <w:szCs w:val="21"/>
        </w:rPr>
        <w:t xml:space="preserve">Fractura clínicamente sospechosa de piezas dentales 11 y 12 (incisivos centrales superiores), con movilidad grado II y sangrado gingival activo.</w:t>
      </w:r>
    </w:p>
    <w:p>
      <w:pPr>
        <w:pStyle w:val="ListParagraph"/>
        <w:numPr>
          <w:ilvl w:val="0"/>
          <w:numId w:val="1"/>
        </w:numPr>
        <w:spacing w:after="60"/>
      </w:pPr>
      <w:r>
        <w:rPr>
          <w:sz w:val="21"/>
          <w:szCs w:val="21"/>
        </w:rPr>
        <w:t xml:space="preserve">No se palpan escalones óseos en reborde orbitario ni malar. Pupilas isocóricas normorreactivas.</w:t>
      </w:r>
    </w:p>
    <w:p>
      <w:pPr>
        <w:spacing w:after="120"/>
      </w:pPr>
      <w:r>
        <w:rPr>
          <w:sz w:val="21"/>
          <w:szCs w:val="21"/>
        </w:rPr>
        <w:t xml:space="preserve">Tórax y abdomen: Simétricos, sin heridas ni equimosis visibles. Ruidos cardíacos rítmicos sin soplos. Murmullo vesicular conservado bilateral, sin agregados. Abdomen blando, depresible, no doloroso, sin signos de irritación peritoneal.</w:t>
      </w:r>
    </w:p>
    <w:p>
      <w:pPr>
        <w:spacing w:after="120"/>
      </w:pPr>
      <w:r>
        <w:rPr>
          <w:sz w:val="21"/>
          <w:szCs w:val="21"/>
        </w:rPr>
        <w:t xml:space="preserve">Extremidades superiores:</w:t>
      </w:r>
    </w:p>
    <w:p>
      <w:pPr>
        <w:pStyle w:val="ListParagraph"/>
        <w:numPr>
          <w:ilvl w:val="0"/>
          <w:numId w:val="1"/>
        </w:numPr>
        <w:spacing w:after="60"/>
      </w:pPr>
      <w:r>
        <w:rPr>
          <w:sz w:val="21"/>
          <w:szCs w:val="21"/>
        </w:rPr>
        <w:t xml:space="preserve">Herida de bordes nítidos y lineales en la cara posterior del antebrazo izquierdo, de aproximadamente 6 cm de longitud, que compromete tejido celular subcutáneo, compatible con mecanismo de defensa ante agresión con arma cortopunzante.</w:t>
      </w:r>
    </w:p>
    <w:p>
      <w:pPr>
        <w:pStyle w:val="ListParagraph"/>
        <w:numPr>
          <w:ilvl w:val="0"/>
          <w:numId w:val="1"/>
        </w:numPr>
        <w:spacing w:after="60"/>
      </w:pPr>
      <w:r>
        <w:rPr>
          <w:sz w:val="21"/>
          <w:szCs w:val="21"/>
        </w:rPr>
        <w:t xml:space="preserve">Pulsos distales conservados, sin compromiso neurovascular ni tendinoso aparente.</w:t>
      </w:r>
    </w:p>
    <w:p>
      <w:pPr>
        <w:spacing w:after="120"/>
      </w:pPr>
      <w:r>
        <w:rPr>
          <w:sz w:val="21"/>
          <w:szCs w:val="21"/>
        </w:rPr>
        <w:t xml:space="preserve">Extremidades inferiores: Equimosis leves dispersas en cara lateral de muslo derecho, sin heridas abiertas, atribuidas por el paciente a las patadas recibidas. Sin limitación funcional para la marcha.</w:t>
      </w:r>
    </w:p>
    <w:p>
      <w:pPr>
        <w:spacing w:after="120"/>
      </w:pPr>
      <w:r>
        <w:rPr>
          <w:sz w:val="21"/>
          <w:szCs w:val="21"/>
        </w:rPr>
        <w:t xml:space="preserve">Columna y neurológico: Sin dolor a la palpación de apófisis espinosas. Fuerza muscular 5/5 en las cuatro extremidades. Sensibilidad conservada. Glasgow 15/15.</w:t>
      </w:r>
    </w:p>
    <w:p>
      <w:pPr>
        <w:pStyle w:val="Heading1"/>
        <w:pBdr>
          <w:bottom w:val="single" w:color="BFBFBF" w:sz="6" w:space="4"/>
        </w:pBdr>
        <w:spacing w:after="120" w:before="260"/>
      </w:pPr>
      <w:r>
        <w:rPr>
          <w:b/>
          <w:bCs/>
          <w:color w:val="1F3864"/>
        </w:rPr>
        <w:t xml:space="preserve">6. Impresión diagnóstica</w:t>
      </w:r>
    </w:p>
    <w:p>
      <w:pPr>
        <w:pStyle w:val="ListParagraph"/>
        <w:numPr>
          <w:ilvl w:val="0"/>
          <w:numId w:val="1"/>
        </w:numPr>
        <w:spacing w:after="60"/>
      </w:pPr>
      <w:r>
        <w:rPr>
          <w:sz w:val="21"/>
          <w:szCs w:val="21"/>
        </w:rPr>
        <w:t xml:space="preserve">Herida contusa en región supraciliar derecha (CIE-10 S01.1).</w:t>
      </w:r>
    </w:p>
    <w:p>
      <w:pPr>
        <w:pStyle w:val="ListParagraph"/>
        <w:numPr>
          <w:ilvl w:val="0"/>
          <w:numId w:val="1"/>
        </w:numPr>
        <w:spacing w:after="60"/>
      </w:pPr>
      <w:r>
        <w:rPr>
          <w:sz w:val="21"/>
          <w:szCs w:val="21"/>
        </w:rPr>
        <w:t xml:space="preserve">Fractura dentoalveolar de piezas 11 y 12 (CIE-10 S02.5).</w:t>
      </w:r>
    </w:p>
    <w:p>
      <w:pPr>
        <w:pStyle w:val="ListParagraph"/>
        <w:numPr>
          <w:ilvl w:val="0"/>
          <w:numId w:val="1"/>
        </w:numPr>
        <w:spacing w:after="60"/>
      </w:pPr>
      <w:r>
        <w:rPr>
          <w:sz w:val="21"/>
          <w:szCs w:val="21"/>
        </w:rPr>
        <w:t xml:space="preserve">Herida por arma cortopunzante en antebrazo izquierdo (CIE-10 S51.0).</w:t>
      </w:r>
    </w:p>
    <w:p>
      <w:pPr>
        <w:pStyle w:val="ListParagraph"/>
        <w:numPr>
          <w:ilvl w:val="0"/>
          <w:numId w:val="1"/>
        </w:numPr>
        <w:spacing w:after="60"/>
      </w:pPr>
      <w:r>
        <w:rPr>
          <w:sz w:val="21"/>
          <w:szCs w:val="21"/>
        </w:rPr>
        <w:t xml:space="preserve">Contusiones múltiples en tórax posterior y muslo derecho (CIE-10 T00.9).</w:t>
      </w:r>
    </w:p>
    <w:p>
      <w:pPr>
        <w:pStyle w:val="ListParagraph"/>
        <w:numPr>
          <w:ilvl w:val="0"/>
          <w:numId w:val="1"/>
        </w:numPr>
        <w:spacing w:after="60"/>
      </w:pPr>
      <w:r>
        <w:rPr>
          <w:sz w:val="21"/>
          <w:szCs w:val="21"/>
        </w:rPr>
        <w:t xml:space="preserve">Lesión personal en contexto de presunto hurto agravado con violencia (a confirmar por autoridad competente).</w:t>
      </w:r>
    </w:p>
    <w:p>
      <w:pPr>
        <w:pStyle w:val="Heading1"/>
        <w:pBdr>
          <w:bottom w:val="single" w:color="BFBFBF" w:sz="6" w:space="4"/>
        </w:pBdr>
        <w:spacing w:after="120" w:before="260"/>
      </w:pPr>
      <w:r>
        <w:rPr>
          <w:b/>
          <w:bCs/>
          <w:color w:val="1F3864"/>
        </w:rPr>
        <w:t xml:space="preserve">7. Tratamiento y procedimientos realizados</w:t>
      </w:r>
    </w:p>
    <w:p>
      <w:pPr>
        <w:pStyle w:val="ListParagraph"/>
        <w:numPr>
          <w:ilvl w:val="0"/>
          <w:numId w:val="1"/>
        </w:numPr>
        <w:spacing w:after="60"/>
      </w:pPr>
      <w:r>
        <w:rPr>
          <w:sz w:val="21"/>
          <w:szCs w:val="21"/>
        </w:rPr>
        <w:t xml:space="preserve">Lavado quirúrgico y asepsia de heridas con solución salina 0.9 % y clorhexidina.</w:t>
      </w:r>
    </w:p>
    <w:p>
      <w:pPr>
        <w:pStyle w:val="ListParagraph"/>
        <w:numPr>
          <w:ilvl w:val="0"/>
          <w:numId w:val="1"/>
        </w:numPr>
        <w:spacing w:after="60"/>
      </w:pPr>
      <w:r>
        <w:rPr>
          <w:sz w:val="21"/>
          <w:szCs w:val="21"/>
        </w:rPr>
        <w:t xml:space="preserve">Sutura de herida supraciliar derecha: 4 puntos con monofilamento 4-0.</w:t>
      </w:r>
    </w:p>
    <w:p>
      <w:pPr>
        <w:pStyle w:val="ListParagraph"/>
        <w:numPr>
          <w:ilvl w:val="0"/>
          <w:numId w:val="1"/>
        </w:numPr>
        <w:spacing w:after="60"/>
      </w:pPr>
      <w:r>
        <w:rPr>
          <w:sz w:val="21"/>
          <w:szCs w:val="21"/>
        </w:rPr>
        <w:t xml:space="preserve">Sutura de herida en antebrazo izquierdo: 7 puntos con monofilamento 3-0, por planos.</w:t>
      </w:r>
    </w:p>
    <w:p>
      <w:pPr>
        <w:pStyle w:val="ListParagraph"/>
        <w:numPr>
          <w:ilvl w:val="0"/>
          <w:numId w:val="1"/>
        </w:numPr>
        <w:spacing w:after="60"/>
      </w:pPr>
      <w:r>
        <w:rPr>
          <w:sz w:val="21"/>
          <w:szCs w:val="21"/>
        </w:rPr>
        <w:t xml:space="preserve">Analgesia e hidratación intravenosa: Tramadol 50 mg IV + Diclofenaco 75 mg IM.</w:t>
      </w:r>
    </w:p>
    <w:p>
      <w:pPr>
        <w:pStyle w:val="ListParagraph"/>
        <w:numPr>
          <w:ilvl w:val="0"/>
          <w:numId w:val="1"/>
        </w:numPr>
        <w:spacing w:after="60"/>
      </w:pPr>
      <w:r>
        <w:rPr>
          <w:sz w:val="21"/>
          <w:szCs w:val="21"/>
        </w:rPr>
        <w:t xml:space="preserve">Profilaxis antitetánica (toxoide tetánico 0.5 mL IM) por esquema incierto.</w:t>
      </w:r>
    </w:p>
    <w:p>
      <w:pPr>
        <w:pStyle w:val="ListParagraph"/>
        <w:numPr>
          <w:ilvl w:val="0"/>
          <w:numId w:val="1"/>
        </w:numPr>
        <w:spacing w:after="60"/>
      </w:pPr>
      <w:r>
        <w:rPr>
          <w:sz w:val="21"/>
          <w:szCs w:val="21"/>
        </w:rPr>
        <w:t xml:space="preserve">Formulación de antibiótico oral: Cefalexina 500 mg cada 6 horas por 7 días.</w:t>
      </w:r>
    </w:p>
    <w:p>
      <w:pPr>
        <w:pStyle w:val="ListParagraph"/>
        <w:numPr>
          <w:ilvl w:val="0"/>
          <w:numId w:val="1"/>
        </w:numPr>
        <w:spacing w:after="60"/>
      </w:pPr>
      <w:r>
        <w:rPr>
          <w:sz w:val="21"/>
          <w:szCs w:val="21"/>
        </w:rPr>
        <w:t xml:space="preserve">Interconsulta prioritaria a Odontología / Cirugía Maxilofacial por trauma dentoalveolar.</w:t>
      </w:r>
    </w:p>
    <w:p>
      <w:pPr>
        <w:pStyle w:val="ListParagraph"/>
        <w:numPr>
          <w:ilvl w:val="0"/>
          <w:numId w:val="1"/>
        </w:numPr>
        <w:spacing w:after="60"/>
      </w:pPr>
      <w:r>
        <w:rPr>
          <w:sz w:val="21"/>
          <w:szCs w:val="21"/>
        </w:rPr>
        <w:t xml:space="preserve">Toma de radiografía de cráneo AP y lateral: sin evidencia de fractura ósea craneofacial.</w:t>
      </w:r>
    </w:p>
    <w:p>
      <w:pPr>
        <w:pStyle w:val="Heading1"/>
        <w:pBdr>
          <w:bottom w:val="single" w:color="BFBFBF" w:sz="6" w:space="4"/>
        </w:pBdr>
        <w:spacing w:after="120" w:before="260"/>
      </w:pPr>
      <w:r>
        <w:rPr>
          <w:b/>
          <w:bCs/>
          <w:color w:val="1F3864"/>
        </w:rPr>
        <w:t xml:space="preserve">8. Plan de egreso y recomendaciones</w:t>
      </w:r>
    </w:p>
    <w:p>
      <w:pPr>
        <w:spacing w:after="120"/>
      </w:pPr>
      <w:r>
        <w:rPr>
          <w:sz w:val="21"/>
          <w:szCs w:val="21"/>
        </w:rPr>
        <w:t xml:space="preserve">Se otorga alta hospitalaria tras 4 horas de observación en Urgencias, con signos vitales estables y sin signos de alarma neurológica.</w:t>
      </w:r>
    </w:p>
    <w:p>
      <w:pPr>
        <w:pStyle w:val="ListParagraph"/>
        <w:numPr>
          <w:ilvl w:val="0"/>
          <w:numId w:val="1"/>
        </w:numPr>
        <w:spacing w:after="60"/>
      </w:pPr>
      <w:r>
        <w:rPr>
          <w:sz w:val="21"/>
          <w:szCs w:val="21"/>
        </w:rPr>
        <w:t xml:space="preserve">Se remite de manera prioritaria a Odontología / Cirugía Maxilofacial para manejo definitivo del trauma dentoalveolar.</w:t>
      </w:r>
    </w:p>
    <w:p>
      <w:pPr>
        <w:pStyle w:val="ListParagraph"/>
        <w:numPr>
          <w:ilvl w:val="0"/>
          <w:numId w:val="1"/>
        </w:numPr>
        <w:spacing w:after="60"/>
      </w:pPr>
      <w:r>
        <w:rPr>
          <w:sz w:val="21"/>
          <w:szCs w:val="21"/>
        </w:rPr>
        <w:t xml:space="preserve">Orden de retiro de puntos de sutura en 10 días en su EPS de afiliación.</w:t>
      </w:r>
    </w:p>
    <w:p>
      <w:pPr>
        <w:pStyle w:val="ListParagraph"/>
        <w:numPr>
          <w:ilvl w:val="0"/>
          <w:numId w:val="1"/>
        </w:numPr>
        <w:spacing w:after="60"/>
      </w:pPr>
      <w:r>
        <w:rPr>
          <w:sz w:val="21"/>
          <w:szCs w:val="21"/>
        </w:rPr>
        <w:t xml:space="preserve">Se entregan recomendaciones de signos de alarma (cefalea intensa, vómito, alteración del estado de conciencia) con indicación de regresar de inmediato de presentarse.</w:t>
      </w:r>
    </w:p>
    <w:p>
      <w:pPr>
        <w:pStyle w:val="ListParagraph"/>
        <w:numPr>
          <w:ilvl w:val="0"/>
          <w:numId w:val="1"/>
        </w:numPr>
        <w:spacing w:after="60"/>
      </w:pPr>
      <w:r>
        <w:rPr>
          <w:sz w:val="21"/>
          <w:szCs w:val="21"/>
        </w:rPr>
        <w:t xml:space="preserve">Se informa al paciente sobre su derecho a solicitar valoración por Medicina Legal en el marco del proceso penal correspondiente.</w:t>
      </w:r>
    </w:p>
    <w:p>
      <w:pPr>
        <w:pStyle w:val="ListParagraph"/>
        <w:numPr>
          <w:ilvl w:val="0"/>
          <w:numId w:val="1"/>
        </w:numPr>
        <w:spacing w:after="60"/>
      </w:pPr>
      <w:r>
        <w:rPr>
          <w:sz w:val="21"/>
          <w:szCs w:val="21"/>
        </w:rPr>
        <w:t xml:space="preserve">Se hace entrega de copia de la presente historia clínica al paciente para los trámites que considere pertinentes ante las autoridades.</w:t>
      </w:r>
    </w:p>
    <w:p>
      <w:pPr>
        <w:spacing w:before="300"/>
      </w:pPr>
    </w:p>
    <w:p>
      <w:pPr>
        <w:jc w:val="center"/>
      </w:pPr>
      <w:r>
        <w:rPr>
          <w:sz w:val="20"/>
          <w:szCs w:val="20"/>
        </w:rPr>
        <w:t xml:space="preserve">_________________________________________</w:t>
      </w:r>
    </w:p>
    <w:p>
      <w:pPr>
        <w:jc w:val="center"/>
      </w:pPr>
      <w:r>
        <w:rPr>
          <w:b/>
          <w:bCs/>
          <w:sz w:val="20"/>
          <w:szCs w:val="20"/>
        </w:rPr>
        <w:t xml:space="preserve">Dra. Liliana Patricia Rojas Cárdenas</w:t>
      </w:r>
    </w:p>
    <w:p>
      <w:pPr>
        <w:jc w:val="center"/>
      </w:pPr>
      <w:r>
        <w:rPr>
          <w:color w:val="595959"/>
          <w:sz w:val="18"/>
          <w:szCs w:val="18"/>
        </w:rPr>
        <w:t xml:space="preserve">Médica General — Registro Médico 45.812 CE</w:t>
      </w:r>
    </w:p>
    <w:p>
      <w:pPr>
        <w:spacing w:after="200"/>
        <w:jc w:val="center"/>
      </w:pPr>
      <w:r>
        <w:rPr>
          <w:color w:val="595959"/>
          <w:sz w:val="18"/>
          <w:szCs w:val="18"/>
        </w:rPr>
        <w:t xml:space="preserve">Hospital Universitario de la Samaritana — Urgencias</w:t>
      </w:r>
    </w:p>
    <w:p>
      <w:pPr>
        <w:pBdr>
          <w:top w:val="single" w:color="BFBFBF" w:sz="6" w:space="4"/>
        </w:pBdr>
        <w:spacing w:before="200"/>
      </w:pPr>
      <w:r>
        <w:rPr>
          <w:i/>
          <w:iCs/>
          <w:color w:val="595959"/>
          <w:sz w:val="16"/>
          <w:szCs w:val="16"/>
        </w:rPr>
        <w:t xml:space="preserve">Documento sintético elaborado con fines académicos para pruebas de una herramienta de apoyo a la redacción de informes periciales. No contiene datos de personas reales.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2026-08-23T02:38:20.894Z</dcterms:created>
  <dcterms:modified xsi:type="dcterms:W3CDTF">2026-08-23T02:38:20.907Z</dcterms:modified>
</cp:coreProperties>
</file>

<file path=docProps/custom.xml><?xml version="1.0" encoding="utf-8"?>
<Properties xmlns="http://schemas.openxmlformats.org/officeDocument/2006/custom-properties" xmlns:vt="http://schemas.openxmlformats.org/officeDocument/2006/docPropsVTypes"/>
</file>