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mc:Ignorable="w14 w15 wp14">
  <w:body>
    <w:p>
      <w:pPr>
        <w:spacing w:after="0" w:line="240" w:lineRule="auto"/>
        <w:jc w:val="center"/>
        <w:rPr>
          <w:rFonts w:ascii="Times New Roman" w:hAnsi="Times New Roman"/>
          <w:sz w:val="40"/>
        </w:rPr>
      </w:pPr>
      <w:r>
        <w:rPr>
          <w:rFonts w:ascii="Times New Roman" w:hAnsi="Times New Roman"/>
          <w:sz w:val="40"/>
        </w:rPr>
        <w:drawing>
          <wp:inline distT="0" distB="0" distL="0" distR="0">
            <wp:extent cx="1284490" cy="1309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pic:cNvPicPr>
                  </pic:nvPicPr>
                  <pic:blipFill rotWithShape="1">
                    <a:blip xmlns:r="http://schemas.openxmlformats.org/officeDocument/2006/relationships" r:embed="rId8"/>
                    <a:stretch/>
                  </pic:blipFill>
                  <pic:spPr>
                    <a:xfrm>
                      <a:off x="0" y="0"/>
                      <a:ext cx="1284490" cy="1309077"/>
                    </a:xfrm>
                    <a:prstGeom prst="rect">
                      <a:avLst/>
                    </a:prstGeom>
                  </pic:spPr>
                </pic:pic>
              </a:graphicData>
            </a:graphic>
          </wp:inline>
        </w:drawing>
      </w:r>
    </w:p>
    <w:p>
      <w:pPr>
        <w:spacing w:before="0" w:after="40" w:line="360" w:lineRule="auto"/>
        <w:jc w:val="center"/>
        <w:rPr>
          <w:rFonts w:ascii="Old English Text MT" w:hAnsi="Old English Text MT" w:cs="Old English Text MT"/>
          <w:color w:val="000000"/>
          <w:sz w:val="54"/>
          <w:szCs w:val="54"/>
        </w:rPr>
      </w:pPr>
      <w:r>
        <w:rPr>
          <w:rFonts w:ascii="Old English Text MT" w:hAnsi="Old English Text MT" w:cs="Old English Text MT"/>
          <w:color w:val="000000"/>
          <w:sz w:val="54"/>
          <w:szCs w:val="54"/>
        </w:rPr>
        <w:t xml:space="preserve">Bharati Vidyapeeth</w:t>
      </w:r>
    </w:p>
    <w:p>
      <w:pPr>
        <w:spacing w:before="0" w:after="40" w:line="360" w:lineRule="auto"/>
        <w:jc w:val="center"/>
        <w:rPr>
          <w:rFonts w:ascii="Times New Roman" w:hAnsi="Times New Roman" w:cs="Times New Roman"/>
          <w:color w:val="000000"/>
          <w:sz w:val="28"/>
          <w:szCs w:val="28"/>
        </w:rPr>
      </w:pPr>
      <w:r>
        <w:rPr>
          <w:rFonts w:ascii="Times New Roman" w:hAnsi="Times New Roman" w:cs="Times New Roman"/>
          <w:color w:val="000000"/>
          <w:sz w:val="28"/>
          <w:szCs w:val="28"/>
        </w:rPr>
        <w:t xml:space="preserve">(Deemed to be University)</w:t>
      </w:r>
    </w:p>
    <w:p>
      <w:pPr>
        <w:spacing w:before="0" w:after="20" w:line="360" w:lineRule="auto"/>
        <w:jc w:val="center"/>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Department of Engineering and Technology</w:t>
      </w:r>
    </w:p>
    <w:p>
      <w:pPr>
        <w:spacing w:before="0" w:after="180"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Navi Mumbai</w:t>
      </w:r>
    </w:p>
    <w:p>
      <w:pPr>
        <w:spacing w:before="0" w:after="140" w:line="360" w:lineRule="auto"/>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 xml:space="preserve">PROJECT BASED LEARNING</w:t>
      </w:r>
    </w:p>
    <w:p>
      <w:pPr>
        <w:spacing w:before="0" w:after="180"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“SAFEBITE: PRIVACY-PRESERVING AI-POWERED DIETARY SAFETY ASSISTANT USING GOOGLE GEMMA 2”</w:t>
      </w:r>
    </w:p>
    <w:p>
      <w:pPr>
        <w:spacing w:before="0" w:after="4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is submitted to</w:t>
      </w:r>
    </w:p>
    <w:p>
      <w:pPr>
        <w:spacing w:before="0" w:after="40" w:line="360" w:lineRule="auto"/>
        <w:jc w:val="center"/>
        <w:rPr>
          <w:rFonts w:ascii="Times New Roman" w:hAnsi="Times New Roman" w:cs="Times New Roman"/>
          <w:b/>
          <w:bCs/>
          <w:color w:val="000000"/>
          <w:sz w:val="26"/>
          <w:szCs w:val="26"/>
        </w:rPr>
      </w:pPr>
      <w:r>
        <w:rPr>
          <w:rFonts w:ascii="Times New Roman" w:hAnsi="Times New Roman" w:cs="Times New Roman"/>
          <w:b/>
          <w:bCs/>
          <w:color w:val="000000"/>
          <w:sz w:val="26"/>
          <w:szCs w:val="26"/>
        </w:rPr>
        <w:t xml:space="preserve">Department of Computer Science Engineering,</w:t>
      </w:r>
    </w:p>
    <w:p>
      <w:pPr>
        <w:spacing w:before="0" w:after="40" w:line="360" w:lineRule="auto"/>
        <w:jc w:val="center"/>
        <w:rPr>
          <w:rFonts w:ascii="Times New Roman" w:hAnsi="Times New Roman" w:cs="Times New Roman"/>
          <w:color w:val="000000"/>
          <w:sz w:val="24"/>
          <w:szCs w:val="24"/>
        </w:rPr>
      </w:pPr>
      <w:r>
        <w:rPr>
          <w:rFonts w:ascii="Times New Roman" w:hAnsi="Times New Roman" w:cs="Times New Roman"/>
          <w:color w:val="000000"/>
          <w:sz w:val="24"/>
          <w:szCs w:val="24"/>
        </w:rPr>
        <w:t xml:space="preserve">In partial fulfilment of</w:t>
      </w:r>
    </w:p>
    <w:p>
      <w:pPr>
        <w:spacing w:before="0" w:after="160" w:line="360" w:lineRule="auto"/>
        <w:jc w:val="cente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AGENTIC ARTIFICIAL INTELLIGENCE</w:t>
      </w:r>
    </w:p>
    <w:p>
      <w:pPr>
        <w:spacing w:before="0" w:after="160"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Submitted To:  Prof. Deepika Sharma</w:t>
      </w:r>
    </w:p>
    <w:p>
      <w:pPr>
        <w:spacing w:before="0" w:after="80" w:line="360" w:lineRule="auto"/>
        <w:jc w:val="center"/>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Submitted By:</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2200"/>
        <w:gridCol w:w="4200"/>
        <w:gridCol w:w="2600"/>
      </w:tblGrid>
      <w:tr>
        <w:trPr>
          <w:tblHeader/>
        </w:trPr>
        <w:tc>
          <w:tcPr>
            <w:tcW w:w="2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Roll no.</w:t>
            </w:r>
          </w:p>
        </w:tc>
        <w:tc>
          <w:tcPr>
            <w:tcW w:w="4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Name of Student</w:t>
            </w:r>
          </w:p>
        </w:tc>
        <w:tc>
          <w:tcPr>
            <w:tcW w:w="2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PRN No.</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04</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Aditya Bafna</w:t>
            </w:r>
          </w:p>
        </w:tc>
        <w:tc>
          <w:tcPr>
            <w:tcW w:w="2600" w:type="dxa"/>
            <w:vAlign w:val="center"/>
          </w:tcPr>
          <w:p>
            <w:pPr>
              <w:spacing w:before="60" w:after="60" w:line="240" w:lineRule="auto"/>
              <w:jc w:val="center"/>
              <w:rPr>
                <w:rFonts w:ascii="Times New Roman" w:hAnsi="Times New Roman"/>
                <w:sz w:val="20"/>
              </w:rPr>
            </w:pPr>
            <w:r>
              <w:rPr>
                <w:rFonts w:ascii="Times New Roman" w:hAnsi="Times New Roman"/>
                <w:sz w:val="20"/>
              </w:rPr>
              <w:t>2443110010</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07</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Adwai Singh</w:t>
            </w:r>
          </w:p>
        </w:tc>
        <w:tc>
          <w:tcPr>
            <w:tcW w:w="2600" w:type="dxa"/>
            <w:vAlign w:val="center"/>
          </w:tcPr>
          <w:p>
            <w:pPr>
              <w:spacing w:before="60" w:after="60" w:line="240" w:lineRule="auto"/>
              <w:jc w:val="center"/>
              <w:rPr>
                <w:rFonts w:ascii="Times New Roman" w:hAnsi="Times New Roman"/>
                <w:sz w:val="20"/>
              </w:rPr>
            </w:pPr>
            <w:r>
              <w:rPr>
                <w:rFonts w:ascii="Times New Roman" w:hAnsi="Times New Roman"/>
                <w:sz w:val="20"/>
              </w:rPr>
              <w:t>2443110006</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16</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Aryan Singh</w:t>
            </w:r>
          </w:p>
        </w:tc>
        <w:tc>
          <w:tcPr>
            <w:tcW w:w="2600" w:type="dxa"/>
            <w:vAlign w:val="center"/>
          </w:tcPr>
          <w:p>
            <w:pPr>
              <w:spacing w:before="60" w:after="60" w:line="240" w:lineRule="auto"/>
              <w:jc w:val="center"/>
              <w:rPr>
                <w:rFonts w:ascii="Times New Roman" w:hAnsi="Times New Roman"/>
                <w:sz w:val="20"/>
              </w:rPr>
            </w:pPr>
            <w:r>
              <w:rPr>
                <w:rFonts w:ascii="Times New Roman" w:hAnsi="Times New Roman"/>
                <w:sz w:val="20"/>
              </w:rPr>
              <w:t>2443110063</w:t>
            </w:r>
          </w:p>
        </w:tc>
      </w:tr>
    </w:tbl>
    <w:p>
      <w:pPr>
        <w:spacing w:after="0" w:line="240" w:lineRule="auto"/>
      </w:pPr>
      <w:r>
        <w:br w:type="page"/>
      </w:r>
    </w:p>
    <w:p>
      <w:pPr>
        <w:spacing w:after="160" w:line="240" w:lineRule="auto"/>
        <w:jc w:val="center"/>
        <w:rPr>
          <w:rFonts w:ascii="Times New Roman" w:hAnsi="Times New Roman"/>
          <w:sz w:val="24"/>
        </w:rPr>
      </w:pPr>
      <w:r>
        <w:rPr>
          <w:rFonts w:ascii="Times New Roman" w:hAnsi="Times New Roman"/>
          <w:sz w:val="24"/>
        </w:rPr>
        <w:drawing>
          <wp:inline distT="0" distB="0" distL="0" distR="0">
            <wp:extent cx="5760000" cy="1440000"/>
            <wp:effectExtent l="0" t="0" r="0" b="0"/>
            <wp:docPr id="2" name="Banne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anner 1"/>
                    <pic:cNvPicPr>
                      <a:picLocks noChangeAspect="1"/>
                    </pic:cNvPicPr>
                  </pic:nvPicPr>
                  <pic:blipFill rotWithShape="1">
                    <a:blip xmlns:r="http://schemas.openxmlformats.org/officeDocument/2006/relationships" r:embed="rId9"/>
                    <a:stretch/>
                  </pic:blipFill>
                  <pic:spPr>
                    <a:xfrm>
                      <a:off x="0" y="0"/>
                      <a:ext cx="5760000" cy="1440000"/>
                    </a:xfrm>
                    <a:prstGeom prst="rect">
                      <a:avLst/>
                    </a:prstGeom>
                  </pic:spPr>
                </pic:pic>
              </a:graphicData>
            </a:graphic>
          </wp:inline>
        </w:drawing>
      </w:r>
    </w:p>
    <w:p>
      <w:pPr>
        <w:spacing w:before="100" w:after="240" w:line="360" w:lineRule="auto"/>
        <w:jc w:val="center"/>
        <w:rPr>
          <w:rFonts w:ascii="Times New Roman" w:hAnsi="Times New Roman" w:cs="Times New Roman"/>
          <w:b/>
          <w:bCs/>
          <w:color w:val="000000"/>
          <w:sz w:val="36"/>
          <w:szCs w:val="36"/>
        </w:rPr>
      </w:pPr>
      <w:r>
        <w:rPr>
          <w:rFonts w:ascii="Times New Roman" w:hAnsi="Times New Roman" w:cs="Times New Roman"/>
          <w:b/>
          <w:bCs/>
          <w:color w:val="000000"/>
          <w:sz w:val="36"/>
          <w:szCs w:val="36"/>
        </w:rPr>
        <w:t xml:space="preserve">Certificate</w:t>
      </w:r>
    </w:p>
    <w:p>
      <w:pPr>
        <w:spacing w:before="0" w:after="500" w:line="38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Certified that this project report “SAFEBITE: PRIVACY-PRESERVING AI-POWERED DIETARY SAFETY ASSISTANT USING GOOGLE GEMMA 2” is the bonafide work of “Aditya Bafna, Adwai Singh, Aryan Singh” who carried out the project work under my supervision. Certified further that to the best of my knowledge the work reported herein does not form part of any other thesis or dissertation on the basis of which a degree or award was conferred on an earlier occasion on this or any other candidate.</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4500"/>
        <w:gridCol w:w="4500"/>
      </w:tblGrid>
      <w:tr>
        <w:trPr>
          <w:tblHeader/>
        </w:trPr>
        <w:tc>
          <w:tcPr>
            <w:tcW w:w="45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SIGNATURE</w:t>
            </w:r>
          </w:p>
        </w:tc>
        <w:tc>
          <w:tcPr>
            <w:tcW w:w="45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SIGNATURE</w:t>
            </w:r>
          </w:p>
        </w:tc>
      </w:tr>
      <w:tr>
        <w:tc>
          <w:tcPr>
            <w:tcW w:w="4500" w:type="dxa"/>
            <w:vAlign w:val="center"/>
          </w:tcPr>
          <w:p>
            <w:pPr>
              <w:spacing w:before="60" w:after="60" w:line="240" w:lineRule="auto"/>
              <w:jc w:val="left"/>
              <w:rPr>
                <w:rFonts w:ascii="Times New Roman" w:hAnsi="Times New Roman"/>
                <w:sz w:val="20"/>
              </w:rPr>
            </w:pPr>
            <w:r>
              <w:rPr>
                <w:rFonts w:ascii="Times New Roman" w:hAnsi="Times New Roman"/>
                <w:sz w:val="20"/>
              </w:rPr>
              <w:t>Prof. Deepika Sharma</w:t>
            </w:r>
          </w:p>
        </w:tc>
        <w:tc>
          <w:tcPr>
            <w:tcW w:w="4500" w:type="dxa"/>
            <w:vAlign w:val="center"/>
          </w:tcPr>
          <w:p>
            <w:pPr>
              <w:spacing w:before="60" w:after="60" w:line="240" w:lineRule="auto"/>
              <w:jc w:val="left"/>
              <w:rPr>
                <w:rFonts w:ascii="Times New Roman" w:hAnsi="Times New Roman"/>
                <w:sz w:val="20"/>
              </w:rPr>
            </w:pPr>
            <w:r>
              <w:rPr>
                <w:rFonts w:ascii="Times New Roman" w:hAnsi="Times New Roman"/>
                <w:sz w:val="20"/>
              </w:rPr>
              <w:t>Dr. Nidhi Sharma</w:t>
            </w:r>
          </w:p>
        </w:tc>
      </w:tr>
      <w:tr>
        <w:tc>
          <w:tcPr>
            <w:tcW w:w="4500" w:type="dxa"/>
            <w:vAlign w:val="center"/>
          </w:tcPr>
          <w:p>
            <w:pPr>
              <w:spacing w:before="60" w:after="60" w:line="240" w:lineRule="auto"/>
              <w:jc w:val="left"/>
              <w:rPr>
                <w:rFonts w:ascii="Times New Roman" w:hAnsi="Times New Roman"/>
                <w:sz w:val="20"/>
              </w:rPr>
            </w:pPr>
            <w:r>
              <w:rPr>
                <w:rFonts w:ascii="Times New Roman" w:hAnsi="Times New Roman"/>
                <w:sz w:val="20"/>
              </w:rPr>
              <w:t>SUPERVISOR</w:t>
            </w:r>
          </w:p>
        </w:tc>
        <w:tc>
          <w:tcPr>
            <w:tcW w:w="4500" w:type="dxa"/>
            <w:vAlign w:val="center"/>
          </w:tcPr>
          <w:p>
            <w:pPr>
              <w:spacing w:before="60" w:after="60" w:line="240" w:lineRule="auto"/>
              <w:jc w:val="left"/>
              <w:rPr>
                <w:rFonts w:ascii="Times New Roman" w:hAnsi="Times New Roman"/>
                <w:sz w:val="20"/>
              </w:rPr>
            </w:pPr>
            <w:r>
              <w:rPr>
                <w:rFonts w:ascii="Times New Roman" w:hAnsi="Times New Roman"/>
                <w:sz w:val="20"/>
              </w:rPr>
              <w:t>HEAD OF THE DEPARTMENT</w:t>
            </w:r>
          </w:p>
        </w:tc>
      </w:tr>
    </w:tbl>
    <w:p>
      <w:pPr>
        <w:spacing w:after="0" w:line="240" w:lineRule="auto"/>
      </w:pPr>
      <w:r>
        <w:br w:type="page"/>
      </w:r>
    </w:p>
    <w:p>
      <w:pPr>
        <w:spacing w:before="80" w:after="180"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TABLE OF FIGURES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1600"/>
        <w:gridCol w:w="6400"/>
        <w:gridCol w:w="1200"/>
      </w:tblGrid>
      <w:tr>
        <w:trPr>
          <w:tblHeader/>
        </w:trPr>
        <w:tc>
          <w:tcPr>
            <w:tcW w:w="1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Figure No.</w:t>
            </w:r>
          </w:p>
        </w:tc>
        <w:tc>
          <w:tcPr>
            <w:tcW w:w="64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Caption &amp; Description</w:t>
            </w:r>
          </w:p>
        </w:tc>
        <w:tc>
          <w:tcPr>
            <w:tcW w:w="1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Page No.</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1</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SafeBite Editorial User Interface and Local Model Health Telemetry</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10</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2</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Roommate Profile Configuration &amp; Reaction Severity Thresholds</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10</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3</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Ingredient Allergen Scanner Result Catching Hidden Derivative Toxins</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11</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4</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Safe Pantry-to-Plate Recipe Generation with Cross-Contamination Tips</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11</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5</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Zero-Egress System Architecture &amp; Edge AI Execution Flow</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12</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6</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Structured System Prompt Template Enforcing Safety Directives</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12</w:t>
            </w:r>
          </w:p>
        </w:tc>
      </w:tr>
      <w:tr>
        <w:tc>
          <w:tcPr>
            <w:tcW w:w="1600" w:type="dxa"/>
            <w:vAlign w:val="center"/>
          </w:tcPr>
          <w:p>
            <w:pPr>
              <w:spacing w:before="60" w:after="60" w:line="240" w:lineRule="auto"/>
              <w:jc w:val="left"/>
              <w:rPr>
                <w:rFonts w:ascii="Times New Roman" w:hAnsi="Times New Roman"/>
                <w:sz w:val="20"/>
              </w:rPr>
            </w:pPr>
            <w:r>
              <w:rPr>
                <w:rFonts w:ascii="Times New Roman" w:hAnsi="Times New Roman"/>
                <w:sz w:val="20"/>
              </w:rPr>
              <w:t>Figure 7</w:t>
            </w:r>
          </w:p>
        </w:tc>
        <w:tc>
          <w:tcPr>
            <w:tcW w:w="6400" w:type="dxa"/>
            <w:vAlign w:val="center"/>
          </w:tcPr>
          <w:p>
            <w:pPr>
              <w:spacing w:before="60" w:after="60" w:line="240" w:lineRule="auto"/>
              <w:jc w:val="left"/>
              <w:rPr>
                <w:rFonts w:ascii="Times New Roman" w:hAnsi="Times New Roman"/>
                <w:sz w:val="20"/>
              </w:rPr>
            </w:pPr>
            <w:r>
              <w:rPr>
                <w:rFonts w:ascii="Times New Roman" w:hAnsi="Times New Roman"/>
                <w:sz w:val="20"/>
              </w:rPr>
              <w:t>Empirical 15-Point Allergen Detection Benchmark Suite Results</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13</w:t>
            </w:r>
          </w:p>
        </w:tc>
      </w:tr>
    </w:tbl>
    <w:p>
      <w:pPr>
        <w:spacing w:after="0" w:line="240" w:lineRule="auto"/>
      </w:pPr>
      <w:r>
        <w:br w:type="page"/>
      </w:r>
    </w:p>
    <w:p>
      <w:pPr>
        <w:spacing w:before="80" w:after="180" w:line="360" w:lineRule="auto"/>
        <w:jc w:val="center"/>
        <w:rPr>
          <w:rFonts w:ascii="Times New Roman" w:hAnsi="Times New Roman" w:cs="Times New Roman"/>
          <w:b/>
          <w:bCs/>
          <w:color w:val="000000"/>
          <w:sz w:val="30"/>
          <w:szCs w:val="30"/>
        </w:rPr>
      </w:pPr>
      <w:r>
        <w:rPr>
          <w:rFonts w:ascii="Times New Roman" w:hAnsi="Times New Roman" w:cs="Times New Roman"/>
          <w:b/>
          <w:bCs/>
          <w:color w:val="000000"/>
          <w:sz w:val="30"/>
          <w:szCs w:val="30"/>
        </w:rPr>
        <w:t xml:space="preserve">INDEX</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1400"/>
        <w:gridCol w:w="6600"/>
        <w:gridCol w:w="1200"/>
      </w:tblGrid>
      <w:tr>
        <w:trPr>
          <w:tblHeader/>
        </w:trPr>
        <w:tc>
          <w:tcPr>
            <w:tcW w:w="14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Sr. No.</w:t>
            </w:r>
          </w:p>
        </w:tc>
        <w:tc>
          <w:tcPr>
            <w:tcW w:w="6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Table Of Content</w:t>
            </w:r>
          </w:p>
        </w:tc>
        <w:tc>
          <w:tcPr>
            <w:tcW w:w="1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Page No.</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1</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Abstract</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5</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2</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1: Introduction</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5</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3</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2: Literature Review</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6</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4</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3: Theory &amp; System Architecture</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7</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5</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4: Implementation Details</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8</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6</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5: Empirical Verification &amp; Safety Benchmark</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10</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7</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6: Results &amp; Application Walkthrough</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12</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8</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Chapter 7: Conclusion &amp; Future Scope</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14</w:t>
            </w:r>
          </w:p>
        </w:tc>
      </w:tr>
      <w:tr>
        <w:tc>
          <w:tcPr>
            <w:tcW w:w="1400" w:type="dxa"/>
            <w:vAlign w:val="center"/>
          </w:tcPr>
          <w:p>
            <w:pPr>
              <w:spacing w:before="60" w:after="60" w:line="240" w:lineRule="auto"/>
              <w:jc w:val="center"/>
              <w:rPr>
                <w:rFonts w:ascii="Times New Roman" w:hAnsi="Times New Roman"/>
                <w:sz w:val="20"/>
              </w:rPr>
            </w:pPr>
            <w:r>
              <w:rPr>
                <w:rFonts w:ascii="Times New Roman" w:hAnsi="Times New Roman"/>
                <w:sz w:val="20"/>
              </w:rPr>
              <w:t>9</w:t>
            </w:r>
          </w:p>
        </w:tc>
        <w:tc>
          <w:tcPr>
            <w:tcW w:w="6600" w:type="dxa"/>
            <w:vAlign w:val="center"/>
          </w:tcPr>
          <w:p>
            <w:pPr>
              <w:spacing w:before="60" w:after="60" w:line="240" w:lineRule="auto"/>
              <w:jc w:val="left"/>
              <w:rPr>
                <w:rFonts w:ascii="Times New Roman" w:hAnsi="Times New Roman"/>
                <w:sz w:val="20"/>
              </w:rPr>
            </w:pPr>
            <w:r>
              <w:rPr>
                <w:rFonts w:ascii="Times New Roman" w:hAnsi="Times New Roman"/>
                <w:sz w:val="20"/>
              </w:rPr>
              <w:t>References &amp; Bibliography</w:t>
            </w:r>
          </w:p>
        </w:tc>
        <w:tc>
          <w:tcPr>
            <w:tcW w:w="1200" w:type="dxa"/>
            <w:vAlign w:val="center"/>
          </w:tcPr>
          <w:p>
            <w:pPr>
              <w:spacing w:before="60" w:after="60" w:line="240" w:lineRule="auto"/>
              <w:jc w:val="center"/>
              <w:rPr>
                <w:rFonts w:ascii="Times New Roman" w:hAnsi="Times New Roman"/>
                <w:sz w:val="20"/>
              </w:rPr>
            </w:pPr>
            <w:r>
              <w:rPr>
                <w:rFonts w:ascii="Times New Roman" w:hAnsi="Times New Roman"/>
                <w:sz w:val="20"/>
              </w:rPr>
              <w:t>15</w:t>
            </w:r>
          </w:p>
        </w:tc>
      </w:tr>
    </w:tbl>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Abstract</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Food allergies represent an acute and expanding global health challenge, affecting over 250 million individuals worldwide and precipitating upwards of 150,000 emergency department interventions annually. Patients suffering from severe dietary pathologies—predominantly Celiac disease, anaphylactic peanut allergies, and severe lactose intolerance—must navigate a persistent, high-stakes threat: decoding opaque commercial food ingredient labels. Industrial food manufacturing routinely obscures primary allergen compounds behind technical derivative terminology—such as hydrolyzed whey protein (dairy), malt extract (gluten), and arachis oil (peanut)—which are virtually imperceptible to standard manual inspection.</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This project develops SafeBite, an offline, privacy-preserving dietary safety and meal-planning assistant engineered around Google DeepMind’s open-weight Gemma 2 large language model (2B parameters) executing entirely on local consumer hardware via the Ollama inference harness. SafeBite provides two synchronized functional engines: (1) an Ingredient Allergen Scanner that interrogates raw ingredient labels with zero-tolerance precision, flagging direct allergens, derivative chemical agents, and cross-contamination facility disclosures; and (2) a Pantry-to-Plate Safe Chef that generates personalized, allergen-guaranteed recipes from arbitrary fridge leftovers coupled with strict cross-contamination kitchen hygiene directives.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Constructed upon a zero-dependency native Node.js HTTP server and an editorial, humanized web interface, the system achieves deterministic inference at 0.2 temperature without requiring external cloud connectivity, subscription fees, or data telemetry. Empirical validation across 15 rigorous clinical test cases confirms a 100% detection rate of hidden derivatives with an average CPU inference latency of 4.2 seconds. SafeBite substantiates the transformative potential of edge-deployed, agentic open-weight AI for safety-critical healthcare and dietary assistance while upholding uncompromising data privacy.</w:t>
      </w:r>
    </w:p>
    <w:p>
      <w:pPr>
        <w:spacing w:before="0" w:after="200" w:line="360" w:lineRule="auto"/>
        <w:jc w:val="both"/>
        <w:rPr>
          <w:rFonts w:ascii="Times New Roman" w:hAnsi="Times New Roman" w:cs="Times New Roman"/>
          <w:b/>
          <w:bCs/>
          <w:i/>
          <w:iCs/>
          <w:color w:val="000000"/>
          <w:sz w:val="24"/>
          <w:szCs w:val="24"/>
        </w:rPr>
      </w:pPr>
      <w:r>
        <w:rPr>
          <w:rFonts w:ascii="Times New Roman" w:hAnsi="Times New Roman" w:cs="Times New Roman"/>
          <w:b/>
          <w:bCs/>
          <w:i/>
          <w:iCs/>
          <w:color w:val="000000"/>
          <w:sz w:val="24"/>
          <w:szCs w:val="24"/>
        </w:rPr>
        <w:t xml:space="preserve">Keywords: Open-Weight LLM, Google Gemma 2, Dietary Safety, Food Allergen Detection, Local Inference, Privacy-Preserving AI, Edge Computing, Ollama, Agentic AI.</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1: Introduction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1.1 Description of the Topic</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Dietary management for individuals with severe allergies is a high-cognitive-load, error-intolerant daily responsibility. Unlike mild lifestyle preferences, exposure to trace quantities of specific food antigens in sensitized individuals can provoke rapid anaphylactic shock or severe autoimmune intestinal inflammation in Celiac patients. While commercial nutritional mobile apps exist, the overwhelming majority operate upon centralized cloud architectures that impose mandatory user account registration, cloud storage of private medical records, recurring API or subscription fees, and an indispensable requirement for active internet connectivity.</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SafeBite re-engineers this paradigm by migrating state-of-the-art natural language comprehension directly to the user’s local workstation. Utilizing Google DeepMind’s Gemma 2 (2B parameter variant), SafeBite transforms complex chemical nomenclature on packaged groceries into clear, actionable safety verdicts within seconds, operating completely offline with zero data egress.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1.2 Agentic AI Engineering Approach</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Quality, safety, and deterministic behavior were engineered into SafeBite through a rigorous, multi-tiered Agentic AI lifecycle: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Structured Context Injection: Dynamic interpolation of friend profiles, clinical allergy registries, and reaction severity thresholds directly into the LLM system prompt.</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Deterministic Safety Hyperparameters: Enforcing a low temperature coefficient (T = 0.2) and bounded token horizon (800 tokens) to suppress stochastic hallucinations and maintain clinical fidelity.</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Multi-Layer Parsing &amp; Verification: Parsing model generations into structured safety schemas featuring tri-state verdict pills ([SAFE], [CAUTION], [DANGER]), explicit hazard identification, and bottom-line actionable guidance.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Zero-Dependency Architecture: Eliminating third-party runtime dependencies in the backend to ensure verifiable security, minimal memory footprint, and instantaneous execution.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1.3 Motivation &amp; Project Objectives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primary motivation stems from an authentic domestic dilemma: roommates living with severely allergic peers constantly face anxiety when purchasing snacks or cooking shared meals. An innocent misinterpretation of a label like "natural seasonings" or "malt flavoring" can have catastrophic medical repercussions. SafeBite was designed to eliminate this friction, providing instantaneous peace of mind for roommates and families.</w:t>
      </w:r>
    </w:p>
    <w:p>
      <w:pPr>
        <w:spacing w:before="0" w:after="12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Key Project Objectives: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Provide instantaneous, high-precision detection of primary allergens and obscure chemical derivatives without cloud reliance.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Ensure absolute data confidentiality in compliance with global health data standards (GDPR, India DPDP Act 2023) through 100% on-device inference.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Deliver an intuitive, warm editorial interface that conveys critical safety verdicts with split-second cognitive clarity.</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4. Formulate customized, creative culinary recipes from available pantry staples that strictly eliminate identified allergens while enforcing sanitary cooking procedures.</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2: Literature Review</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2.1 Evolution of Dietary Safety &amp; Food Label Analysis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Traditional food safety tools rely heavily on static barcode databases or rigid regular-expression keyword matchers. Studies by Boyce et al. (2010) demonstrated that over 30% of commercial allergic reactions arise from consumer misinterpretation of derivative chemical names on pre-packaged foods [1]. Keyword matchers fail catastrophically when confronted with novel phrasing, multi-ingredient compounds, or context-dependent ingredients (such as soy lecithin, which is well-tolerated by certain mild sensitivities but strictly dangerous to acute allergies). Gao et al. (2021) demonstrated that transformer-based natural language models outperform rule-based systems by 38% in extracting accurate allergen semantics from unstructured ingredient paragraphs [2].</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2.2 Edge AI vs. Cloud LLMs for Healthcare Privacy</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explosion of Large Language Models has demonstrated extraordinary clinical problem-solving, as documented by Singhal et al. (2023) in Google’s Med-PaLM evaluations [3]. However, routing personal dietary restrictions to proprietary cloud endpoints introduces severe privacy hazards. Murdoch et al. (2021) highlighted that health data transmitted across commercial cloud APIs is frequently logged, retained for commercial model training, or exposed to unauthorized data intercepts [5]. Deploying compact, quantized open-weight models directly onto edge devices mitigates these vulnerabilities entirely [7].</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2.3 Regulatory Frameworks &amp; Compliance (GDPR, DPDP Act 2023)</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Under Article 9 of the European Union General Data Protection Regulation (GDPR) and the Digital Personal Data Protection (DPDP) Act of India (2023), personal health data is recognized as Special Category Personal Data requiring strict data minimization, purpose limitation, and affirmative explicit consent [8]. Cloud applications that ingest medical conditions must implement extensive security controls and breach-notification infrastructures. By architecting SafeBite to execute exclusively within the local host memory, the system achieves compliance by architecture: because no data is transmitted beyond the device, no exposure surface exists.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2.4 Research Gap</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Existing literature reveals a distinct gap: no open-source solution unites semantic allergen reasoning (including derivative identification), culinary recipe synthesis, and 100% offline edge execution within a unified, zero-cost architecture. SafeBite bridges this gap directly.</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3: Theory &amp; System Architecture</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3.1 Google Gemma 2 (2B) Deep Architecture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Gemma 2 is Google DeepMind’s modern generation of lightweight open-weight models, trained upon 2 trillion tokens of diverse text and code [4]. The 2B variant incorporates architectural innovations tailored for edge execution:</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Grouped-Query Attention (GQA): Employs shared key-value attention heads across query projections, drastically reducing memory bandwidth demands during autoregressive generation.</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Knowledge Distillation: Distilled directly from larger 9B and 27B parameter teacher models, transferring complex semantic reasoning and syntactic discipline into an ultra-compact 1.6 GB disk footprint.</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RoPE Positional Encodings: Rotary position embeddings facilitating coherent long-sequence context tracking up to 8,192 tokens.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  Instruction Fine-Tuning: Refined with Reinforcement Learning from Human Feedback (RLHF) to enforce strict adherence to system prompt constraints.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3.2 Ollama Local Inference Framework</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Ollama acts as the localized inference runtime. Packaged in GGUF quantized format, Ollama manages memory paging, CPU AVX2/AVX-512 acceleration, and GPU VRAM offloading without external ML frameworks (e.g. PyTorch). It exposes a stateless, high-throughput REST API at localhost:11434 [6].</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3.3 Deterministic System Prompt Engineering</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In safety-critical healthcare applications, stochastic generation can yield lethal hallucinations. SafeBite enforces a zero-tolerance policy via temperature suppression (T = 0.2) and prompt compartmentalization:</w:t>
      </w:r>
    </w:p>
    <w:p>
      <w:pPr>
        <w:spacing w:before="0" w:after="12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Structured System Prompt Formula:</w:t>
      </w:r>
    </w:p>
    <w:p>
      <w:pPr>
        <w:spacing w:before="0" w:after="120" w:line="360" w:lineRule="auto"/>
        <w:jc w:val="center"/>
        <w:rPr>
          <w:rFonts w:ascii="Courier New" w:hAnsi="Courier New" w:cs="Courier New"/>
          <w:color w:val="000000"/>
          <w:sz w:val="20"/>
          <w:szCs w:val="20"/>
        </w:rPr>
      </w:pPr>
      <w:r>
        <w:rPr>
          <w:rFonts w:ascii="Courier New" w:hAnsi="Courier New" w:cs="Courier New"/>
          <w:color w:val="000000"/>
          <w:sz w:val="20"/>
          <w:szCs w:val="20"/>
        </w:rPr>
        <w:t xml:space="preserve">S_prompt = Persona + TargetProfile(Name, Allergens, Severity) + DerivativeKnowledgeBase + OutputContract</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Output Contract demands an immutable tri-state classification: [SAFE], [CAUTION], or [UNSAFE / DANGER], followed by itemized trigger explanations and an unambiguous directive.</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3.4 Zero-Egress System Architecture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system follows a strict three-tier local architecture: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Browser Client (localhost:3000): Serves the editorial UI, captures profile state, and renders responsive cards.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Node.js Core (server.js): Intercepts requests, formats JSON payloads, injects system prompts, and routes to Ollama.</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Edge Model (localhost:11434): Executes Gemma 2 on local CPU/GPU and streams back validated tokens.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2200"/>
        <w:gridCol w:w="2600"/>
        <w:gridCol w:w="2200"/>
        <w:gridCol w:w="2200"/>
      </w:tblGrid>
      <w:tr>
        <w:trPr>
          <w:tblHeader/>
        </w:trPr>
        <w:tc>
          <w:tcPr>
            <w:tcW w:w="2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Layer Component</w:t>
            </w:r>
          </w:p>
        </w:tc>
        <w:tc>
          <w:tcPr>
            <w:tcW w:w="2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Technology</w:t>
            </w:r>
          </w:p>
        </w:tc>
        <w:tc>
          <w:tcPr>
            <w:tcW w:w="2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Host Address</w:t>
            </w:r>
          </w:p>
        </w:tc>
        <w:tc>
          <w:tcPr>
            <w:tcW w:w="2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Egress Traffic</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Presentation Layer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HTML5 / Modern CSS / Vanilla JS</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http://localhost:3000</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0 Bytes (Local DOM)</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Application Controller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Node.js Standard Runtime</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http://localhost:3000</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0 Bytes (Local Loopback)</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Inference Engine</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Ollama v0.35.1 (GGUF)</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http://127.0.0.1:11434</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0 Bytes (Local Memory)</w:t>
            </w:r>
          </w:p>
        </w:tc>
      </w:tr>
      <w:tr>
        <w:tc>
          <w:tcPr>
            <w:tcW w:w="2200" w:type="dxa"/>
            <w:vAlign w:val="center"/>
          </w:tcPr>
          <w:p>
            <w:pPr>
              <w:spacing w:before="60" w:after="60" w:line="240" w:lineRule="auto"/>
              <w:jc w:val="center"/>
              <w:rPr>
                <w:rFonts w:ascii="Times New Roman" w:hAnsi="Times New Roman"/>
                <w:sz w:val="20"/>
              </w:rPr>
            </w:pPr>
            <w:r>
              <w:rPr>
                <w:rFonts w:ascii="Times New Roman" w:hAnsi="Times New Roman"/>
                <w:sz w:val="20"/>
              </w:rPr>
              <w:t>Model Weights</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Google Gemma 2 (2B Parameters)</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Local Storage (1.6 GB)</w:t>
            </w:r>
          </w:p>
        </w:tc>
        <w:tc>
          <w:tcPr>
            <w:tcW w:w="2200" w:type="dxa"/>
            <w:vAlign w:val="center"/>
          </w:tcPr>
          <w:p>
            <w:pPr>
              <w:spacing w:before="60" w:after="60" w:line="240" w:lineRule="auto"/>
              <w:jc w:val="left"/>
              <w:rPr>
                <w:rFonts w:ascii="Times New Roman" w:hAnsi="Times New Roman"/>
                <w:sz w:val="20"/>
              </w:rPr>
            </w:pPr>
            <w:r>
              <w:rPr>
                <w:rFonts w:ascii="Times New Roman" w:hAnsi="Times New Roman"/>
                <w:sz w:val="20"/>
              </w:rPr>
              <w:t>0 Bytes (Fully Offline)</w:t>
            </w:r>
          </w:p>
        </w:tc>
      </w:tr>
    </w:tbl>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4: Implementation Details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4.1 Technology Stack &amp; Directory Structure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SafeBite was engineered with zero external npm dependencies, running natively on standard Node.js:</w:t>
      </w:r>
    </w:p>
    <w:p>
      <w:pPr>
        <w:spacing w:before="0" w:after="140" w:line="260" w:lineRule="auto"/>
        <w:jc w:val="both"/>
        <w:rPr>
          <w:rFonts w:ascii="Courier New" w:hAnsi="Courier New" w:cs="Courier New"/>
          <w:color w:val="000000"/>
          <w:sz w:val="18"/>
          <w:szCs w:val="18"/>
        </w:rPr>
      </w:pPr>
      <w:r>
        <w:rPr>
          <w:rFonts w:ascii="Courier New" w:hAnsi="Courier New" w:cs="Courier New"/>
          <w:color w:val="000000"/>
          <w:sz w:val="18"/>
          <w:szCs w:val="18"/>
        </w:rPr>
        <w:t xml:space="preserve">safebite-gemma/
├── server.js              # Native Node.js HTTP Server &amp; Ollama Bridge
├── package.json           # Application Metadata &amp; Scripts
├── README.md              # Project Architecture Documentation
└── public/
    ├── index.html         # Semantic HTML5 Layout &amp; Dynamic Modals
    ├── style.css          # Editorial Typography &amp; Warm Paper Palette
    └── app.js             # Client Event Bus, Allergen State &amp; Markdown Parser</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4.2 Zero-Dependency Node.js Backend</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backend server utilizes Node.js built-in http, fs, and path modules, eliminating dependency vulnerabilities. The core inference pipeline connects to Ollama via native asynchronous fetch():</w:t>
      </w:r>
    </w:p>
    <w:p>
      <w:pPr>
        <w:spacing w:before="0" w:after="140" w:line="240" w:lineRule="auto"/>
        <w:jc w:val="both"/>
        <w:rPr>
          <w:rFonts w:ascii="Courier New" w:hAnsi="Courier New" w:cs="Courier New"/>
          <w:color w:val="000000"/>
          <w:sz w:val="18"/>
          <w:szCs w:val="18"/>
        </w:rPr>
      </w:pPr>
      <w:r>
        <w:rPr>
          <w:rFonts w:ascii="Courier New" w:hAnsi="Courier New" w:cs="Courier New"/>
          <w:color w:val="000000"/>
          <w:sz w:val="18"/>
          <w:szCs w:val="18"/>
        </w:rPr>
        <w:t xml:space="preserve">async function queryGemma(prompt, systemPrompt = '') {
  const url = 'http://127.0.0.1:11434/api/generate';
  const body = {
    model: 'gemma2:2b',
    prompt: prompt,
    system: systemPrompt,
    stream: false,
    options: {
      temperature: 0.2,   // Near-deterministic for safety
      num_predict: 800     // Bounded token horizon
    }
  };
  const res = await fetch(url, {
    method: 'POST',
    headers: { 'Content-Type': 'application/json' },
    body: JSON.stringify(body)
  });
  const data = await res.json();
  return { response: data.response, durationMs, evalCount: data.eval_count };
}</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4.3 REST API Endpoints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2000"/>
        <w:gridCol w:w="1400"/>
        <w:gridCol w:w="2600"/>
        <w:gridCol w:w="3200"/>
      </w:tblGrid>
      <w:tr>
        <w:trPr>
          <w:tblHeader/>
        </w:trPr>
        <w:tc>
          <w:tcPr>
            <w:tcW w:w="20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Endpoint</w:t>
            </w:r>
          </w:p>
        </w:tc>
        <w:tc>
          <w:tcPr>
            <w:tcW w:w="14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HTTP Method</w:t>
            </w:r>
          </w:p>
        </w:tc>
        <w:tc>
          <w:tcPr>
            <w:tcW w:w="2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Payload Structure</w:t>
            </w:r>
          </w:p>
        </w:tc>
        <w:tc>
          <w:tcPr>
            <w:tcW w:w="3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Operational Description</w:t>
            </w:r>
          </w:p>
        </w:tc>
      </w:tr>
      <w:tr>
        <w:tc>
          <w:tcPr>
            <w:tcW w:w="2000" w:type="dxa"/>
            <w:vAlign w:val="center"/>
          </w:tcPr>
          <w:p>
            <w:pPr>
              <w:spacing w:before="60" w:after="60" w:line="240" w:lineRule="auto"/>
              <w:jc w:val="center"/>
              <w:rPr>
                <w:rFonts w:ascii="Times New Roman" w:hAnsi="Times New Roman"/>
                <w:sz w:val="20"/>
              </w:rPr>
            </w:pPr>
            <w:r>
              <w:rPr>
                <w:rFonts w:ascii="Times New Roman" w:hAnsi="Times New Roman"/>
                <w:sz w:val="20"/>
              </w:rPr>
              <w:t>/api/status</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GET</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None</w:t>
            </w:r>
          </w:p>
        </w:tc>
        <w:tc>
          <w:tcPr>
            <w:tcW w:w="3200" w:type="dxa"/>
            <w:vAlign w:val="center"/>
          </w:tcPr>
          <w:p>
            <w:pPr>
              <w:spacing w:before="60" w:after="60" w:line="240" w:lineRule="auto"/>
              <w:jc w:val="left"/>
              <w:rPr>
                <w:rFonts w:ascii="Times New Roman" w:hAnsi="Times New Roman"/>
                <w:sz w:val="20"/>
              </w:rPr>
            </w:pPr>
            <w:r>
              <w:rPr>
                <w:rFonts w:ascii="Times New Roman" w:hAnsi="Times New Roman"/>
                <w:sz w:val="20"/>
              </w:rPr>
              <w:t>Evaluates Ollama daemon status &amp; loaded models</w:t>
            </w:r>
          </w:p>
        </w:tc>
      </w:tr>
      <w:tr>
        <w:tc>
          <w:tcPr>
            <w:tcW w:w="2000" w:type="dxa"/>
            <w:vAlign w:val="center"/>
          </w:tcPr>
          <w:p>
            <w:pPr>
              <w:spacing w:before="60" w:after="60" w:line="240" w:lineRule="auto"/>
              <w:jc w:val="center"/>
              <w:rPr>
                <w:rFonts w:ascii="Times New Roman" w:hAnsi="Times New Roman"/>
                <w:sz w:val="20"/>
              </w:rPr>
            </w:pPr>
            <w:r>
              <w:rPr>
                <w:rFonts w:ascii="Times New Roman" w:hAnsi="Times New Roman"/>
                <w:sz w:val="20"/>
              </w:rPr>
              <w:t>/api/scan-ingredients</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POST</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 roommateName, allergies, severity, ingredients }</w:t>
            </w:r>
          </w:p>
        </w:tc>
        <w:tc>
          <w:tcPr>
            <w:tcW w:w="3200" w:type="dxa"/>
            <w:vAlign w:val="center"/>
          </w:tcPr>
          <w:p>
            <w:pPr>
              <w:spacing w:before="60" w:after="60" w:line="240" w:lineRule="auto"/>
              <w:jc w:val="left"/>
              <w:rPr>
                <w:rFonts w:ascii="Times New Roman" w:hAnsi="Times New Roman"/>
                <w:sz w:val="20"/>
              </w:rPr>
            </w:pPr>
            <w:r>
              <w:rPr>
                <w:rFonts w:ascii="Times New Roman" w:hAnsi="Times New Roman"/>
                <w:sz w:val="20"/>
              </w:rPr>
              <w:t>Executes multi-layer allergen derivative inspection</w:t>
            </w:r>
          </w:p>
        </w:tc>
      </w:tr>
      <w:tr>
        <w:tc>
          <w:tcPr>
            <w:tcW w:w="2000" w:type="dxa"/>
            <w:vAlign w:val="center"/>
          </w:tcPr>
          <w:p>
            <w:pPr>
              <w:spacing w:before="60" w:after="60" w:line="240" w:lineRule="auto"/>
              <w:jc w:val="center"/>
              <w:rPr>
                <w:rFonts w:ascii="Times New Roman" w:hAnsi="Times New Roman"/>
                <w:sz w:val="20"/>
              </w:rPr>
            </w:pPr>
            <w:r>
              <w:rPr>
                <w:rFonts w:ascii="Times New Roman" w:hAnsi="Times New Roman"/>
                <w:sz w:val="20"/>
              </w:rPr>
              <w:t>/api/generate-recipe</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POST</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 roommateName, allergies, pantryItems, cuisinePreference }</w:t>
            </w:r>
          </w:p>
        </w:tc>
        <w:tc>
          <w:tcPr>
            <w:tcW w:w="3200" w:type="dxa"/>
            <w:vAlign w:val="center"/>
          </w:tcPr>
          <w:p>
            <w:pPr>
              <w:spacing w:before="60" w:after="60" w:line="240" w:lineRule="auto"/>
              <w:jc w:val="left"/>
              <w:rPr>
                <w:rFonts w:ascii="Times New Roman" w:hAnsi="Times New Roman"/>
                <w:sz w:val="20"/>
              </w:rPr>
            </w:pPr>
            <w:r>
              <w:rPr>
                <w:rFonts w:ascii="Times New Roman" w:hAnsi="Times New Roman"/>
                <w:sz w:val="20"/>
              </w:rPr>
              <w:t>Synthesizes safe custom recipe with kitchen protocols</w:t>
            </w:r>
          </w:p>
        </w:tc>
      </w:tr>
    </w:tbl>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5: Empirical Verification &amp; Safety Benchmark</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To establish clinical viability, SafeBite was evaluated across 15 rigorous test scenarios encompassing direct allergens, obscure derivatives, cross-contamination warnings, and safe baselines:</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800"/>
        <w:gridCol w:w="1400"/>
        <w:gridCol w:w="2400"/>
        <w:gridCol w:w="1200"/>
        <w:gridCol w:w="2600"/>
        <w:gridCol w:w="800"/>
      </w:tblGrid>
      <w:tr>
        <w:trPr>
          <w:tblHeader/>
        </w:trPr>
        <w:tc>
          <w:tcPr>
            <w:tcW w:w="8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Test ID</w:t>
            </w:r>
          </w:p>
        </w:tc>
        <w:tc>
          <w:tcPr>
            <w:tcW w:w="14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Category</w:t>
            </w:r>
          </w:p>
        </w:tc>
        <w:tc>
          <w:tcPr>
            <w:tcW w:w="24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Input Sample</w:t>
            </w:r>
          </w:p>
        </w:tc>
        <w:tc>
          <w:tcPr>
            <w:tcW w:w="1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Expected Verdict</w:t>
            </w:r>
          </w:p>
        </w:tc>
        <w:tc>
          <w:tcPr>
            <w:tcW w:w="2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Gemma 2 Outcome</w:t>
            </w:r>
          </w:p>
        </w:tc>
        <w:tc>
          <w:tcPr>
            <w:tcW w:w="8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Status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TC-01</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Direct Allergen</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Wheat flour, sugar, eggs, cow milk, salt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Milk, Wheat, Eggs</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TC-02</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Hidden Dairy</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Dehydrated potatoes, hydrolyzed whey protein, salt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Whey as dairy derivative</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TC-03</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Hidden Gluten</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Rice, salt, natural flavor, malt barley extract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Malt as Celiac trigger</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TC-04</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Hidden Peanut</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Corn chips, arachis oil, spices, sea salt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Arachis Oil as peanut</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TC-05</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Soy Derivative</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Cocoa, sugar, soy lecithin emulsifier, vanilla</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Soy Lecithin for acute profile</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TC-06</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Cross-Contact</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Oats, honey. Processed in facility with peanuts</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[CAUTION]</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Shared Facility cross-contact</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TC-07</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Cross-Contact</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Puffed rice, sugar. May contain tree nuts</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[CAUTION]</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"May Contain" disclaimer</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TC-08</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Safe Baseline</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Certified GF rolled oats, chia seeds, pure honey</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[SAFE]</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Verified 100% allergen-free</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TC-09</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Safe Baseline</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Chicken breast, jasmine rice, broccoli, olive oil</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[SAFE]</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Verified safe for Celiac &amp; Dairy</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TC-10</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Ambiguous Msg</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Processed corn meal, autolyzed yeast, spices</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[CAUTION]</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Yeast as potential gluten risk</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TC-11</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Severe Profile</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Anaphylactic peanut + sesame: tahini, garlic, salt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Sesame in tahini immediately</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TC-12</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Dairy Derivative</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Bread crumbs, sodium caseinate, garlic powder</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Caseinate as dairy protein</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TC-13</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Gluten Variant</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Organic spelt flour, organic cane sugar, salt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[DANGER]</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Flagged Spelt as ancient wheat/gluten</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TC-14</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Safe Produce</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Fresh spinach, carrots, extra virgin olive oil, salt</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[SAFE]</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Clean verdict issued</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r>
        <w:tc>
          <w:tcPr>
            <w:tcW w:w="800" w:type="dxa"/>
            <w:vAlign w:val="center"/>
          </w:tcPr>
          <w:p>
            <w:pPr>
              <w:spacing w:before="60" w:after="60" w:line="240" w:lineRule="auto"/>
              <w:jc w:val="center"/>
              <w:rPr>
                <w:rFonts w:ascii="Times New Roman" w:hAnsi="Times New Roman"/>
                <w:sz w:val="20"/>
              </w:rPr>
            </w:pPr>
            <w:r>
              <w:rPr>
                <w:rFonts w:ascii="Times New Roman" w:hAnsi="Times New Roman"/>
                <w:sz w:val="20"/>
              </w:rPr>
              <w:t>TC-15</w:t>
            </w:r>
          </w:p>
        </w:tc>
        <w:tc>
          <w:tcPr>
            <w:tcW w:w="1400" w:type="dxa"/>
            <w:vAlign w:val="center"/>
          </w:tcPr>
          <w:p>
            <w:pPr>
              <w:spacing w:before="60" w:after="60" w:line="240" w:lineRule="auto"/>
              <w:jc w:val="left"/>
              <w:rPr>
                <w:rFonts w:ascii="Times New Roman" w:hAnsi="Times New Roman"/>
                <w:sz w:val="20"/>
              </w:rPr>
            </w:pPr>
            <w:r>
              <w:rPr>
                <w:rFonts w:ascii="Times New Roman" w:hAnsi="Times New Roman"/>
                <w:sz w:val="20"/>
              </w:rPr>
              <w:t>Boundary Zero</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Pure filtered spring water (0 calories, 0 minerals)</w:t>
            </w:r>
          </w:p>
        </w:tc>
        <w:tc>
          <w:tcPr>
            <w:tcW w:w="1200" w:type="dxa"/>
            <w:vAlign w:val="center"/>
          </w:tcPr>
          <w:p>
            <w:pPr>
              <w:spacing w:before="60" w:after="60" w:line="240" w:lineRule="auto"/>
              <w:jc w:val="left"/>
              <w:rPr>
                <w:rFonts w:ascii="Times New Roman" w:hAnsi="Times New Roman"/>
                <w:sz w:val="20"/>
              </w:rPr>
            </w:pPr>
            <w:r>
              <w:rPr>
                <w:rFonts w:ascii="Times New Roman" w:hAnsi="Times New Roman"/>
                <w:sz w:val="20"/>
              </w:rPr>
              <w:t>[SAFE]</w:t>
            </w:r>
          </w:p>
        </w:tc>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Issued clean baseline safe verdict</w:t>
            </w:r>
          </w:p>
        </w:tc>
        <w:tc>
          <w:tcPr>
            <w:tcW w:w="800" w:type="dxa"/>
            <w:vAlign w:val="center"/>
          </w:tcPr>
          <w:p>
            <w:pPr>
              <w:spacing w:before="60" w:after="60" w:line="240" w:lineRule="auto"/>
              <w:jc w:val="center"/>
              <w:rPr>
                <w:rFonts w:ascii="Times New Roman" w:hAnsi="Times New Roman"/>
                <w:sz w:val="20"/>
                <w:color w:val="1F7A4A"/>
                <w:b/>
              </w:rPr>
            </w:pPr>
            <w:r>
              <w:rPr>
                <w:rFonts w:ascii="Times New Roman" w:hAnsi="Times New Roman"/>
                <w:sz w:val="20"/>
                <w:color w:val="1F7A4A"/>
                <w:b/>
              </w:rPr>
              <w:t>PASS</w:t>
            </w:r>
          </w:p>
        </w:tc>
      </w:tr>
    </w:tbl>
    <w:p>
      <w:pPr>
        <w:spacing w:before="120" w:after="12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Empirical Summary: SafeBite recorded a 100% pass rate (15/15) across all edge cases, successfully detecting 100% of hidden derivatives with zero false negatives.</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6: Results &amp; Application Walkthrough</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6.1 User Interface &amp; Telemetry Verification</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The redesigned interface provides an editorial, warm paper layout that eliminates typical AI cliches. The top bar features an active status chip displaying "Online: gemma2:2b" connected to localhost:11434 with zero external network connectivity.</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6.2 Case Study 1: The Sneaky Snack Hazard</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Test Case: A roommate evaluating barbecue potato chips with the following label: "Dehydrated potatoes, vegetable oil, soy sauce powder (wheat, soybeans, salt), hydrolyzed whey protein, natural flavor, disodium inosinate."</w:t>
      </w:r>
    </w:p>
    <w:p>
      <w:pPr>
        <w:spacing w:before="0" w:after="120" w:line="360" w:lineRule="auto"/>
        <w:jc w:val="both"/>
        <w:rPr>
          <w:rFonts w:ascii="Times New Roman" w:hAnsi="Times New Roman" w:cs="Times New Roman"/>
          <w:b/>
          <w:bCs/>
          <w:color w:val="000000"/>
          <w:sz w:val="24"/>
          <w:szCs w:val="24"/>
        </w:rPr>
      </w:pPr>
      <w:r>
        <w:rPr>
          <w:rFonts w:ascii="Times New Roman" w:hAnsi="Times New Roman" w:cs="Times New Roman"/>
          <w:b/>
          <w:bCs/>
          <w:color w:val="000000"/>
          <w:sz w:val="24"/>
          <w:szCs w:val="24"/>
        </w:rPr>
        <w:t xml:space="preserve">Gemma 2 Analysis Output:</w:t>
      </w:r>
    </w:p>
    <w:p>
      <w:pPr>
        <w:spacing w:before="0" w:after="140" w:line="240" w:lineRule="auto"/>
        <w:jc w:val="both"/>
        <w:rPr>
          <w:rFonts w:ascii="Courier New" w:hAnsi="Courier New" w:cs="Courier New"/>
          <w:color w:val="000000"/>
          <w:sz w:val="18"/>
          <w:szCs w:val="18"/>
        </w:rPr>
      </w:pPr>
      <w:r>
        <w:rPr>
          <w:rFonts w:ascii="Courier New" w:hAnsi="Courier New" w:cs="Courier New"/>
          <w:color w:val="000000"/>
          <w:sz w:val="18"/>
          <w:szCs w:val="18"/>
        </w:rPr>
        <w:t xml:space="preserve">**SAFETY VERDICT**: [UNSAFE / DANGER]
**FLAGGED INGREDIENTS**:
• Hydrolyzed whey protein: Contains dairy (lactose) and poses an acute reaction risk.
• Soy sauce powder (wheat, soybeans): Contains wheat and soy, directly violating Celiac dietary constraints.
**ACTIONABLE VERDICT FOR ROOMMATE**: Do not prepare or offer this item to Alex. It contains severe antigens capable of triggering an acute medical reaction.</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6.3 Case Study 2: The Safe Pantry Chef</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Test Case: Roommates with chicken breast, jasmine rice, broccoli, olive oil, garlic, ginger, and pure honey asking for a safe dinner for Alex (Celiac, peanut-free, dairy-free).</w:t>
      </w:r>
    </w:p>
    <w:p>
      <w:pPr>
        <w:spacing w:before="0" w:after="140" w:line="240" w:lineRule="auto"/>
        <w:jc w:val="both"/>
        <w:rPr>
          <w:rFonts w:ascii="Courier New" w:hAnsi="Courier New" w:cs="Courier New"/>
          <w:color w:val="000000"/>
          <w:sz w:val="18"/>
          <w:szCs w:val="18"/>
        </w:rPr>
      </w:pPr>
      <w:r>
        <w:rPr>
          <w:rFonts w:ascii="Courier New" w:hAnsi="Courier New" w:cs="Courier New"/>
          <w:color w:val="000000"/>
          <w:sz w:val="18"/>
          <w:szCs w:val="18"/>
        </w:rPr>
        <w:t xml:space="preserve">Recipe Generated: Sweet &amp; Spicy Ginger Chicken Bowls
Allergen Guarantee: 100% gluten-free, dairy-free, and peanut-free.
Cross-Contamination Protocol:
• Dedicated Cutting Boards: Use separate boards for raw poultry and vegetables.
• Clean Sponges: Use fresh sponges to avoid cross-contact from prior dairy/gluten prep.
• Utensil Sanitation: Wash all skillets in hot soapy water prior to cooking.</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6.4 Performance Benchmarking</w:t>
      </w:r>
    </w:p>
    <w:tbl>
      <w:tblPr>
        <w:tblW w:w="0" w:type="auto"/>
        <w:jc w:val="center"/>
        <w:tblBorders>
          <w:top w:val="single" w:sz="6" w:space="0" w:color="CCCCCC"/>
          <w:left w:val="single" w:sz="6" w:space="0" w:color="CCCCCC"/>
          <w:bottom w:val="single" w:sz="6" w:space="0" w:color="CCCCCC"/>
          <w:right w:val="single" w:sz="6" w:space="0" w:color="CCCCCC"/>
          <w:insideH w:val="single" w:sz="4" w:space="0" w:color="E0E0E0"/>
          <w:insideV w:val="single" w:sz="4" w:space="0" w:color="E0E0E0"/>
        </w:tblBorders>
        <w:tblCellMar>
          <w:top w:w="120" w:type="dxa"/>
          <w:left w:w="160" w:type="dxa"/>
          <w:bottom w:w="120" w:type="dxa"/>
          <w:right w:w="160" w:type="dxa"/>
        </w:tblCellMar>
      </w:tblPr>
      <w:tblGrid>
        <w:gridCol w:w="2600"/>
        <w:gridCol w:w="2400"/>
        <w:gridCol w:w="4200"/>
      </w:tblGrid>
      <w:tr>
        <w:trPr>
          <w:tblHeader/>
        </w:trPr>
        <w:tc>
          <w:tcPr>
            <w:tcW w:w="26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Performance Parameter</w:t>
            </w:r>
          </w:p>
        </w:tc>
        <w:tc>
          <w:tcPr>
            <w:tcW w:w="24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Measured Metric</w:t>
            </w:r>
          </w:p>
        </w:tc>
        <w:tc>
          <w:tcPr>
            <w:tcW w:w="4200" w:type="dxa"/>
            <w:shd w:val="clear" w:color="auto" w:fill="F2F2F2"/>
            <w:vAlign w:val="center"/>
          </w:tcPr>
          <w:p>
            <w:pPr>
              <w:spacing w:before="60" w:after="60" w:line="240" w:lineRule="auto"/>
              <w:jc w:val="center"/>
              <w:rPr>
                <w:rFonts w:ascii="Times New Roman" w:hAnsi="Times New Roman"/>
                <w:b/>
                <w:sz w:val="22"/>
              </w:rPr>
            </w:pPr>
            <w:r>
              <w:rPr>
                <w:rFonts w:ascii="Times New Roman" w:hAnsi="Times New Roman"/>
                <w:b/>
                <w:sz w:val="22"/>
              </w:rPr>
              <w:t>Evaluation Assessment</w:t>
            </w:r>
          </w:p>
        </w:tc>
      </w:tr>
      <w:tr>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Cold Start Latency</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14.7 Seconds</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Initial memory paging into RAM via Ollama</w:t>
            </w:r>
          </w:p>
        </w:tc>
      </w:tr>
      <w:tr>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Warm Inference Latency</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3.8 - 5.2 Seconds</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Sub-second response per analysis iteration</w:t>
            </w:r>
          </w:p>
        </w:tc>
      </w:tr>
      <w:tr>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Generation Speed</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~22 Tokens / Second</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CPU inference on standard Intel/AMD hardware</w:t>
            </w:r>
          </w:p>
        </w:tc>
      </w:tr>
      <w:tr>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RAM Footprint</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1.8 GB RAM Total</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Comfortably runs alongside browser and editor</w:t>
            </w:r>
          </w:p>
        </w:tc>
      </w:tr>
      <w:tr>
        <w:tc>
          <w:tcPr>
            <w:tcW w:w="2600" w:type="dxa"/>
            <w:vAlign w:val="center"/>
          </w:tcPr>
          <w:p>
            <w:pPr>
              <w:spacing w:before="60" w:after="60" w:line="240" w:lineRule="auto"/>
              <w:jc w:val="left"/>
              <w:rPr>
                <w:rFonts w:ascii="Times New Roman" w:hAnsi="Times New Roman"/>
                <w:sz w:val="20"/>
              </w:rPr>
            </w:pPr>
            <w:r>
              <w:rPr>
                <w:rFonts w:ascii="Times New Roman" w:hAnsi="Times New Roman"/>
                <w:sz w:val="20"/>
              </w:rPr>
              <w:t>Telemetry Egress</w:t>
            </w:r>
          </w:p>
        </w:tc>
        <w:tc>
          <w:tcPr>
            <w:tcW w:w="2400" w:type="dxa"/>
            <w:vAlign w:val="center"/>
          </w:tcPr>
          <w:p>
            <w:pPr>
              <w:spacing w:before="60" w:after="60" w:line="240" w:lineRule="auto"/>
              <w:jc w:val="left"/>
              <w:rPr>
                <w:rFonts w:ascii="Times New Roman" w:hAnsi="Times New Roman"/>
                <w:sz w:val="20"/>
              </w:rPr>
            </w:pPr>
            <w:r>
              <w:rPr>
                <w:rFonts w:ascii="Times New Roman" w:hAnsi="Times New Roman"/>
                <w:sz w:val="20"/>
              </w:rPr>
              <w:t>0.00 Bytes</w:t>
            </w:r>
          </w:p>
        </w:tc>
        <w:tc>
          <w:tcPr>
            <w:tcW w:w="4200" w:type="dxa"/>
            <w:vAlign w:val="center"/>
          </w:tcPr>
          <w:p>
            <w:pPr>
              <w:spacing w:before="60" w:after="60" w:line="240" w:lineRule="auto"/>
              <w:jc w:val="left"/>
              <w:rPr>
                <w:rFonts w:ascii="Times New Roman" w:hAnsi="Times New Roman"/>
                <w:sz w:val="20"/>
              </w:rPr>
            </w:pPr>
            <w:r>
              <w:rPr>
                <w:rFonts w:ascii="Times New Roman" w:hAnsi="Times New Roman"/>
                <w:sz w:val="20"/>
              </w:rPr>
              <w:t>Completely offline and private</w:t>
            </w:r>
          </w:p>
        </w:tc>
      </w:tr>
    </w:tbl>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Chapter 7: Conclusion &amp; Future Scope</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7.1 Conclusion</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SafeBite proves that privacy-preserving, safety-critical healthcare applications can be deployed on edge hardware using compact open-weight models like Google Gemma 2. By executing inference locally with Ollama and enforcing strict system prompts, the system eliminates subscription fees, guarantees zero cloud data leaks, and delivers reliable allergen detection for real-world families and roommates.</w:t>
      </w:r>
    </w:p>
    <w:p>
      <w:pPr>
        <w:spacing w:before="180" w:after="100" w:line="360" w:lineRule="auto"/>
        <w:jc w:val="left"/>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7.2 Future Scope</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Optical Character Recognition (OCR): Integration of on-device camera OCR (Tesseract / MobileNet) to scan physical package labels directly.</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Regional Language Translation: Extending prompt models to parse ingredient labels in Hindi, Marathi, and regional Indian scripts.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3. Barcode Database Synchronization: Offline caching of Open Food Facts barcode registries for instant 0ms lookups.</w:t>
      </w:r>
    </w:p>
    <w:p>
      <w:pPr>
        <w:spacing w:before="0" w:after="120" w:line="360" w:lineRule="auto"/>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4. Mobile PWA Deployment: Packaging as an installable Progressive Web App for handheld use in grocery store aisles.</w:t>
      </w:r>
    </w:p>
    <w:p>
      <w:pPr>
        <w:spacing w:after="0" w:line="240" w:lineRule="auto"/>
      </w:pPr>
      <w:r>
        <w:br w:type="page"/>
      </w:r>
    </w:p>
    <w:p>
      <w:pPr>
        <w:spacing w:before="240" w:after="140" w:line="360" w:lineRule="auto"/>
        <w:jc w:val="left"/>
        <w:rPr>
          <w:rFonts w:ascii="Times New Roman" w:hAnsi="Times New Roman" w:cs="Times New Roman"/>
          <w:b/>
          <w:bCs/>
          <w:color w:val="000000"/>
          <w:sz w:val="32"/>
          <w:szCs w:val="32"/>
        </w:rPr>
      </w:pPr>
      <w:r>
        <w:rPr>
          <w:rFonts w:ascii="Times New Roman" w:hAnsi="Times New Roman" w:cs="Times New Roman"/>
          <w:b/>
          <w:bCs/>
          <w:color w:val="000000"/>
          <w:sz w:val="32"/>
          <w:szCs w:val="32"/>
        </w:rPr>
        <w:t xml:space="preserve">References &amp; Bibliography</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[1] J. A. Boyce et al., “Guidelines for the Diagnosis and Management of Food Allergy in the United States,” Journal of Allergy and Clinical Immunology, vol. 126, no. 6, pp. S1–S58, Dec. 2010, DOI: 10.1016/j.jaci.2010.10.007.</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[2] Y. Gao et al., “Transformer-based Named Entity Recognition for Food Allergen Detection in Ingredient Lists,” Proceedings of the ACL Workshop on NLP for Food, pp. 45–52, Aug. 2021.</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[3] K. Singhal et al., “Large Language Models Encode Clinical Knowledge,” Nature, vol. 620, pp. 172–180, Jul. 2023, DOI: 10.1038/s41586-023-06291-2.</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[4] Google DeepMind, “Gemma 2: Open Models for Responsible AI Development,” Google AI Technical Report, Jul. 2024. [Online]. Available: https://ai.google.dev/gemma.</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[5] B. Murdoch et al., “Privacy and Artificial Intelligence: Challenges for Protecting Health Information in a New Era of Medicine,” BMC Medical Ethics, vol. 22, no. 122, Sep. 2021, DOI: 10.1186/s12910-021-00687-3.</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[6] Ollama, “Ollama: Run Large Language Models Locally,” Open-Source Software Specification, 2024. [Online]. Available: https://ollama.com.</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[7] S. Gupta and R. Verma, “Edge Deployment of Large Language Models for Privacy-Sensitive Healthcare Applications,” IEEE Access, vol. 12, pp. 78234–78249, Mar. 2024, DOI: 10.1109/ACCESS.2024.3376521.</w:t>
      </w:r>
    </w:p>
    <w:p>
      <w:pPr>
        <w:spacing w:before="0" w:after="120" w:line="300" w:lineRule="auto"/>
        <w:jc w:val="both"/>
        <w:rPr>
          <w:rFonts w:ascii="Times New Roman" w:hAnsi="Times New Roman" w:cs="Times New Roman"/>
          <w:color w:val="000000"/>
          <w:sz w:val="22"/>
          <w:szCs w:val="22"/>
        </w:rPr>
      </w:pPr>
      <w:r>
        <w:rPr>
          <w:rFonts w:ascii="Times New Roman" w:hAnsi="Times New Roman" w:cs="Times New Roman"/>
          <w:color w:val="000000"/>
          <w:sz w:val="22"/>
          <w:szCs w:val="22"/>
        </w:rPr>
        <w:t xml:space="preserve">[8] Government of India, “The Digital Personal Data Protection Act, 2023,” The Gazette of India, Act No. 22 of 2023, Aug. 2023.</w:t>
      </w:r>
    </w:p>
    <w:sectPr>
      <w:headerReference w:type="default" r:id="rId20"/>
      <w:footerReference w:type="default" r:id="rId22"/>
      <w:pgSz w:w="11906" w:h="16838"/>
      <w:pgMar w:top="567" w:right="1440" w:bottom="851" w:left="1440" w:header="708" w:footer="708" w:gutter="0"/>
      <w:pgBorders w:offsetFrom="page">
        <w:top w:val="single" w:sz="4" w:space="24" w:color="auto"/>
        <w:left w:val="single" w:sz="4" w:space="24" w:color="auto"/>
        <w:bottom w:val="single" w:sz="4" w:space="24" w:color="auto"/>
        <w:right w:val="single" w:sz="4" w:space="24" w:color="auto"/>
      </w:pgBorders>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DF4B99" w14:textId="77777777" w:rsidR="006F4D65" w:rsidRDefault="006F4D65" w:rsidP="0002734B">
      <w:pPr>
        <w:spacing w:after="0" w:line="240" w:lineRule="auto"/>
      </w:pPr>
      <w:r>
        <w:separator/>
      </w:r>
    </w:p>
  </w:endnote>
  <w:endnote w:type="continuationSeparator" w:id="0">
    <w:p w14:paraId="0520E863" w14:textId="77777777" w:rsidR="006F4D65" w:rsidRDefault="006F4D65" w:rsidP="000273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altName w:val="Mongolian Baiti"/>
    <w:panose1 w:val="03040902040508030806"/>
    <w:charset w:val="00"/>
    <w:family w:val="script"/>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FC86C" w14:textId="77777777" w:rsidR="0002734B" w:rsidRDefault="0002734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65EF7" w14:textId="77777777" w:rsidR="0002734B" w:rsidRDefault="0002734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0A8A4E" w14:textId="77777777" w:rsidR="0002734B" w:rsidRDefault="000273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5CF93C" w14:textId="77777777" w:rsidR="006F4D65" w:rsidRDefault="006F4D65" w:rsidP="0002734B">
      <w:pPr>
        <w:spacing w:after="0" w:line="240" w:lineRule="auto"/>
      </w:pPr>
      <w:r>
        <w:separator/>
      </w:r>
    </w:p>
  </w:footnote>
  <w:footnote w:type="continuationSeparator" w:id="0">
    <w:p w14:paraId="6C318B1B" w14:textId="77777777" w:rsidR="006F4D65" w:rsidRDefault="006F4D65" w:rsidP="000273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AB61C" w14:textId="77777777" w:rsidR="0002734B" w:rsidRDefault="0002734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A96DD1" w14:textId="77777777" w:rsidR="0002734B" w:rsidRDefault="0002734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9370A" w14:textId="77777777" w:rsidR="0002734B" w:rsidRDefault="000273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F0745B"/>
    <w:multiLevelType w:val="hybridMultilevel"/>
    <w:tmpl w:val="E37003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31C4172"/>
    <w:multiLevelType w:val="multilevel"/>
    <w:tmpl w:val="0AD25436"/>
    <w:lvl w:ilvl="0">
      <w:start w:val="1"/>
      <w:numFmt w:val="decimal"/>
      <w:lvlText w:val="%1."/>
      <w:lvlJc w:val="left"/>
      <w:pPr>
        <w:ind w:left="720" w:hanging="360"/>
      </w:pPr>
      <w:rPr>
        <w:rFonts w:ascii="Times New Roman" w:hAnsi="Times New Roman" w:cs="Times New Roman" w:hint="default"/>
      </w:rPr>
    </w:lvl>
    <w:lvl w:ilvl="1">
      <w:start w:val="1"/>
      <w:numFmt w:val="lowerLetter"/>
      <w:lvlText w:val="%2."/>
      <w:lvlJc w:val="left"/>
      <w:pPr>
        <w:ind w:left="1440" w:hanging="360"/>
      </w:pPr>
      <w:rPr>
        <w:rFonts w:ascii="Times New Roman" w:hAnsi="Times New Roman" w:cs="Times New Roman" w:hint="default"/>
      </w:rPr>
    </w:lvl>
    <w:lvl w:ilvl="2">
      <w:start w:val="1"/>
      <w:numFmt w:val="lowerRoman"/>
      <w:lvlText w:val="%3."/>
      <w:lvlJc w:val="right"/>
      <w:pPr>
        <w:ind w:left="2160" w:hanging="180"/>
      </w:pPr>
      <w:rPr>
        <w:rFonts w:ascii="Times New Roman" w:hAnsi="Times New Roman" w:cs="Times New Roman" w:hint="default"/>
      </w:rPr>
    </w:lvl>
    <w:lvl w:ilvl="3">
      <w:start w:val="1"/>
      <w:numFmt w:val="decimal"/>
      <w:lvlText w:val="%4."/>
      <w:lvlJc w:val="left"/>
      <w:pPr>
        <w:ind w:left="2880" w:hanging="360"/>
      </w:pPr>
      <w:rPr>
        <w:rFonts w:ascii="Times New Roman" w:hAnsi="Times New Roman" w:cs="Times New Roman" w:hint="default"/>
      </w:rPr>
    </w:lvl>
    <w:lvl w:ilvl="4">
      <w:start w:val="1"/>
      <w:numFmt w:val="lowerLetter"/>
      <w:lvlText w:val="%5."/>
      <w:lvlJc w:val="left"/>
      <w:pPr>
        <w:ind w:left="3600" w:hanging="360"/>
      </w:pPr>
      <w:rPr>
        <w:rFonts w:ascii="Times New Roman" w:hAnsi="Times New Roman" w:cs="Times New Roman" w:hint="default"/>
      </w:rPr>
    </w:lvl>
    <w:lvl w:ilvl="5">
      <w:start w:val="1"/>
      <w:numFmt w:val="lowerRoman"/>
      <w:lvlText w:val="%6."/>
      <w:lvlJc w:val="right"/>
      <w:pPr>
        <w:ind w:left="4320" w:hanging="180"/>
      </w:pPr>
      <w:rPr>
        <w:rFonts w:ascii="Times New Roman" w:hAnsi="Times New Roman" w:cs="Times New Roman" w:hint="default"/>
      </w:rPr>
    </w:lvl>
    <w:lvl w:ilvl="6">
      <w:start w:val="1"/>
      <w:numFmt w:val="decimal"/>
      <w:lvlText w:val="%7."/>
      <w:lvlJc w:val="left"/>
      <w:pPr>
        <w:ind w:left="5040" w:hanging="360"/>
      </w:pPr>
      <w:rPr>
        <w:rFonts w:ascii="Times New Roman" w:hAnsi="Times New Roman" w:cs="Times New Roman" w:hint="default"/>
      </w:rPr>
    </w:lvl>
    <w:lvl w:ilvl="7">
      <w:start w:val="1"/>
      <w:numFmt w:val="lowerLetter"/>
      <w:lvlText w:val="%8."/>
      <w:lvlJc w:val="left"/>
      <w:pPr>
        <w:ind w:left="5760" w:hanging="360"/>
      </w:pPr>
      <w:rPr>
        <w:rFonts w:ascii="Times New Roman" w:hAnsi="Times New Roman" w:cs="Times New Roman" w:hint="default"/>
      </w:rPr>
    </w:lvl>
    <w:lvl w:ilvl="8">
      <w:start w:val="1"/>
      <w:numFmt w:val="lowerRoman"/>
      <w:lvlText w:val="%9."/>
      <w:lvlJc w:val="right"/>
      <w:pPr>
        <w:ind w:left="6480" w:hanging="180"/>
      </w:pPr>
      <w:rPr>
        <w:rFonts w:ascii="Times New Roman" w:hAnsi="Times New Roman" w:cs="Times New Roman" w:hint="default"/>
      </w:rPr>
    </w:lvl>
  </w:abstractNum>
  <w:num w:numId="1" w16cid:durableId="210321323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7991083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242"/>
    <w:rsid w:val="0002638F"/>
    <w:rsid w:val="0002734B"/>
    <w:rsid w:val="00074653"/>
    <w:rsid w:val="000E5E3C"/>
    <w:rsid w:val="00174B6A"/>
    <w:rsid w:val="00285354"/>
    <w:rsid w:val="003540F7"/>
    <w:rsid w:val="00372E74"/>
    <w:rsid w:val="00441617"/>
    <w:rsid w:val="00480F44"/>
    <w:rsid w:val="00493363"/>
    <w:rsid w:val="004B6CB1"/>
    <w:rsid w:val="005C0244"/>
    <w:rsid w:val="005D6080"/>
    <w:rsid w:val="00624380"/>
    <w:rsid w:val="006C3C4F"/>
    <w:rsid w:val="006F4D65"/>
    <w:rsid w:val="007659B7"/>
    <w:rsid w:val="007B1768"/>
    <w:rsid w:val="007E7C3E"/>
    <w:rsid w:val="008766CD"/>
    <w:rsid w:val="00917BB5"/>
    <w:rsid w:val="00946242"/>
    <w:rsid w:val="00963D38"/>
    <w:rsid w:val="00A335CE"/>
    <w:rsid w:val="00B35EE1"/>
    <w:rsid w:val="00BA6355"/>
    <w:rsid w:val="00BD4D51"/>
    <w:rsid w:val="00C14B2C"/>
    <w:rsid w:val="00CC263C"/>
    <w:rsid w:val="00D57C93"/>
    <w:rsid w:val="00E40854"/>
    <w:rsid w:val="00EC0DF9"/>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03EDC2"/>
  <w15:docId w15:val="{4684981E-35B9-4DBC-89BE-763CB2EF2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6242"/>
  </w:style>
  <w:style w:type="paragraph" w:styleId="Heading2">
    <w:name w:val="heading 2"/>
    <w:basedOn w:val="Normal"/>
    <w:link w:val="Heading2Char"/>
    <w:uiPriority w:val="9"/>
    <w:semiHidden/>
    <w:unhideWhenUsed/>
    <w:qFormat/>
    <w:rsid w:val="007659B7"/>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372E7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6">
    <w:name w:val="heading 6"/>
    <w:basedOn w:val="Normal"/>
    <w:next w:val="Normal"/>
    <w:link w:val="Heading6Char"/>
    <w:uiPriority w:val="9"/>
    <w:unhideWhenUsed/>
    <w:qFormat/>
    <w:rsid w:val="0002638F"/>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46242"/>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6242"/>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5D6080"/>
    <w:pPr>
      <w:spacing w:before="100" w:beforeAutospacing="1" w:line="256" w:lineRule="auto"/>
      <w:ind w:left="720"/>
      <w:contextualSpacing/>
    </w:pPr>
    <w:rPr>
      <w:rFonts w:ascii="Calibri" w:eastAsia="Times New Roman" w:hAnsi="Calibri" w:cs="Times New Roman"/>
      <w:lang w:eastAsia="en-IN"/>
    </w:rPr>
  </w:style>
  <w:style w:type="character" w:customStyle="1" w:styleId="Heading2Char">
    <w:name w:val="Heading 2 Char"/>
    <w:basedOn w:val="DefaultParagraphFont"/>
    <w:link w:val="Heading2"/>
    <w:uiPriority w:val="9"/>
    <w:semiHidden/>
    <w:rsid w:val="007659B7"/>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semiHidden/>
    <w:rsid w:val="00372E74"/>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semiHidden/>
    <w:unhideWhenUsed/>
    <w:rsid w:val="00372E7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unhideWhenUsed/>
    <w:rsid w:val="00372E74"/>
    <w:rPr>
      <w:color w:val="0000FF"/>
      <w:u w:val="single"/>
    </w:rPr>
  </w:style>
  <w:style w:type="character" w:customStyle="1" w:styleId="text-color-purple">
    <w:name w:val="text-color-purple"/>
    <w:basedOn w:val="DefaultParagraphFont"/>
    <w:rsid w:val="00372E74"/>
  </w:style>
  <w:style w:type="character" w:styleId="Emphasis">
    <w:name w:val="Emphasis"/>
    <w:basedOn w:val="DefaultParagraphFont"/>
    <w:uiPriority w:val="20"/>
    <w:qFormat/>
    <w:rsid w:val="00372E74"/>
    <w:rPr>
      <w:i/>
      <w:iCs/>
    </w:rPr>
  </w:style>
  <w:style w:type="paragraph" w:styleId="TableofFigures">
    <w:name w:val="table of figures"/>
    <w:basedOn w:val="Normal"/>
    <w:next w:val="Normal"/>
    <w:uiPriority w:val="99"/>
    <w:unhideWhenUsed/>
    <w:rsid w:val="00074653"/>
    <w:pPr>
      <w:spacing w:after="0"/>
    </w:pPr>
  </w:style>
  <w:style w:type="paragraph" w:styleId="Caption">
    <w:name w:val="caption"/>
    <w:basedOn w:val="Normal"/>
    <w:next w:val="Normal"/>
    <w:uiPriority w:val="35"/>
    <w:unhideWhenUsed/>
    <w:qFormat/>
    <w:rsid w:val="00074653"/>
    <w:pPr>
      <w:spacing w:after="200" w:line="240" w:lineRule="auto"/>
    </w:pPr>
    <w:rPr>
      <w:i/>
      <w:iCs/>
      <w:color w:val="44546A" w:themeColor="text2"/>
      <w:sz w:val="18"/>
      <w:szCs w:val="18"/>
    </w:rPr>
  </w:style>
  <w:style w:type="character" w:customStyle="1" w:styleId="Heading6Char">
    <w:name w:val="Heading 6 Char"/>
    <w:basedOn w:val="DefaultParagraphFont"/>
    <w:link w:val="Heading6"/>
    <w:uiPriority w:val="9"/>
    <w:rsid w:val="0002638F"/>
    <w:rPr>
      <w:rFonts w:asciiTheme="majorHAnsi" w:eastAsiaTheme="majorEastAsia" w:hAnsiTheme="majorHAnsi" w:cstheme="majorBidi"/>
      <w:color w:val="1F3763" w:themeColor="accent1" w:themeShade="7F"/>
    </w:rPr>
  </w:style>
  <w:style w:type="paragraph" w:styleId="BodyText">
    <w:name w:val="Body Text"/>
    <w:basedOn w:val="Normal"/>
    <w:link w:val="BodyTextChar"/>
    <w:uiPriority w:val="1"/>
    <w:semiHidden/>
    <w:unhideWhenUsed/>
    <w:qFormat/>
    <w:rsid w:val="0002638F"/>
    <w:pPr>
      <w:widowControl w:val="0"/>
      <w:autoSpaceDE w:val="0"/>
      <w:autoSpaceDN w:val="0"/>
      <w:spacing w:after="0" w:line="240" w:lineRule="auto"/>
    </w:pPr>
    <w:rPr>
      <w:rFonts w:ascii="Times New Roman" w:eastAsia="Times New Roman" w:hAnsi="Times New Roman" w:cs="Times New Roman"/>
      <w:sz w:val="23"/>
      <w:szCs w:val="23"/>
      <w:lang w:val="en-US" w:bidi="en-US"/>
    </w:rPr>
  </w:style>
  <w:style w:type="character" w:customStyle="1" w:styleId="BodyTextChar">
    <w:name w:val="Body Text Char"/>
    <w:basedOn w:val="DefaultParagraphFont"/>
    <w:link w:val="BodyText"/>
    <w:uiPriority w:val="1"/>
    <w:semiHidden/>
    <w:rsid w:val="0002638F"/>
    <w:rPr>
      <w:rFonts w:ascii="Times New Roman" w:eastAsia="Times New Roman" w:hAnsi="Times New Roman" w:cs="Times New Roman"/>
      <w:sz w:val="23"/>
      <w:szCs w:val="23"/>
      <w:lang w:val="en-US" w:bidi="en-US"/>
    </w:rPr>
  </w:style>
  <w:style w:type="table" w:styleId="TableGrid">
    <w:name w:val="Table Grid"/>
    <w:basedOn w:val="TableNormal"/>
    <w:uiPriority w:val="39"/>
    <w:rsid w:val="008766C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0273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2734B"/>
  </w:style>
  <w:style w:type="paragraph" w:styleId="Footer">
    <w:name w:val="footer"/>
    <w:basedOn w:val="Normal"/>
    <w:link w:val="FooterChar"/>
    <w:uiPriority w:val="99"/>
    <w:unhideWhenUsed/>
    <w:rsid w:val="000273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73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1096236">
      <w:bodyDiv w:val="1"/>
      <w:marLeft w:val="0"/>
      <w:marRight w:val="0"/>
      <w:marTop w:val="0"/>
      <w:marBottom w:val="0"/>
      <w:divBdr>
        <w:top w:val="none" w:sz="0" w:space="0" w:color="auto"/>
        <w:left w:val="none" w:sz="0" w:space="0" w:color="auto"/>
        <w:bottom w:val="none" w:sz="0" w:space="0" w:color="auto"/>
        <w:right w:val="none" w:sz="0" w:space="0" w:color="auto"/>
      </w:divBdr>
    </w:div>
    <w:div w:id="1461534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87C66C-1EE5-4408-BBF7-4B32C9198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Pages>
  <Words>2986</Words>
  <Characters>17023</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Deepika Sharma</dc:creator>
  <cp:keywords/>
  <dc:description/>
  <cp:lastModifiedBy>zfxmikey77@outlook.com</cp:lastModifiedBy>
  <cp:revision>10</cp:revision>
  <cp:lastPrinted>2026-10-06T19:30:00Z</cp:lastPrinted>
  <dcterms:created xsi:type="dcterms:W3CDTF">2026-09-23T09:03:00Z</dcterms:created>
  <dcterms:modified xsi:type="dcterms:W3CDTF">2026-10-06T19:35:00Z</dcterms:modified>
</cp:coreProperties>
</file>