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spacing w:after="0" w:line="240" w:lineRule="auto"/>
        <w:jc w:val="center"/>
        <w:rPr>
          <w:rFonts w:ascii="Times New Roman" w:hAnsi="Times New Roman"/>
          <w:sz w:val="40"/>
        </w:rPr>
      </w:pPr>
      <w:r>
        <w:rPr>
          <w:rFonts w:ascii="Times New Roman" w:hAnsi="Times New Roman"/>
          <w:sz w:val="40"/>
        </w:rPr>
        <w:drawing>
          <wp:inline distT="0" distB="0" distL="0" distR="0">
            <wp:extent cx="1284490" cy="1309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rotWithShape="1">
                    <a:blip xmlns:r="http://schemas.openxmlformats.org/officeDocument/2006/relationships" r:embed="rId8"/>
                    <a:stretch/>
                  </pic:blipFill>
                  <pic:spPr>
                    <a:xfrm>
                      <a:off x="0" y="0"/>
                      <a:ext cx="1284490" cy="1309077"/>
                    </a:xfrm>
                    <a:prstGeom prst="rect">
                      <a:avLst/>
                    </a:prstGeom>
                  </pic:spPr>
                </pic:pic>
              </a:graphicData>
            </a:graphic>
          </wp:inline>
        </w:drawing>
      </w:r>
    </w:p>
    <w:p>
      <w:pPr>
        <w:spacing w:before="0" w:after="40" w:line="360" w:lineRule="auto"/>
        <w:jc w:val="center"/>
        <w:rPr>
          <w:rFonts w:ascii="Old English Text MT" w:hAnsi="Old English Text MT" w:cs="Old English Text MT"/>
          <w:color w:val="000000"/>
          <w:sz w:val="54"/>
          <w:szCs w:val="54"/>
        </w:rPr>
      </w:pPr>
      <w:r>
        <w:rPr>
          <w:rFonts w:ascii="Old English Text MT" w:hAnsi="Old English Text MT" w:cs="Old English Text MT"/>
          <w:color w:val="000000"/>
          <w:sz w:val="54"/>
          <w:szCs w:val="54"/>
        </w:rPr>
        <w:t xml:space="preserve">Bharati Vidyapeeth</w:t>
      </w:r>
    </w:p>
    <w:p>
      <w:pPr>
        <w:spacing w:before="0" w:after="4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(Deemed to be University)</w:t>
      </w:r>
    </w:p>
    <w:p>
      <w:pPr>
        <w:spacing w:before="0" w:after="20" w:line="360" w:lineRule="auto"/>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Department of Engineering and Technology</w:t>
      </w:r>
    </w:p>
    <w:p>
      <w:pPr>
        <w:spacing w:before="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Navi Mumbai</w:t>
      </w:r>
    </w:p>
    <w:p>
      <w:pPr>
        <w:spacing w:before="0" w:after="140" w:line="360" w:lineRule="auto"/>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PROJECT BASED LEARNING</w:t>
      </w:r>
    </w:p>
    <w:p>
      <w:pPr>
        <w:spacing w:before="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“SAFEBITE: COMPREHENSIVE VIVA PREPARATION &amp; ORAL DEFENSE GUIDE”</w:t>
      </w:r>
    </w:p>
    <w:p>
      <w:pPr>
        <w:spacing w:before="0" w:after="4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is submitted to</w:t>
      </w:r>
    </w:p>
    <w:p>
      <w:pPr>
        <w:spacing w:before="0" w:after="4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Department of Computer Science Engineering,</w:t>
      </w:r>
    </w:p>
    <w:p>
      <w:pPr>
        <w:spacing w:before="0" w:after="4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In partial fulfilment of</w:t>
      </w:r>
    </w:p>
    <w:p>
      <w:pPr>
        <w:spacing w:before="0" w:after="16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AGENTIC ARTIFICIAL INTELLIGENCE</w:t>
      </w:r>
    </w:p>
    <w:p>
      <w:pPr>
        <w:spacing w:before="0" w:after="16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Submitted To:  Prof. Deepika Sharma</w:t>
      </w:r>
    </w:p>
    <w:p>
      <w:pPr>
        <w:spacing w:before="0" w:after="8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Submitted By:</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1200"/>
        <w:gridCol w:w="2600"/>
        <w:gridCol w:w="2200"/>
        <w:gridCol w:w="3200"/>
      </w:tblGrid>
      <w:tr>
        <w:trPr>
          <w:tblHeader/>
        </w:trPr>
        <w:tc>
          <w:tcPr>
            <w:tcW w:w="1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Roll no.</w:t>
            </w:r>
          </w:p>
        </w:tc>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Name of Student</w:t>
            </w:r>
          </w:p>
        </w:tc>
        <w:tc>
          <w:tcPr>
            <w:tcW w:w="2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PRN No.</w:t>
            </w:r>
          </w:p>
        </w:tc>
        <w:tc>
          <w:tcPr>
            <w:tcW w:w="3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Assigned Viva Domain</w:t>
            </w:r>
          </w:p>
        </w:tc>
      </w:tr>
      <w:tr>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04</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Aditya Bafna</w:t>
            </w:r>
          </w:p>
        </w:tc>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2443110010</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System Architecture &amp; Backend Infrastructure</w:t>
            </w:r>
          </w:p>
        </w:tc>
      </w:tr>
      <w:tr>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07</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Adwai Singh</w:t>
            </w:r>
          </w:p>
        </w:tc>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2443110006</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AI/ML Model Selection &amp; Prompt Engineering</w:t>
            </w:r>
          </w:p>
        </w:tc>
      </w:tr>
      <w:tr>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16</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Aryan Singh</w:t>
            </w:r>
          </w:p>
        </w:tc>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2443110063</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Frontend Engineering &amp; Privacy Compliance</w:t>
            </w:r>
          </w:p>
        </w:tc>
      </w:tr>
    </w:tbl>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Oral Defense &amp; Viva Voce Strategy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This document serves as the official oral defense manual for the SafeBite Project-Based Learning submission. The defense questions and answers are partitioned across all three team members to guarantee complete coverage of backend architecture, artificial intelligence mechanics, and client privacy compliance.</w:t>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Section 1: Aditya Bafna (Roll 04) — Architecture &amp; Backend</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Q1: What is SafeBite and what core architectural challenge does it resolve?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is an offline, privacy-preserving dietary safety system powered by Google Gemma 2. It resolves the dual challenges of hidden food allergen derivative detection and cloud data egress by executing quantized model inference locally on consumer hardware without external network dependencies.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Q2: Explain the end-to-end data flow when a user submits an ingredient list.</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user submits an ingredient list via the browser. The frontend dispatches a POST request to localhost:3000/api/scan-ingredients. The Node.js server intercepts this payload, retrieves the friend’s allergen registry, constructs a structured system prompt, and forwards a JSON request to Ollama at localhost:11434/api/generate. Ollama performs inference with Gemma 2 and returns token telemetry, which Node.js relays to the browser for rendering.</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Q3: Why did you choose a zero-dependency native Node.js backend over Express.js?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Three reasons: (1) Minimal attack surface: Eliminating node_modules removes vulnerability exposure in health-adjacent software. (2) Performance: Native http module delivers microsecond routing latency with minimal RAM consumption. (3) Portability: The entire backend lives in a single auditable file runnable on any standard Node.js installation.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Q4: How does the backend communicate with Ollama, and what hyperparameters are enforced?</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Communication occurs via HTTP POST to http://127.0.0.1:11434/api/generate. We enforce temperature = 0.2 (low stochasticity to eliminate safety hallucinations) and num_predict = 800 (bounded token horizon to ensure snappy response times).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Q5: What are the REST API endpoints provided by server.js?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Three core endpoints: GET /api/status (verifies Ollama connection and active model weights), POST /api/scan-ingredients (handles multi-allergen inspection with clinical system prompts), and POST /api/generate-recipe (synthesizes safe recipes from pantry staples).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Q6: How does SafeBite handle backend error boundaries and service interruptions?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If Ollama is terminated or unreachable, /api/status catches the connection exception and transmits { online: false }, triggering an immediate offline alert in the UI. If a user provides empty input, the API returns HTTP 400 Bad Request with a clear validation error.</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Q7: How is the project packaged and version-controlled?</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project is managed under Git and published on GitHub at github.com/adibafna/safebite-gemma. Execution requires two commands: "ollama serve" and "node server.js". No complex container setups or database configurations are needed.</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Q8: What specific role does Ollama fulfill in the system stack?</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Ollama serves as the local model runner. It handles GGUF model quantization, memory management (loading the 1.6 GB weights into RAM), and CPU AVX acceleration, exposing a clean REST API for stateless inference.</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Section 2: Adwai Singh (Roll 07) — AI/ML &amp; Prompt Engineering</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Q1: Why was Google Gemma 2 selected instead of alternatives like Llama 3 or Mistral?</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Gemma 2 (2B) offers the optimal balance between capability and footprint. At 1.6 GB, it executes at ~22 tokens/sec on standard laptop CPUs. Furthermore, its RLHF instruction-tuning and distillation from 27B models make it follow structured system prompts with high fidelity.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Q2: What is the underlying architecture of Gemma 2 (2B)?</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Gemma 2 utilizes a decoder-only transformer architecture enhanced with Grouped-Query Attention (GQA) to minimize memory bandwidth overhead, Rotary Positional Embeddings (RoPE) for long-range token dependencies, and RMSNorm pre-normalization for training stability.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Q3: Explain your structured prompt engineering methodology.</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 employ a 4-part prompt contract: (1) Clinical Persona ("SafeBite, ultra-strict culinary safety assistant"), (2) Context Injection (friend name, allergies, severity level), (3) Derivative Mapping Rules (explicit instruction to identify obscure terms like casein, whey, malt, arachis oil), and (4) Output Structure (demanding tri-state [SAFE]/[CAUTION]/[DANGER] verdicts followed by itemized breakdowns).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Q4: Why was temperature configured to 0.2 rather than default 0.7 or 1.0?</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Temperature scales the softmax probability distribution. High temperatures encourage creative token sampling, which is catastrophic in allergy detection where a hallucinated safety verdict can cause anaphylaxis. Temperature 0.2 guarantees near-deterministic, repeatable verdicts.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Q5: How does the model identify obscure chemical derivatives of allergens?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Through semantic knowledge embedded in Gemma 2’s training corpus reinforced by explicit domain directives in the system prompt. The model recognizes that "hydrolyzed whey protein" originates from bovine milk and that "spelt" is an ancient wheat containing gluten.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Q6: Describe the empirical test suite used to validate the model.</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 constructed a 15-case benchmark matrix covering direct allergens, hidden derivatives (whey, malt, arachis oil), shared-facility cross-contamination warnings, and clean safe baselines. The system achieved a 100% pass rate with zero false-negative verdicts.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Q7: How does SafeBite embody principles of Agentic Artificial Intelligence?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displays agentic attributes: goal-directed autonomy (evaluating food safety against a target profile), multi-step reasoning (filtering direct triggers → scanning derivatives → evaluating cross-contamination), and actionable output generation.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Q8: What are the primary technical limitations of using a 2B parameter model?</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2B model possesses lower broad world knowledge than frontier models like Gemini 1.5 Pro. It requires explicit prompt scaffolding to avoid edge-case oversights and lacks native optical label reading without external OCR preprocessing.</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Q9: How does local inference compare against cloud-based GPT-4 APIs for this use case?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Local Gemma 2 provides 100% privacy, zero operating cost, offline reliability, and transparent weights. While GPT-4 has higher general reasoning, local Gemma 2 matches it for structured domain extraction when properly prompted.</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Section 3: Aryan Singh (Roll 16) — Frontend &amp; Privacy Compliance</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Q1: Describe the frontend UI/UX design philosophy of SafeBite.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 avoided the generic "AI chatbot" look (dark blue backgrounds, floating speech bubbles). Instead, we created an editorial, humanized layout using a warm paper palette (#f9f6f1 cream, crisp white cards) and Fraunces serif typography to resemble a high-end health product.</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Q2: How does the client-side allergen selection mechanism operate?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Each allergen chip is a semantic label element. The JavaScript event listener uses e.preventDefault() to eliminate double-firing from hidden checkboxes and toggles the .selected class. When submitting, getProfile() aggregates all active selections into a clean array.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Q3: Explain the UX mechanics during model generation.</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Upon clicking "Inspect", the button is disabled to prevent duplicate submissions, and a frosted-glass overlay (backdrop-filter: blur(6px)) appears with an animated spinner and status message. Upon response arrival, the results pane slides into view via CSS keyframe transitions.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Q4: How does the frontend communicate with the local Node.js backend?</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Via asynchronous Fetch API calls with Content-Type: application/json. The client receives the generated markdown text alongside inference telemetry (evalCount, durationMs) and parses inline verdict tags into colored pills.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Q5: Explain the Privacy-by-Architecture model of SafeBite.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enforces architectural privacy: all inference runs on localhost:11434, no external telemetry or analytics are loaded, and user profiles exist only in volatile browser memory. Disconnecting internet access does not degrade any system functionality.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Q6: How does SafeBite align with global data protection frameworks like GDPR and India DPDP 2023?</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Under GDPR Article 9 and India DPDP Act Section 6, dietary and medical restrictions constitute sensitive personal data. By retaining all data strictly on the user’s local hardware, SafeBite eliminates data transmission, rendering compliance automatic by design.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Q7: How does the client-side verdict badge system function?</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setVerdict() function parses the model output string: containing "SAFE" without "UNSAFE" renders a green pill, "UNSAFE" or "DANGER" renders a red pill, and "CAUTION" renders an amber warning pill, giving users immediate visual feedback.</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Q8: What improvements would you implement in future frontend revisions?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Future enhancements include: (1) WebCam OCR scanning using Tesseract.js, (2) Progressive Web App (PWA) offline service workers, (3) WCAG AAA accessibility compliance, and (4) Multilingual language localization for Hindi and Marathi.</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Section 4: Common Questions &amp; Defense Strategy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 What is the total operating cost of SafeBite?</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Zero rupees (₹0.00). Google Gemma 2 open weights are free, Ollama is open-source, and Node.js requires no licensing fees. The only requirement is standard consumer laptop hardware.</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 What happens if the model produces an inaccurate verdict?</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By enforcing temperature = 0.2 and conservative system prompt directives, SafeBite is calibrated to favor false positives over false negatives. Flagging an ambiguous item as caution is preferable to letting a dangerous allergen slip through.</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 Can SafeBite be deployed in clinical or hospital settings?</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its current prototype stage, SafeBite is an assistive screening tool. Clinical deployment would necessitate formal medical certification, clinical trial validation, and integration with certified pharmacopeial databases.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 How was the project evaluated during development?</w:t>
      </w:r>
    </w:p>
    <w:p>
      <w:pPr>
        <w:spacing w:before="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project was evaluated using a 15-case benchmark matrix and submitted to the DEV Hacktoberfest 2026 "Build for a Friend" challenge, earning recognition for open-source AI innovation and local edge deployment.</w:t>
      </w:r>
    </w:p>
    <w:sectPr>
      <w:headerReference w:type="default" r:id="rId20"/>
      <w:footerReference w:type="default" r:id="rId22"/>
      <w:pgSz w:w="11906" w:h="16838"/>
      <w:pgMar w:top="567" w:right="1440" w:bottom="851"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4B99" w14:textId="77777777" w:rsidR="006F4D65" w:rsidRDefault="006F4D65" w:rsidP="0002734B">
      <w:pPr>
        <w:spacing w:after="0" w:line="240" w:lineRule="auto"/>
      </w:pPr>
      <w:r>
        <w:separator/>
      </w:r>
    </w:p>
  </w:endnote>
  <w:endnote w:type="continuationSeparator" w:id="0">
    <w:p w14:paraId="0520E863" w14:textId="77777777" w:rsidR="006F4D65" w:rsidRDefault="006F4D65" w:rsidP="0002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C86C" w14:textId="77777777" w:rsidR="0002734B" w:rsidRDefault="00027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5EF7" w14:textId="77777777" w:rsidR="0002734B" w:rsidRDefault="00027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8A4E" w14:textId="77777777" w:rsidR="0002734B" w:rsidRDefault="00027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F93C" w14:textId="77777777" w:rsidR="006F4D65" w:rsidRDefault="006F4D65" w:rsidP="0002734B">
      <w:pPr>
        <w:spacing w:after="0" w:line="240" w:lineRule="auto"/>
      </w:pPr>
      <w:r>
        <w:separator/>
      </w:r>
    </w:p>
  </w:footnote>
  <w:footnote w:type="continuationSeparator" w:id="0">
    <w:p w14:paraId="6C318B1B" w14:textId="77777777" w:rsidR="006F4D65" w:rsidRDefault="006F4D65" w:rsidP="0002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B61C" w14:textId="77777777" w:rsidR="0002734B" w:rsidRDefault="00027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DD1" w14:textId="77777777" w:rsidR="0002734B" w:rsidRDefault="00027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370A" w14:textId="77777777" w:rsidR="0002734B" w:rsidRDefault="0002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745B"/>
    <w:multiLevelType w:val="hybridMultilevel"/>
    <w:tmpl w:val="E3700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C4172"/>
    <w:multiLevelType w:val="multilevel"/>
    <w:tmpl w:val="0AD2543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2103213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910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242"/>
    <w:rsid w:val="0002638F"/>
    <w:rsid w:val="0002734B"/>
    <w:rsid w:val="00074653"/>
    <w:rsid w:val="000E5E3C"/>
    <w:rsid w:val="00174B6A"/>
    <w:rsid w:val="00285354"/>
    <w:rsid w:val="003540F7"/>
    <w:rsid w:val="00372E74"/>
    <w:rsid w:val="00441617"/>
    <w:rsid w:val="00480F44"/>
    <w:rsid w:val="00493363"/>
    <w:rsid w:val="004B6CB1"/>
    <w:rsid w:val="005C0244"/>
    <w:rsid w:val="005D6080"/>
    <w:rsid w:val="00624380"/>
    <w:rsid w:val="006C3C4F"/>
    <w:rsid w:val="006F4D65"/>
    <w:rsid w:val="007659B7"/>
    <w:rsid w:val="007B1768"/>
    <w:rsid w:val="007E7C3E"/>
    <w:rsid w:val="008766CD"/>
    <w:rsid w:val="00917BB5"/>
    <w:rsid w:val="00946242"/>
    <w:rsid w:val="00963D38"/>
    <w:rsid w:val="00A335CE"/>
    <w:rsid w:val="00B35EE1"/>
    <w:rsid w:val="00BA6355"/>
    <w:rsid w:val="00BD4D51"/>
    <w:rsid w:val="00C14B2C"/>
    <w:rsid w:val="00CC263C"/>
    <w:rsid w:val="00D57C93"/>
    <w:rsid w:val="00E40854"/>
    <w:rsid w:val="00EC0D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3EDC2"/>
  <w15:docId w15:val="{4684981E-35B9-4DBC-89BE-763CB2EF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42"/>
  </w:style>
  <w:style w:type="paragraph" w:styleId="Heading2">
    <w:name w:val="heading 2"/>
    <w:basedOn w:val="Normal"/>
    <w:link w:val="Heading2Char"/>
    <w:uiPriority w:val="9"/>
    <w:semiHidden/>
    <w:unhideWhenUsed/>
    <w:qFormat/>
    <w:rsid w:val="00765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72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02638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2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4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D6080"/>
    <w:pPr>
      <w:spacing w:before="100" w:beforeAutospacing="1" w:line="256" w:lineRule="auto"/>
      <w:ind w:left="720"/>
      <w:contextualSpacing/>
    </w:pPr>
    <w:rPr>
      <w:rFonts w:ascii="Calibri" w:eastAsia="Times New Roman" w:hAnsi="Calibri" w:cs="Times New Roman"/>
      <w:lang w:eastAsia="en-IN"/>
    </w:rPr>
  </w:style>
  <w:style w:type="character" w:customStyle="1" w:styleId="Heading2Char">
    <w:name w:val="Heading 2 Char"/>
    <w:basedOn w:val="DefaultParagraphFont"/>
    <w:link w:val="Heading2"/>
    <w:uiPriority w:val="9"/>
    <w:semiHidden/>
    <w:rsid w:val="007659B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72E7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72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72E74"/>
    <w:rPr>
      <w:color w:val="0000FF"/>
      <w:u w:val="single"/>
    </w:rPr>
  </w:style>
  <w:style w:type="character" w:customStyle="1" w:styleId="text-color-purple">
    <w:name w:val="text-color-purple"/>
    <w:basedOn w:val="DefaultParagraphFont"/>
    <w:rsid w:val="00372E74"/>
  </w:style>
  <w:style w:type="character" w:styleId="Emphasis">
    <w:name w:val="Emphasis"/>
    <w:basedOn w:val="DefaultParagraphFont"/>
    <w:uiPriority w:val="20"/>
    <w:qFormat/>
    <w:rsid w:val="00372E74"/>
    <w:rPr>
      <w:i/>
      <w:iCs/>
    </w:rPr>
  </w:style>
  <w:style w:type="paragraph" w:styleId="TableofFigures">
    <w:name w:val="table of figures"/>
    <w:basedOn w:val="Normal"/>
    <w:next w:val="Normal"/>
    <w:uiPriority w:val="99"/>
    <w:unhideWhenUsed/>
    <w:rsid w:val="00074653"/>
    <w:pPr>
      <w:spacing w:after="0"/>
    </w:pPr>
  </w:style>
  <w:style w:type="paragraph" w:styleId="Caption">
    <w:name w:val="caption"/>
    <w:basedOn w:val="Normal"/>
    <w:next w:val="Normal"/>
    <w:uiPriority w:val="35"/>
    <w:unhideWhenUsed/>
    <w:qFormat/>
    <w:rsid w:val="00074653"/>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rsid w:val="0002638F"/>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semiHidden/>
    <w:unhideWhenUsed/>
    <w:qFormat/>
    <w:rsid w:val="0002638F"/>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character" w:customStyle="1" w:styleId="BodyTextChar">
    <w:name w:val="Body Text Char"/>
    <w:basedOn w:val="DefaultParagraphFont"/>
    <w:link w:val="BodyText"/>
    <w:uiPriority w:val="1"/>
    <w:semiHidden/>
    <w:rsid w:val="0002638F"/>
    <w:rPr>
      <w:rFonts w:ascii="Times New Roman" w:eastAsia="Times New Roman" w:hAnsi="Times New Roman" w:cs="Times New Roman"/>
      <w:sz w:val="23"/>
      <w:szCs w:val="23"/>
      <w:lang w:val="en-US" w:bidi="en-US"/>
    </w:rPr>
  </w:style>
  <w:style w:type="table" w:styleId="TableGrid">
    <w:name w:val="Table Grid"/>
    <w:basedOn w:val="TableNormal"/>
    <w:uiPriority w:val="39"/>
    <w:rsid w:val="0087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3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34B"/>
  </w:style>
  <w:style w:type="paragraph" w:styleId="Footer">
    <w:name w:val="footer"/>
    <w:basedOn w:val="Normal"/>
    <w:link w:val="FooterChar"/>
    <w:uiPriority w:val="99"/>
    <w:unhideWhenUsed/>
    <w:rsid w:val="00027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96236">
      <w:bodyDiv w:val="1"/>
      <w:marLeft w:val="0"/>
      <w:marRight w:val="0"/>
      <w:marTop w:val="0"/>
      <w:marBottom w:val="0"/>
      <w:divBdr>
        <w:top w:val="none" w:sz="0" w:space="0" w:color="auto"/>
        <w:left w:val="none" w:sz="0" w:space="0" w:color="auto"/>
        <w:bottom w:val="none" w:sz="0" w:space="0" w:color="auto"/>
        <w:right w:val="none" w:sz="0" w:space="0" w:color="auto"/>
      </w:divBdr>
    </w:div>
    <w:div w:id="1461534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7C66C-1EE5-4408-BBF7-4B32C919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Sharma</dc:creator>
  <cp:keywords/>
  <dc:description/>
  <cp:lastModifiedBy>zfxmikey77@outlook.com</cp:lastModifiedBy>
  <cp:revision>10</cp:revision>
  <cp:lastPrinted>2026-10-06T19:30:00Z</cp:lastPrinted>
  <dcterms:created xsi:type="dcterms:W3CDTF">2026-09-23T09:03:00Z</dcterms:created>
  <dcterms:modified xsi:type="dcterms:W3CDTF">2026-10-06T19:35:00Z</dcterms:modified>
</cp:coreProperties>
</file>