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46B60" w14:textId="77777777" w:rsidR="00593CF7" w:rsidRPr="00CA4DC7" w:rsidRDefault="00000000" w:rsidP="009F3F22">
      <w:pPr>
        <w:pStyle w:val="Title"/>
        <w:spacing w:before="4400"/>
      </w:pPr>
      <w:bookmarkStart w:id="0" w:name="_Toc121661929"/>
      <w:bookmarkStart w:id="1" w:name="_Toc43061727"/>
      <w:bookmarkStart w:id="2" w:name="_Toc43061814"/>
      <w:bookmarkStart w:id="3" w:name="_Toc43061895"/>
      <w:bookmarkStart w:id="4" w:name="_Toc45560996"/>
      <w:bookmarkStart w:id="5" w:name="_Toc46238071"/>
      <w:bookmarkStart w:id="6" w:name="_Toc51521498"/>
      <w:r>
        <w:t>AXIAN OCI Observability &amp; Management RFP Answers</w:t>
      </w:r>
    </w:p>
    <w:p w14:paraId="3D483B69" w14:textId="77777777" w:rsidR="00593CF7" w:rsidRPr="00CA4DC7" w:rsidRDefault="00000000" w:rsidP="00593CF7">
      <w:pPr>
        <w:pStyle w:val="Subtitle"/>
      </w:pPr>
      <w:r>
        <w:t>Scoped response extract</w:t>
      </w:r>
      <w:r>
        <w:br/>
        <w:t>OCI Observability &amp; Management services only</w:t>
      </w:r>
    </w:p>
    <w:p w14:paraId="171BF673" w14:textId="77777777" w:rsidR="00593CF7" w:rsidRPr="00CA4DC7" w:rsidRDefault="00214D31" w:rsidP="00593CF7">
      <w:pPr>
        <w:pStyle w:val="CoverdateandInfo"/>
      </w:pPr>
      <w:proofErr w:type="gramStart"/>
      <w:r>
        <w:t>August,</w:t>
      </w:r>
      <w:proofErr w:type="gramEnd"/>
      <w:r>
        <w:t xml:space="preserve"> 2026, Version 1.4</w:t>
      </w:r>
    </w:p>
    <w:p w14:paraId="26CA624F" w14:textId="77777777" w:rsidR="00593CF7" w:rsidRPr="00CA4DC7" w:rsidRDefault="00593CF7" w:rsidP="00593CF7">
      <w:pPr>
        <w:pStyle w:val="CoverdateandInfo"/>
      </w:pPr>
      <w:r>
        <w:t>Copyright © 2026, Oracle and/or its affiliates</w:t>
      </w:r>
    </w:p>
    <w:p w14:paraId="3D2A43F2" w14:textId="77777777" w:rsidR="00593CF7" w:rsidRPr="00CA4DC7" w:rsidRDefault="00000000" w:rsidP="00593CF7">
      <w:pPr>
        <w:pStyle w:val="Coverdropdown"/>
      </w:pPr>
      <w:r>
        <w:t>Confidential – Oracle Restricted</w:t>
      </w:r>
    </w:p>
    <w:p w14:paraId="197D6D30" w14:textId="77777777" w:rsidR="00BA4521" w:rsidRDefault="00BA4521" w:rsidP="00BA4521">
      <w:pPr>
        <w:pStyle w:val="CoverdateandInfo"/>
      </w:pPr>
    </w:p>
    <w:p w14:paraId="7BD28ED8" w14:textId="77777777" w:rsidR="00BA4521" w:rsidRPr="00374647" w:rsidRDefault="00BA4521" w:rsidP="00BA4521">
      <w:pPr>
        <w:pStyle w:val="CoverdateandInfo"/>
        <w:sectPr w:rsidR="00BA4521" w:rsidRPr="00374647" w:rsidSect="008B45C4">
          <w:headerReference w:type="even" r:id="rId12"/>
          <w:headerReference w:type="default" r:id="rId13"/>
          <w:footerReference w:type="even" r:id="rId14"/>
          <w:footerReference w:type="default" r:id="rId15"/>
          <w:headerReference w:type="first" r:id="rId16"/>
          <w:footerReference w:type="first" r:id="rId17"/>
          <w:pgSz w:w="12240" w:h="15840" w:code="1"/>
          <w:pgMar w:top="2880" w:right="720" w:bottom="1080" w:left="720" w:header="1080" w:footer="648" w:gutter="0"/>
          <w:cols w:space="720"/>
          <w:docGrid w:linePitch="360"/>
        </w:sectPr>
      </w:pPr>
    </w:p>
    <w:p w14:paraId="57BEEE73" w14:textId="77777777" w:rsidR="008F3240" w:rsidRPr="00535373" w:rsidRDefault="008F3240" w:rsidP="00535373">
      <w:pPr>
        <w:pStyle w:val="Heading1noTOC"/>
      </w:pPr>
      <w:bookmarkStart w:id="7" w:name="_Hlk128150743"/>
      <w:bookmarkStart w:id="8" w:name="_Toc46238006"/>
      <w:bookmarkStart w:id="9" w:name="_Toc52522162"/>
      <w:bookmarkStart w:id="10" w:name="_Toc127182436"/>
      <w:r w:rsidRPr="00535373">
        <w:lastRenderedPageBreak/>
        <w:t>Purpose statement</w:t>
      </w:r>
    </w:p>
    <w:p w14:paraId="52CEA6E4" w14:textId="77777777" w:rsidR="00467D2F" w:rsidRPr="00593CF7" w:rsidRDefault="00467D2F" w:rsidP="00467D2F">
      <w:r>
        <w:rPr>
          <w:rFonts w:ascii="Arial" w:hAnsi="Arial"/>
          <w:sz w:val="18"/>
        </w:rPr>
        <w:t>This scoped response contains only the RFP answers and bill of materials delivered by the Observability &amp; Security team through OCI Observability services. The target environment uses customer-managed Kubernetes, so no managed Kubernetes service is assumed. Cross-product assurance, ITSM, database-management, networking, security-platform and AI-agent implementation are outside this document and are referenced only as external interfaces where necessary.</w:t>
      </w:r>
    </w:p>
    <w:bookmarkEnd w:id="7"/>
    <w:p w14:paraId="5CE54EFF" w14:textId="77777777" w:rsidR="008F3240" w:rsidRPr="00535373" w:rsidRDefault="008F3240" w:rsidP="00535373">
      <w:pPr>
        <w:pStyle w:val="Heading1noTOC"/>
      </w:pPr>
      <w:r w:rsidRPr="00535373">
        <w:t>Disclaimer</w:t>
      </w:r>
    </w:p>
    <w:bookmarkEnd w:id="8"/>
    <w:bookmarkEnd w:id="9"/>
    <w:bookmarkEnd w:id="10"/>
    <w:p w14:paraId="64146221" w14:textId="77777777" w:rsidR="00007556" w:rsidRDefault="00007556" w:rsidP="00007556">
      <w:r>
        <w:t xml:space="preserve">This document in any form, software or printed matter, contains proprietary information that is the exclusive property of Oracle. Your access to and use of this confidential material is subject to the terms and conditions of your Oracle software license and service agreement, which has been executed and with which you agree to comply. This document and information contained herein may not be disclosed, copied, reproduced or distributed to anyone outside Oracle without prior written consent of Oracle. This document is not part of your license </w:t>
      </w:r>
      <w:proofErr w:type="gramStart"/>
      <w:r>
        <w:t>agreement</w:t>
      </w:r>
      <w:proofErr w:type="gramEnd"/>
      <w:r>
        <w:t xml:space="preserve"> nor can it be incorporated into any contractual agreement with Oracle or its subsidiaries or affiliates.</w:t>
      </w:r>
    </w:p>
    <w:p w14:paraId="7D056F7D" w14:textId="77777777" w:rsidR="00007556" w:rsidRDefault="00007556" w:rsidP="00007556">
      <w:r>
        <w:t>This document is for informational purposes only and is intended solely to assist you in planning for the implementation and upgrade of the product features described. It is not a commitment to deliver any material, code, or functionality, and should not be relied upon in making purchasing decisions. The development, release, timing, and pricing of any features or functionality described in this document remains at the sole discretion of Oracle. Due to the nature of the product architecture, it may not be possible to safely include all features described in this document without risking significant destabilization of the code.</w:t>
      </w:r>
    </w:p>
    <w:p w14:paraId="54931701" w14:textId="77777777" w:rsidR="006F25D1" w:rsidRDefault="006F25D1" w:rsidP="00007556"/>
    <w:p w14:paraId="29E6604D" w14:textId="77777777" w:rsidR="00743633" w:rsidRDefault="00000000">
      <w:pPr>
        <w:pStyle w:val="Heading1noTOC"/>
      </w:pPr>
      <w:r>
        <w:t>Contents</w:t>
      </w:r>
    </w:p>
    <w:p w14:paraId="060922C6" w14:textId="77777777" w:rsidR="00743633" w:rsidRDefault="00000000">
      <w:r>
        <w:rPr>
          <w:sz w:val="20"/>
        </w:rPr>
        <w:t>1. Executive summary</w:t>
      </w:r>
    </w:p>
    <w:p w14:paraId="2787AD45" w14:textId="77777777" w:rsidR="00512A22" w:rsidRDefault="00000000">
      <w:pPr>
        <w:pStyle w:val="Heading1"/>
      </w:pPr>
      <w:r>
        <w:t>Latest customer answers incorporated — 31 July 2026</w:t>
      </w:r>
    </w:p>
    <w:p w14:paraId="1B0EF168" w14:textId="77777777" w:rsidR="00512A22" w:rsidRDefault="00000000">
      <w:r>
        <w:t>The following confirmed inputs supersede earlier generic assumptions. Conflicting values are retained as ranges and unanswered fields remain discovery/PoV gates; they are not converted into unsupported production or commercial commitments.</w:t>
      </w:r>
    </w:p>
    <w:tbl>
      <w:tblPr>
        <w:tblStyle w:val="TableGrid"/>
        <w:tblW w:w="0" w:type="auto"/>
        <w:tblLook w:val="04A0" w:firstRow="1" w:lastRow="0" w:firstColumn="1" w:lastColumn="0" w:noHBand="0" w:noVBand="1"/>
      </w:tblPr>
      <w:tblGrid>
        <w:gridCol w:w="2880"/>
        <w:gridCol w:w="2880"/>
        <w:gridCol w:w="2880"/>
      </w:tblGrid>
      <w:tr w:rsidR="00512A22" w14:paraId="3E24A371" w14:textId="77777777">
        <w:tc>
          <w:tcPr>
            <w:tcW w:w="2880" w:type="dxa"/>
            <w:shd w:val="clear" w:color="auto" w:fill="312D2A"/>
          </w:tcPr>
          <w:p w14:paraId="274FE53F" w14:textId="77777777" w:rsidR="00512A22" w:rsidRDefault="00000000">
            <w:r>
              <w:rPr>
                <w:rFonts w:ascii="Aptos" w:hAnsi="Aptos"/>
                <w:b/>
                <w:color w:val="FFFFFF"/>
                <w:sz w:val="16"/>
              </w:rPr>
              <w:t>Input</w:t>
            </w:r>
          </w:p>
        </w:tc>
        <w:tc>
          <w:tcPr>
            <w:tcW w:w="2880" w:type="dxa"/>
            <w:shd w:val="clear" w:color="auto" w:fill="312D2A"/>
          </w:tcPr>
          <w:p w14:paraId="3F1A59C9" w14:textId="77777777" w:rsidR="00512A22" w:rsidRDefault="00000000">
            <w:r>
              <w:rPr>
                <w:rFonts w:ascii="Aptos" w:hAnsi="Aptos"/>
                <w:b/>
                <w:color w:val="FFFFFF"/>
                <w:sz w:val="16"/>
              </w:rPr>
              <w:t>Latest answer</w:t>
            </w:r>
          </w:p>
        </w:tc>
        <w:tc>
          <w:tcPr>
            <w:tcW w:w="2880" w:type="dxa"/>
            <w:shd w:val="clear" w:color="auto" w:fill="312D2A"/>
          </w:tcPr>
          <w:p w14:paraId="70F33AD3" w14:textId="77777777" w:rsidR="00512A22" w:rsidRDefault="00000000">
            <w:r>
              <w:rPr>
                <w:rFonts w:ascii="Aptos" w:hAnsi="Aptos"/>
                <w:b/>
                <w:color w:val="FFFFFF"/>
                <w:sz w:val="16"/>
              </w:rPr>
              <w:t>Solution consequence</w:t>
            </w:r>
          </w:p>
        </w:tc>
      </w:tr>
      <w:tr w:rsidR="00512A22" w14:paraId="0DDA3772" w14:textId="77777777">
        <w:tc>
          <w:tcPr>
            <w:tcW w:w="2880" w:type="dxa"/>
            <w:shd w:val="clear" w:color="auto" w:fill="FFFFFF"/>
          </w:tcPr>
          <w:p w14:paraId="1E9F0A62" w14:textId="77777777" w:rsidR="00512A22" w:rsidRDefault="00000000">
            <w:r>
              <w:rPr>
                <w:rFonts w:ascii="Aptos" w:hAnsi="Aptos"/>
                <w:color w:val="312D2A"/>
                <w:sz w:val="16"/>
              </w:rPr>
              <w:t>Deployment / delivery</w:t>
            </w:r>
          </w:p>
        </w:tc>
        <w:tc>
          <w:tcPr>
            <w:tcW w:w="2880" w:type="dxa"/>
            <w:shd w:val="clear" w:color="auto" w:fill="FFFFFF"/>
          </w:tcPr>
          <w:p w14:paraId="565E0D65" w14:textId="77777777" w:rsidR="00512A22" w:rsidRDefault="00000000">
            <w:r>
              <w:rPr>
                <w:rFonts w:ascii="Aptos" w:hAnsi="Aptos"/>
                <w:color w:val="312D2A"/>
                <w:sz w:val="16"/>
              </w:rPr>
              <w:t>Production plus non-production on demand; internal-cloud/hybrid preferred; restricted/air-gapped sites required; three-month target; Senegal is the indicated pilot candidate.</w:t>
            </w:r>
          </w:p>
        </w:tc>
        <w:tc>
          <w:tcPr>
            <w:tcW w:w="2880" w:type="dxa"/>
            <w:shd w:val="clear" w:color="auto" w:fill="FFFFFF"/>
          </w:tcPr>
          <w:p w14:paraId="7134B394" w14:textId="77777777" w:rsidR="00512A22" w:rsidRDefault="00000000">
            <w:r>
              <w:rPr>
                <w:rFonts w:ascii="Aptos" w:hAnsi="Aptos"/>
                <w:color w:val="312D2A"/>
                <w:sz w:val="16"/>
              </w:rPr>
              <w:t>Use a bounded Phase 1 and onboarding factory. Validate each OPCO connectivity and residency pattern.</w:t>
            </w:r>
          </w:p>
        </w:tc>
      </w:tr>
      <w:tr w:rsidR="00512A22" w14:paraId="70851857" w14:textId="77777777">
        <w:tc>
          <w:tcPr>
            <w:tcW w:w="2880" w:type="dxa"/>
            <w:shd w:val="clear" w:color="auto" w:fill="F3F2F1"/>
          </w:tcPr>
          <w:p w14:paraId="078DBB80" w14:textId="77777777" w:rsidR="00512A22" w:rsidRDefault="00000000">
            <w:r>
              <w:rPr>
                <w:rFonts w:ascii="Aptos" w:hAnsi="Aptos"/>
                <w:color w:val="312D2A"/>
                <w:sz w:val="16"/>
              </w:rPr>
              <w:t>Footprint</w:t>
            </w:r>
          </w:p>
        </w:tc>
        <w:tc>
          <w:tcPr>
            <w:tcW w:w="2880" w:type="dxa"/>
            <w:shd w:val="clear" w:color="auto" w:fill="F3F2F1"/>
          </w:tcPr>
          <w:p w14:paraId="635EE1FC" w14:textId="77777777" w:rsidR="00512A22" w:rsidRDefault="00000000">
            <w:r>
              <w:rPr>
                <w:rFonts w:ascii="Aptos" w:hAnsi="Aptos"/>
                <w:color w:val="312D2A"/>
                <w:sz w:val="16"/>
              </w:rPr>
              <w:t>5 YAS OPCOs, 3 Stellar-IX, 5 MIX/Fintech and 7 YAS Fiber operations across 11 countries.</w:t>
            </w:r>
          </w:p>
        </w:tc>
        <w:tc>
          <w:tcPr>
            <w:tcW w:w="2880" w:type="dxa"/>
            <w:shd w:val="clear" w:color="auto" w:fill="F3F2F1"/>
          </w:tcPr>
          <w:p w14:paraId="4A105B23" w14:textId="77777777" w:rsidR="00512A22" w:rsidRDefault="00000000">
            <w:r>
              <w:rPr>
                <w:rFonts w:ascii="Aptos" w:hAnsi="Aptos"/>
                <w:color w:val="312D2A"/>
                <w:sz w:val="16"/>
              </w:rPr>
              <w:t>Confirm legal entities, tenants and country data zones; do not automatically interpret the business count as twenty platform tenants.</w:t>
            </w:r>
          </w:p>
        </w:tc>
      </w:tr>
      <w:tr w:rsidR="00512A22" w14:paraId="456F5D9D" w14:textId="77777777">
        <w:tc>
          <w:tcPr>
            <w:tcW w:w="2880" w:type="dxa"/>
            <w:shd w:val="clear" w:color="auto" w:fill="FFFFFF"/>
          </w:tcPr>
          <w:p w14:paraId="3D03BE83" w14:textId="77777777" w:rsidR="00512A22" w:rsidRDefault="00000000">
            <w:r>
              <w:rPr>
                <w:rFonts w:ascii="Aptos" w:hAnsi="Aptos"/>
                <w:color w:val="312D2A"/>
                <w:sz w:val="16"/>
              </w:rPr>
              <w:t>Scale / growth</w:t>
            </w:r>
          </w:p>
        </w:tc>
        <w:tc>
          <w:tcPr>
            <w:tcW w:w="2880" w:type="dxa"/>
            <w:shd w:val="clear" w:color="auto" w:fill="FFFFFF"/>
          </w:tcPr>
          <w:p w14:paraId="53B079A3" w14:textId="77777777" w:rsidR="00512A22" w:rsidRDefault="00000000">
            <w:r>
              <w:rPr>
                <w:rFonts w:ascii="Aptos" w:hAnsi="Aptos"/>
                <w:color w:val="312D2A"/>
                <w:sz w:val="16"/>
              </w:rPr>
              <w:t>40–100/120 apps per entity; 40–100 physical servers and 300–2,000 VMs; 15–25% entity growth and 15–20% network growth.</w:t>
            </w:r>
          </w:p>
        </w:tc>
        <w:tc>
          <w:tcPr>
            <w:tcW w:w="2880" w:type="dxa"/>
            <w:shd w:val="clear" w:color="auto" w:fill="FFFFFF"/>
          </w:tcPr>
          <w:p w14:paraId="34373815" w14:textId="77777777" w:rsidR="00512A22" w:rsidRDefault="00000000">
            <w:r>
              <w:rPr>
                <w:rFonts w:ascii="Aptos" w:hAnsi="Aptos"/>
                <w:color w:val="312D2A"/>
                <w:sz w:val="16"/>
              </w:rPr>
              <w:t>Carry ranges until discovery; provide elastic sizing and commercial levers.</w:t>
            </w:r>
          </w:p>
        </w:tc>
      </w:tr>
      <w:tr w:rsidR="00512A22" w14:paraId="26F0FBED" w14:textId="77777777">
        <w:tc>
          <w:tcPr>
            <w:tcW w:w="2880" w:type="dxa"/>
            <w:shd w:val="clear" w:color="auto" w:fill="F3F2F1"/>
          </w:tcPr>
          <w:p w14:paraId="5C671DA9" w14:textId="77777777" w:rsidR="00512A22" w:rsidRDefault="00000000">
            <w:r>
              <w:rPr>
                <w:rFonts w:ascii="Aptos" w:hAnsi="Aptos"/>
                <w:color w:val="312D2A"/>
                <w:sz w:val="16"/>
              </w:rPr>
              <w:t>Volume / retention</w:t>
            </w:r>
          </w:p>
        </w:tc>
        <w:tc>
          <w:tcPr>
            <w:tcW w:w="2880" w:type="dxa"/>
            <w:shd w:val="clear" w:color="auto" w:fill="F3F2F1"/>
          </w:tcPr>
          <w:p w14:paraId="7AE9BD20" w14:textId="77777777" w:rsidR="00512A22" w:rsidRDefault="00000000">
            <w:r>
              <w:rPr>
                <w:rFonts w:ascii="Aptos" w:hAnsi="Aptos"/>
                <w:color w:val="312D2A"/>
                <w:sz w:val="16"/>
              </w:rPr>
              <w:t>Indicative average 2 TB/day; 6–12 months for full/low-resolution telemetry, logs/events, KPIs and tickets; one month minimum AI history.</w:t>
            </w:r>
          </w:p>
        </w:tc>
        <w:tc>
          <w:tcPr>
            <w:tcW w:w="2880" w:type="dxa"/>
            <w:shd w:val="clear" w:color="auto" w:fill="F3F2F1"/>
          </w:tcPr>
          <w:p w14:paraId="74096191" w14:textId="77777777" w:rsidR="00512A22" w:rsidRDefault="00000000">
            <w:r>
              <w:rPr>
                <w:rFonts w:ascii="Aptos" w:hAnsi="Aptos"/>
                <w:color w:val="312D2A"/>
                <w:sz w:val="16"/>
              </w:rPr>
              <w:t>Partial until 2 TB/day scope and data-class split are measured. Tier hot analytics and archive by residency zone.</w:t>
            </w:r>
          </w:p>
        </w:tc>
      </w:tr>
      <w:tr w:rsidR="00512A22" w14:paraId="4CA3F284" w14:textId="77777777">
        <w:tc>
          <w:tcPr>
            <w:tcW w:w="2880" w:type="dxa"/>
            <w:shd w:val="clear" w:color="auto" w:fill="FFFFFF"/>
          </w:tcPr>
          <w:p w14:paraId="05FD7D81" w14:textId="77777777" w:rsidR="00512A22" w:rsidRDefault="00000000">
            <w:r>
              <w:rPr>
                <w:rFonts w:ascii="Aptos" w:hAnsi="Aptos"/>
                <w:color w:val="312D2A"/>
                <w:sz w:val="16"/>
              </w:rPr>
              <w:t>Continuity</w:t>
            </w:r>
          </w:p>
        </w:tc>
        <w:tc>
          <w:tcPr>
            <w:tcW w:w="2880" w:type="dxa"/>
            <w:shd w:val="clear" w:color="auto" w:fill="FFFFFF"/>
          </w:tcPr>
          <w:p w14:paraId="68C47F80" w14:textId="77777777" w:rsidR="00512A22" w:rsidRDefault="00000000">
            <w:r>
              <w:rPr>
                <w:rFonts w:ascii="Aptos" w:hAnsi="Aptos"/>
                <w:color w:val="312D2A"/>
                <w:sz w:val="16"/>
              </w:rPr>
              <w:t>HA mandatory; RTO 4 hours; RPO 5–15 minutes; main/DR distance 25–100 km depending on site.</w:t>
            </w:r>
          </w:p>
        </w:tc>
        <w:tc>
          <w:tcPr>
            <w:tcW w:w="2880" w:type="dxa"/>
            <w:shd w:val="clear" w:color="auto" w:fill="FFFFFF"/>
          </w:tcPr>
          <w:p w14:paraId="555C2FD5" w14:textId="77777777" w:rsidR="00512A22" w:rsidRDefault="00000000">
            <w:r>
              <w:rPr>
                <w:rFonts w:ascii="Aptos" w:hAnsi="Aptos"/>
                <w:color w:val="312D2A"/>
                <w:sz w:val="16"/>
              </w:rPr>
              <w:t>Design component-specific replication and test restore, failover, replay and data loss.</w:t>
            </w:r>
          </w:p>
        </w:tc>
      </w:tr>
      <w:tr w:rsidR="00512A22" w14:paraId="179DA6F0" w14:textId="77777777">
        <w:tc>
          <w:tcPr>
            <w:tcW w:w="2880" w:type="dxa"/>
            <w:shd w:val="clear" w:color="auto" w:fill="F3F2F1"/>
          </w:tcPr>
          <w:p w14:paraId="489BA09F" w14:textId="77777777" w:rsidR="00512A22" w:rsidRDefault="00000000">
            <w:r>
              <w:rPr>
                <w:rFonts w:ascii="Aptos" w:hAnsi="Aptos"/>
                <w:color w:val="312D2A"/>
                <w:sz w:val="16"/>
              </w:rPr>
              <w:lastRenderedPageBreak/>
              <w:t>Apps / databases</w:t>
            </w:r>
          </w:p>
        </w:tc>
        <w:tc>
          <w:tcPr>
            <w:tcW w:w="2880" w:type="dxa"/>
            <w:shd w:val="clear" w:color="auto" w:fill="F3F2F1"/>
          </w:tcPr>
          <w:p w14:paraId="156DD878" w14:textId="77777777" w:rsidR="00512A22" w:rsidRDefault="00000000">
            <w:r>
              <w:rPr>
                <w:rFonts w:ascii="Aptos" w:hAnsi="Aptos"/>
                <w:color w:val="312D2A"/>
                <w:sz w:val="16"/>
              </w:rPr>
              <w:t>Java, .NET and PHP; Oracle, SQL Server, PostgreSQL and MariaDB; AWS, Azure and OCI.</w:t>
            </w:r>
          </w:p>
        </w:tc>
        <w:tc>
          <w:tcPr>
            <w:tcW w:w="2880" w:type="dxa"/>
            <w:shd w:val="clear" w:color="auto" w:fill="F3F2F1"/>
          </w:tcPr>
          <w:p w14:paraId="32162BDE" w14:textId="77777777" w:rsidR="00512A22" w:rsidRDefault="00000000">
            <w:r>
              <w:rPr>
                <w:rFonts w:ascii="Aptos" w:hAnsi="Aptos"/>
                <w:color w:val="312D2A"/>
                <w:sz w:val="16"/>
              </w:rPr>
              <w:t>OCI APM/</w:t>
            </w:r>
            <w:proofErr w:type="spellStart"/>
            <w:r>
              <w:rPr>
                <w:rFonts w:ascii="Aptos" w:hAnsi="Aptos"/>
                <w:color w:val="312D2A"/>
                <w:sz w:val="16"/>
              </w:rPr>
              <w:t>OTel</w:t>
            </w:r>
            <w:proofErr w:type="spellEnd"/>
            <w:r>
              <w:rPr>
                <w:rFonts w:ascii="Aptos" w:hAnsi="Aptos"/>
                <w:color w:val="312D2A"/>
                <w:sz w:val="16"/>
              </w:rPr>
              <w:t xml:space="preserve"> for priority journeys; DBM/OPSI conditional for supported targets; preserve product-native tools.</w:t>
            </w:r>
          </w:p>
        </w:tc>
      </w:tr>
      <w:tr w:rsidR="00512A22" w14:paraId="3A5C12C2" w14:textId="77777777">
        <w:tc>
          <w:tcPr>
            <w:tcW w:w="2880" w:type="dxa"/>
            <w:shd w:val="clear" w:color="auto" w:fill="FFFFFF"/>
          </w:tcPr>
          <w:p w14:paraId="1619FD03" w14:textId="77777777" w:rsidR="00512A22" w:rsidRDefault="00000000">
            <w:r>
              <w:rPr>
                <w:rFonts w:ascii="Aptos" w:hAnsi="Aptos"/>
                <w:color w:val="312D2A"/>
                <w:sz w:val="16"/>
              </w:rPr>
              <w:t>Containers</w:t>
            </w:r>
          </w:p>
        </w:tc>
        <w:tc>
          <w:tcPr>
            <w:tcW w:w="2880" w:type="dxa"/>
            <w:shd w:val="clear" w:color="auto" w:fill="FFFFFF"/>
          </w:tcPr>
          <w:p w14:paraId="7E0C1BED" w14:textId="77777777" w:rsidR="00512A22" w:rsidRDefault="00000000">
            <w:r>
              <w:rPr>
                <w:rFonts w:ascii="Aptos" w:hAnsi="Aptos"/>
                <w:color w:val="312D2A"/>
                <w:sz w:val="16"/>
              </w:rPr>
              <w:t xml:space="preserve">Tanzu/VKS, EKS, OpenShift and other platforms; exact nodes/pods unanswered; full tracing expected and </w:t>
            </w:r>
            <w:proofErr w:type="spellStart"/>
            <w:r>
              <w:rPr>
                <w:rFonts w:ascii="Aptos" w:hAnsi="Aptos"/>
                <w:color w:val="312D2A"/>
                <w:sz w:val="16"/>
              </w:rPr>
              <w:t>OTel</w:t>
            </w:r>
            <w:proofErr w:type="spellEnd"/>
            <w:r>
              <w:rPr>
                <w:rFonts w:ascii="Aptos" w:hAnsi="Aptos"/>
                <w:color w:val="312D2A"/>
                <w:sz w:val="16"/>
              </w:rPr>
              <w:t xml:space="preserve"> planned.</w:t>
            </w:r>
          </w:p>
        </w:tc>
        <w:tc>
          <w:tcPr>
            <w:tcW w:w="2880" w:type="dxa"/>
            <w:shd w:val="clear" w:color="auto" w:fill="FFFFFF"/>
          </w:tcPr>
          <w:p w14:paraId="31984A03" w14:textId="77777777" w:rsidR="007C3E8F" w:rsidRDefault="00000000">
            <w:r>
              <w:t>Manual Log Analytics Kubernetes Monitoring Solution deployment plus APM/OpenTelemetry and approved log/metric collection after compatibility, access and volume validation.</w:t>
            </w:r>
          </w:p>
        </w:tc>
      </w:tr>
      <w:tr w:rsidR="00512A22" w14:paraId="44FEEE21" w14:textId="77777777">
        <w:tc>
          <w:tcPr>
            <w:tcW w:w="2880" w:type="dxa"/>
            <w:shd w:val="clear" w:color="auto" w:fill="F3F2F1"/>
          </w:tcPr>
          <w:p w14:paraId="794862C2" w14:textId="77777777" w:rsidR="00512A22" w:rsidRDefault="00000000">
            <w:r>
              <w:rPr>
                <w:rFonts w:ascii="Aptos" w:hAnsi="Aptos"/>
                <w:color w:val="312D2A"/>
                <w:sz w:val="16"/>
              </w:rPr>
              <w:t>Identity / privacy</w:t>
            </w:r>
          </w:p>
        </w:tc>
        <w:tc>
          <w:tcPr>
            <w:tcW w:w="2880" w:type="dxa"/>
            <w:shd w:val="clear" w:color="auto" w:fill="F3F2F1"/>
          </w:tcPr>
          <w:p w14:paraId="690194D9" w14:textId="77777777" w:rsidR="00512A22" w:rsidRDefault="00000000">
            <w:r>
              <w:rPr>
                <w:rFonts w:ascii="Aptos" w:hAnsi="Aptos"/>
                <w:color w:val="312D2A"/>
                <w:sz w:val="16"/>
              </w:rPr>
              <w:t>AD/Azure SSO, MFA, role federation and audit export; OPCO owns data, Group needs access; PII stays in-country or is masked.</w:t>
            </w:r>
          </w:p>
        </w:tc>
        <w:tc>
          <w:tcPr>
            <w:tcW w:w="2880" w:type="dxa"/>
            <w:shd w:val="clear" w:color="auto" w:fill="F3F2F1"/>
          </w:tcPr>
          <w:p w14:paraId="7CB84A14" w14:textId="77777777" w:rsidR="00512A22" w:rsidRDefault="00000000">
            <w:r>
              <w:rPr>
                <w:rFonts w:ascii="Aptos" w:hAnsi="Aptos"/>
                <w:color w:val="312D2A"/>
                <w:sz w:val="16"/>
              </w:rPr>
              <w:t>Federated IAM and residency-aware collection, masking, retention and access.</w:t>
            </w:r>
          </w:p>
        </w:tc>
      </w:tr>
      <w:tr w:rsidR="00512A22" w14:paraId="0C4FEE06" w14:textId="77777777">
        <w:tc>
          <w:tcPr>
            <w:tcW w:w="2880" w:type="dxa"/>
            <w:shd w:val="clear" w:color="auto" w:fill="F3F2F1"/>
          </w:tcPr>
          <w:p w14:paraId="0302546A" w14:textId="77777777" w:rsidR="00512A22" w:rsidRDefault="00000000">
            <w:r>
              <w:rPr>
                <w:rFonts w:ascii="Aptos" w:hAnsi="Aptos"/>
                <w:color w:val="312D2A"/>
                <w:sz w:val="16"/>
              </w:rPr>
              <w:t>Autonomy</w:t>
            </w:r>
          </w:p>
        </w:tc>
        <w:tc>
          <w:tcPr>
            <w:tcW w:w="2880" w:type="dxa"/>
            <w:shd w:val="clear" w:color="auto" w:fill="F3F2F1"/>
          </w:tcPr>
          <w:p w14:paraId="0B6D139E" w14:textId="77777777" w:rsidR="00512A22" w:rsidRDefault="00000000">
            <w:r>
              <w:rPr>
                <w:rFonts w:ascii="Aptos" w:hAnsi="Aptos"/>
                <w:color w:val="312D2A"/>
                <w:sz w:val="16"/>
              </w:rPr>
              <w:t>Zero-touch Dark NOC/full autonomy expected; zero false positives is an aspiration; existing rules must migrate and runbooks vary.</w:t>
            </w:r>
          </w:p>
        </w:tc>
        <w:tc>
          <w:tcPr>
            <w:tcW w:w="2880" w:type="dxa"/>
            <w:shd w:val="clear" w:color="auto" w:fill="F3F2F1"/>
          </w:tcPr>
          <w:p w14:paraId="72965536" w14:textId="77777777" w:rsidR="00512A22" w:rsidRDefault="00000000">
            <w:r>
              <w:rPr>
                <w:rFonts w:ascii="Arial" w:hAnsi="Arial"/>
                <w:sz w:val="18"/>
              </w:rPr>
              <w:t>Partial/phased: external assurance deterministic correlation plus dedicated OCI GenAI agent. No blanket autonomy or accuracy guarantee; actions remain bounded, reversible and audited.</w:t>
            </w:r>
          </w:p>
        </w:tc>
      </w:tr>
    </w:tbl>
    <w:p w14:paraId="716B18A5" w14:textId="77777777" w:rsidR="00512A22" w:rsidRDefault="00000000">
      <w:pPr>
        <w:pStyle w:val="Heading2"/>
      </w:pPr>
      <w:r>
        <w:t>Key response decisions</w:t>
      </w:r>
    </w:p>
    <w:p w14:paraId="349D622F" w14:textId="77777777" w:rsidR="00512A22" w:rsidRDefault="00000000">
      <w:pPr>
        <w:pStyle w:val="ListBullet"/>
      </w:pPr>
      <w:r>
        <w:rPr>
          <w:rFonts w:ascii="Arial" w:hAnsi="Arial"/>
          <w:sz w:val="18"/>
        </w:rPr>
        <w:t>One external ITSM integration exists, but its product, licensing, workflow and operations are outside this OCI Observability response.</w:t>
      </w:r>
    </w:p>
    <w:p w14:paraId="14CC82AA" w14:textId="77777777" w:rsidR="00512A22" w:rsidRDefault="00000000">
      <w:pPr>
        <w:pStyle w:val="ListBullet"/>
      </w:pPr>
      <w:r>
        <w:rPr>
          <w:rFonts w:ascii="Arial" w:hAnsi="Arial"/>
          <w:sz w:val="18"/>
        </w:rPr>
        <w:t>OCI Log Analytics Kubernetes Monitoring Solution is proposed for customer-managed Kubernetes using the documented manual Helm/manifests deployment path and platform-specific validation.</w:t>
      </w:r>
    </w:p>
    <w:p w14:paraId="04BD6238" w14:textId="77777777" w:rsidR="00512A22" w:rsidRDefault="00000000">
      <w:pPr>
        <w:pStyle w:val="ListBullet"/>
      </w:pPr>
      <w:r>
        <w:t>The 2 TB/day input is indicative and ambiguous; no fixed OCI consumption or capacity claim is made until source-rate and retention measurements are complete.</w:t>
      </w:r>
    </w:p>
    <w:p w14:paraId="706DA322" w14:textId="77777777" w:rsidR="00512A22" w:rsidRDefault="00000000">
      <w:pPr>
        <w:pStyle w:val="ListBullet"/>
      </w:pPr>
      <w:r>
        <w:t xml:space="preserve">The zero-touch ambition is a phased target. </w:t>
      </w:r>
      <w:proofErr w:type="spellStart"/>
      <w:r>
        <w:t>LoganAI</w:t>
      </w:r>
      <w:proofErr w:type="spellEnd"/>
      <w:r>
        <w:t xml:space="preserve"> is analytical assistance; a dedicated governed OCI GenAI agent requires the OCI AI Team (Alex Negrea).</w:t>
      </w:r>
    </w:p>
    <w:p w14:paraId="3918304F" w14:textId="77777777" w:rsidR="00512A22" w:rsidRDefault="00000000">
      <w:pPr>
        <w:pStyle w:val="ListBullet"/>
      </w:pPr>
      <w:r>
        <w:rPr>
          <w:rFonts w:ascii="Arial" w:hAnsi="Arial"/>
          <w:sz w:val="18"/>
        </w:rPr>
        <w:t>No Operations involvement is required by this scoped OCI Observability response. Product teams own their platforms, access, remediation and external workflows.</w:t>
      </w:r>
    </w:p>
    <w:p w14:paraId="7002222F" w14:textId="77777777" w:rsidR="00512A22" w:rsidRDefault="00000000">
      <w:pPr>
        <w:pStyle w:val="ListBullet"/>
      </w:pPr>
      <w:r>
        <w:t>Product-specific telemetry quality, access and remediation remain with the teams operating those products; this response covers the Observability &amp; Security complement.</w:t>
      </w:r>
    </w:p>
    <w:p w14:paraId="1CE65CF6" w14:textId="77777777" w:rsidR="00743633" w:rsidRDefault="00000000">
      <w:r>
        <w:rPr>
          <w:sz w:val="20"/>
        </w:rPr>
        <w:t>2. OCI service architecture fit</w:t>
      </w:r>
    </w:p>
    <w:p w14:paraId="4C8914D2" w14:textId="77777777" w:rsidR="00743633" w:rsidRDefault="00000000">
      <w:r>
        <w:rPr>
          <w:sz w:val="20"/>
        </w:rPr>
        <w:t>3. Extracted RFP requirements and answers</w:t>
      </w:r>
    </w:p>
    <w:p w14:paraId="41F092C2" w14:textId="77777777" w:rsidR="00743633" w:rsidRDefault="00000000">
      <w:r>
        <w:rPr>
          <w:rFonts w:ascii="Arial" w:hAnsi="Arial"/>
          <w:sz w:val="18"/>
        </w:rPr>
        <w:t>4. Customer-managed Kubernetes monitoring answer</w:t>
      </w:r>
    </w:p>
    <w:p w14:paraId="453AE77B" w14:textId="77777777" w:rsidR="00743633" w:rsidRDefault="00000000">
      <w:r>
        <w:rPr>
          <w:sz w:val="20"/>
        </w:rPr>
        <w:t xml:space="preserve">5. </w:t>
      </w:r>
      <w:proofErr w:type="spellStart"/>
      <w:r>
        <w:rPr>
          <w:sz w:val="20"/>
        </w:rPr>
        <w:t>LoganAI</w:t>
      </w:r>
      <w:proofErr w:type="spellEnd"/>
      <w:r>
        <w:rPr>
          <w:sz w:val="20"/>
        </w:rPr>
        <w:t xml:space="preserve"> versus the required agent</w:t>
      </w:r>
    </w:p>
    <w:p w14:paraId="7FCF2CB3" w14:textId="77777777" w:rsidR="00743633" w:rsidRDefault="00000000">
      <w:r>
        <w:rPr>
          <w:sz w:val="20"/>
        </w:rPr>
        <w:t>6. OOTB gaps requiring CSS, partner or product-team development</w:t>
      </w:r>
    </w:p>
    <w:p w14:paraId="49F2D91F" w14:textId="77777777" w:rsidR="00743633" w:rsidRDefault="00000000">
      <w:r>
        <w:rPr>
          <w:rFonts w:ascii="Arial" w:hAnsi="Arial"/>
          <w:sz w:val="18"/>
        </w:rPr>
        <w:t>7. OCI Observability bill of materials (BOM)</w:t>
      </w:r>
    </w:p>
    <w:p w14:paraId="04804B1D" w14:textId="77777777" w:rsidR="007C3E8F" w:rsidRDefault="00000000">
      <w:r>
        <w:rPr>
          <w:rFonts w:ascii="Arial" w:hAnsi="Arial"/>
          <w:sz w:val="18"/>
        </w:rPr>
        <w:t>8. Implementation documentation and supporting references</w:t>
      </w:r>
    </w:p>
    <w:p w14:paraId="48CE4AA3" w14:textId="77777777" w:rsidR="00743633" w:rsidRDefault="00743633"/>
    <w:p w14:paraId="2D122469" w14:textId="77777777" w:rsidR="00743633" w:rsidRDefault="00000000">
      <w:pPr>
        <w:pStyle w:val="Smalltext"/>
      </w:pPr>
      <w:r>
        <w:t>RFP: AXIAN-IT &amp; Network-OBS-2026</w:t>
      </w:r>
    </w:p>
    <w:p w14:paraId="2C0B97C7" w14:textId="77777777" w:rsidR="00743633" w:rsidRDefault="00000000">
      <w:r>
        <w:rPr>
          <w:rFonts w:ascii="Arial" w:hAnsi="Arial"/>
          <w:sz w:val="18"/>
        </w:rPr>
        <w:t xml:space="preserve">Scope of this extract: only responses materially delivered by OCI Observability services and the Observability &amp; Security team. Assurance, ITSM, database-management, network/security platform and other product components are excluded from the solution BOM and implementation scope. Product teams remain accountable for their platforms, access, instrumentation, </w:t>
      </w:r>
      <w:r>
        <w:rPr>
          <w:rFonts w:ascii="Arial" w:hAnsi="Arial"/>
          <w:sz w:val="18"/>
        </w:rPr>
        <w:lastRenderedPageBreak/>
        <w:t>remediation and external workflows. OCI AI Team (Alex Negrea) owns any optional dedicated GenAI incident coordinator. Status convention: Compliant means a documented OCI service supplies the stated capability when configured; Partial means discovery, custom telemetry, product-team input, sizing or PoV evidence is still required.</w:t>
      </w:r>
    </w:p>
    <w:p w14:paraId="53CA79A5" w14:textId="77777777" w:rsidR="00743633" w:rsidRDefault="00000000">
      <w:pPr>
        <w:pStyle w:val="Heading1"/>
      </w:pPr>
      <w:r>
        <w:t>1. Executive summary</w:t>
      </w:r>
    </w:p>
    <w:p w14:paraId="19A98C4E" w14:textId="77777777" w:rsidR="00743633" w:rsidRDefault="00000000">
      <w:r>
        <w:rPr>
          <w:rFonts w:ascii="Arial" w:hAnsi="Arial"/>
          <w:sz w:val="18"/>
        </w:rPr>
        <w:t>OCI Observability provides the central telemetry, analysis and alerting layer for the application, API, Kubernetes and supported hybrid visibility gaps identified in the RFP.</w:t>
      </w:r>
    </w:p>
    <w:p w14:paraId="18784C41" w14:textId="77777777" w:rsidR="00743633" w:rsidRDefault="00000000">
      <w:pPr>
        <w:pStyle w:val="Smallbullet"/>
      </w:pPr>
      <w:r>
        <w:rPr>
          <w:rFonts w:ascii="Arial" w:hAnsi="Arial"/>
          <w:sz w:val="18"/>
        </w:rPr>
        <w:t>OCI Monitoring supplies metrics, alarms and independent service-health indicators for OCI resources and approved custom telemetry.</w:t>
      </w:r>
    </w:p>
    <w:p w14:paraId="5A120AC4" w14:textId="77777777" w:rsidR="00743633" w:rsidRDefault="00000000">
      <w:pPr>
        <w:pStyle w:val="Smallbullet"/>
      </w:pPr>
      <w:r>
        <w:rPr>
          <w:rFonts w:ascii="Arial" w:hAnsi="Arial"/>
          <w:sz w:val="18"/>
        </w:rPr>
        <w:t>OCI Logging and Connector Hub ingest, retain and route approved service and custom logs without introducing a separate ticketing path.</w:t>
      </w:r>
    </w:p>
    <w:p w14:paraId="0133E10A" w14:textId="77777777" w:rsidR="00743633" w:rsidRDefault="00000000">
      <w:pPr>
        <w:pStyle w:val="Smallbullet"/>
      </w:pPr>
      <w:r>
        <w:rPr>
          <w:rFonts w:ascii="Arial" w:hAnsi="Arial"/>
          <w:sz w:val="18"/>
        </w:rPr>
        <w:t>OCI Log Analytics supplies parsing, enrichment, clustering, investigation, dashboards and LoganAI-assisted analysis for selected analytical logs.</w:t>
      </w:r>
    </w:p>
    <w:p w14:paraId="3E4CFC53" w14:textId="77777777" w:rsidR="00743633" w:rsidRDefault="00000000">
      <w:pPr>
        <w:pStyle w:val="Smallbullet"/>
      </w:pPr>
      <w:r>
        <w:rPr>
          <w:rFonts w:ascii="Arial" w:hAnsi="Arial"/>
          <w:sz w:val="18"/>
        </w:rPr>
        <w:t>OCI Log Analytics Kubernetes Monitoring Solution is proposed for customer-managed Kubernetes. Deployment is manual through the documented Helm/manifests pattern and requires cluster-specific validation; no OCI managed Kubernetes service is assumed.</w:t>
      </w:r>
    </w:p>
    <w:p w14:paraId="2A78BEC4" w14:textId="77777777" w:rsidR="00743633" w:rsidRDefault="00000000">
      <w:pPr>
        <w:pStyle w:val="Smallbullet"/>
      </w:pPr>
      <w:r>
        <w:rPr>
          <w:rFonts w:ascii="Arial" w:hAnsi="Arial"/>
          <w:sz w:val="18"/>
        </w:rPr>
        <w:t>OCI APM and OpenTelemetry supply application/API traces, service topology, browser visibility and synthetic journeys. For this proposal, APM active storage is commercially presumed to use OCI Log Analytics Active Storage SKU B95634 at one Storage Unit per 300 GB active storage; the final Oracle quote must confirm the mapping.</w:t>
      </w:r>
    </w:p>
    <w:p w14:paraId="753B367F" w14:textId="77777777" w:rsidR="00743633" w:rsidRDefault="00000000">
      <w:pPr>
        <w:pStyle w:val="Smallbullet"/>
      </w:pPr>
      <w:r>
        <w:rPr>
          <w:rFonts w:ascii="Arial" w:hAnsi="Arial"/>
          <w:sz w:val="18"/>
        </w:rPr>
        <w:t>OCI Management Agent and Management Gateway provide supported hybrid collection paths where required and are distinct from any external product agent.</w:t>
      </w:r>
    </w:p>
    <w:p w14:paraId="7BA6A968" w14:textId="77777777" w:rsidR="00743633" w:rsidRDefault="00000000">
      <w:pPr>
        <w:pStyle w:val="Smallbullet"/>
      </w:pPr>
      <w:r>
        <w:rPr>
          <w:rFonts w:ascii="Arial" w:hAnsi="Arial"/>
          <w:sz w:val="18"/>
        </w:rPr>
        <w:t>OCI Notifications distributes approved alarms. External assurance, ITSM/ticketing, database-management and product-remediation workflows are outside this response.</w:t>
      </w:r>
    </w:p>
    <w:p w14:paraId="43BE03FA" w14:textId="77777777" w:rsidR="00743633" w:rsidRDefault="00000000">
      <w:pPr>
        <w:pStyle w:val="Smallbullet"/>
      </w:pPr>
      <w:r>
        <w:rPr>
          <w:rFonts w:ascii="Arial" w:hAnsi="Arial"/>
          <w:sz w:val="18"/>
        </w:rPr>
        <w:t>LoganAI assists analysts inside Log Analytics but is not an agentic incident commander. An optional dedicated GenAI coordinator is an external OCI AI Team workstream and is not included in this Observability BOM.</w:t>
      </w:r>
    </w:p>
    <w:p w14:paraId="6BAB57C6" w14:textId="77777777" w:rsidR="00743633" w:rsidRDefault="00000000">
      <w:pPr>
        <w:pStyle w:val="Smallbullet"/>
      </w:pPr>
      <w:r>
        <w:rPr>
          <w:rFonts w:ascii="Arial" w:hAnsi="Arial"/>
          <w:sz w:val="18"/>
        </w:rPr>
        <w:t>All production sizing remains subject to measured ingestion, retention, metric cardinality, cluster inventory, trace volume, regions, residency and non-production/DR requirements.</w:t>
      </w:r>
    </w:p>
    <w:p w14:paraId="27532B7C" w14:textId="77777777" w:rsidR="00743633" w:rsidRDefault="00000000">
      <w:r>
        <w:rPr>
          <w:rFonts w:ascii="Arial" w:hAnsi="Arial"/>
          <w:sz w:val="18"/>
        </w:rPr>
        <w:t>The PoV must demonstrate ingestion completeness and latency, manual Kubernetes deployment, parser quality, trace continuity, alert delivery, role isolation, resilience and rollback before production acceptance.</w:t>
      </w:r>
    </w:p>
    <w:p w14:paraId="3CB804BF" w14:textId="7CDF4165" w:rsidR="0011374B" w:rsidRDefault="00D354EE" w:rsidP="00D354EE">
      <w:pPr>
        <w:tabs>
          <w:tab w:val="left" w:pos="4339"/>
        </w:tabs>
      </w:pPr>
      <w:r>
        <w:tab/>
      </w:r>
      <w:r w:rsidR="0011374B">
        <w:br w:type="page"/>
      </w:r>
    </w:p>
    <w:p w14:paraId="1BDCAD04" w14:textId="77777777" w:rsidR="00D354EE" w:rsidRDefault="00D354EE" w:rsidP="00D354EE">
      <w:pPr>
        <w:tabs>
          <w:tab w:val="left" w:pos="4339"/>
        </w:tabs>
      </w:pPr>
    </w:p>
    <w:p w14:paraId="7A9ADEE9" w14:textId="77777777" w:rsidR="00D354EE" w:rsidRPr="00D354EE" w:rsidRDefault="00D354EE" w:rsidP="00D354EE">
      <w:pPr>
        <w:tabs>
          <w:tab w:val="left" w:pos="4339"/>
        </w:tabs>
      </w:pPr>
    </w:p>
    <w:p w14:paraId="22669472" w14:textId="77777777" w:rsidR="00743633" w:rsidRDefault="00000000">
      <w:pPr>
        <w:pStyle w:val="Heading1"/>
      </w:pPr>
      <w:r>
        <w:t>2. OCI service architecture fit</w:t>
      </w:r>
    </w:p>
    <w:tbl>
      <w:tblPr>
        <w:tblStyle w:val="TableGrid"/>
        <w:tblW w:w="10435" w:type="dxa"/>
        <w:tblLayout w:type="fixed"/>
        <w:tblLook w:val="04A0" w:firstRow="1" w:lastRow="0" w:firstColumn="1" w:lastColumn="0" w:noHBand="0" w:noVBand="1"/>
      </w:tblPr>
      <w:tblGrid>
        <w:gridCol w:w="2232"/>
        <w:gridCol w:w="3240"/>
        <w:gridCol w:w="3240"/>
        <w:gridCol w:w="1723"/>
      </w:tblGrid>
      <w:tr w:rsidR="007C3E8F" w14:paraId="2EFACCC7" w14:textId="77777777" w:rsidTr="0011374B">
        <w:tc>
          <w:tcPr>
            <w:tcW w:w="2232" w:type="dxa"/>
            <w:shd w:val="clear" w:color="auto" w:fill="312D2A"/>
          </w:tcPr>
          <w:p w14:paraId="5459A05F" w14:textId="77777777" w:rsidR="007C3E8F" w:rsidRDefault="00000000">
            <w:r>
              <w:rPr>
                <w:b/>
                <w:color w:val="FFFFFF"/>
                <w:sz w:val="16"/>
              </w:rPr>
              <w:t>Telemetry source</w:t>
            </w:r>
          </w:p>
        </w:tc>
        <w:tc>
          <w:tcPr>
            <w:tcW w:w="3240" w:type="dxa"/>
            <w:shd w:val="clear" w:color="auto" w:fill="312D2A"/>
          </w:tcPr>
          <w:p w14:paraId="0D6A36E1" w14:textId="77777777" w:rsidR="007C3E8F" w:rsidRDefault="00000000">
            <w:r>
              <w:rPr>
                <w:b/>
                <w:color w:val="FFFFFF"/>
                <w:sz w:val="16"/>
              </w:rPr>
              <w:t>Manual / open collection</w:t>
            </w:r>
          </w:p>
        </w:tc>
        <w:tc>
          <w:tcPr>
            <w:tcW w:w="3240" w:type="dxa"/>
            <w:shd w:val="clear" w:color="auto" w:fill="312D2A"/>
          </w:tcPr>
          <w:p w14:paraId="3EC80B76" w14:textId="77777777" w:rsidR="007C3E8F" w:rsidRDefault="00000000">
            <w:r>
              <w:rPr>
                <w:b/>
                <w:color w:val="FFFFFF"/>
                <w:sz w:val="16"/>
              </w:rPr>
              <w:t>OCI Observability data plane</w:t>
            </w:r>
          </w:p>
        </w:tc>
        <w:tc>
          <w:tcPr>
            <w:tcW w:w="1723" w:type="dxa"/>
            <w:shd w:val="clear" w:color="auto" w:fill="312D2A"/>
          </w:tcPr>
          <w:p w14:paraId="1B6C90C6" w14:textId="77777777" w:rsidR="007C3E8F" w:rsidRDefault="00000000">
            <w:r>
              <w:rPr>
                <w:b/>
                <w:color w:val="FFFFFF"/>
                <w:sz w:val="16"/>
              </w:rPr>
              <w:t>Operator outcome and hand-off</w:t>
            </w:r>
          </w:p>
        </w:tc>
      </w:tr>
      <w:tr w:rsidR="007C3E8F" w14:paraId="71872B9C" w14:textId="77777777" w:rsidTr="0011374B">
        <w:tc>
          <w:tcPr>
            <w:tcW w:w="2232" w:type="dxa"/>
            <w:vAlign w:val="center"/>
          </w:tcPr>
          <w:p w14:paraId="668EC7C1" w14:textId="77777777" w:rsidR="007C3E8F" w:rsidRDefault="00000000">
            <w:pPr>
              <w:spacing w:after="20"/>
            </w:pPr>
            <w:r>
              <w:rPr>
                <w:sz w:val="15"/>
              </w:rPr>
              <w:t>Customer-managed Kubernetes</w:t>
            </w:r>
            <w:r>
              <w:rPr>
                <w:sz w:val="15"/>
              </w:rPr>
              <w:br/>
              <w:t>Nodes, pods, namespaces, audit and workload logs; Kubernetes object state</w:t>
            </w:r>
          </w:p>
        </w:tc>
        <w:tc>
          <w:tcPr>
            <w:tcW w:w="3240" w:type="dxa"/>
            <w:vAlign w:val="center"/>
          </w:tcPr>
          <w:p w14:paraId="0E9232AC" w14:textId="77777777" w:rsidR="007C3E8F" w:rsidRDefault="00000000">
            <w:pPr>
              <w:spacing w:after="20"/>
            </w:pPr>
            <w:r>
              <w:rPr>
                <w:sz w:val="15"/>
              </w:rPr>
              <w:t>Manual Log Analytics Kubernetes Monitoring Solution deployment using the documented Helm/manifests path. Validate cluster version, RBAC, proxy/private egress, certificates, Management Agent/Gateway reachability, upgrades and rollback.</w:t>
            </w:r>
          </w:p>
        </w:tc>
        <w:tc>
          <w:tcPr>
            <w:tcW w:w="3240" w:type="dxa"/>
            <w:vAlign w:val="center"/>
          </w:tcPr>
          <w:p w14:paraId="19AEB81E" w14:textId="77777777" w:rsidR="007C3E8F" w:rsidRDefault="00000000">
            <w:pPr>
              <w:spacing w:after="20"/>
            </w:pPr>
            <w:r>
              <w:rPr>
                <w:rFonts w:ascii="Arial" w:hAnsi="Arial"/>
                <w:sz w:val="18"/>
              </w:rPr>
              <w:t>Log Analytics stores and analyzes the selected Kubernetes logs and object state. Monitoring holds approved custom/platform metrics. No customer-managed Kubernetes control-plane dependency is assumed.</w:t>
            </w:r>
          </w:p>
        </w:tc>
        <w:tc>
          <w:tcPr>
            <w:tcW w:w="1723" w:type="dxa"/>
            <w:vAlign w:val="center"/>
          </w:tcPr>
          <w:p w14:paraId="5EDA2340" w14:textId="77777777" w:rsidR="007C3E8F" w:rsidRDefault="00000000">
            <w:pPr>
              <w:spacing w:after="20"/>
            </w:pPr>
            <w:r>
              <w:rPr>
                <w:sz w:val="15"/>
              </w:rPr>
              <w:t>Cluster/workload/node/pod views, searches, dashboards and alerts. Platform teams remain accountable for Kubernetes access, capacity, upgrades and remediation.</w:t>
            </w:r>
          </w:p>
        </w:tc>
      </w:tr>
      <w:tr w:rsidR="007C3E8F" w14:paraId="1DA18F1B" w14:textId="77777777" w:rsidTr="0011374B">
        <w:tc>
          <w:tcPr>
            <w:tcW w:w="2232" w:type="dxa"/>
            <w:vAlign w:val="center"/>
          </w:tcPr>
          <w:p w14:paraId="69A0E5F2" w14:textId="77777777" w:rsidR="007C3E8F" w:rsidRDefault="00000000">
            <w:pPr>
              <w:spacing w:after="20"/>
            </w:pPr>
            <w:r>
              <w:rPr>
                <w:sz w:val="15"/>
              </w:rPr>
              <w:t>Applications and APIs</w:t>
            </w:r>
            <w:r>
              <w:rPr>
                <w:sz w:val="15"/>
              </w:rPr>
              <w:br/>
              <w:t>Priority services, customer journeys and middleware</w:t>
            </w:r>
          </w:p>
        </w:tc>
        <w:tc>
          <w:tcPr>
            <w:tcW w:w="3240" w:type="dxa"/>
            <w:vAlign w:val="center"/>
          </w:tcPr>
          <w:p w14:paraId="5CA272DE" w14:textId="77777777" w:rsidR="007C3E8F" w:rsidRDefault="00000000">
            <w:pPr>
              <w:spacing w:after="20"/>
            </w:pPr>
            <w:r>
              <w:rPr>
                <w:sz w:val="15"/>
              </w:rPr>
              <w:t>APM agents and OpenTelemetry instrumentation. Application teams supply service identity, trace propagation, approved attributes, synthetic journeys and SLOs.</w:t>
            </w:r>
          </w:p>
        </w:tc>
        <w:tc>
          <w:tcPr>
            <w:tcW w:w="3240" w:type="dxa"/>
            <w:vAlign w:val="center"/>
          </w:tcPr>
          <w:p w14:paraId="5F1D9573" w14:textId="77777777" w:rsidR="007C3E8F" w:rsidRDefault="00000000">
            <w:pPr>
              <w:spacing w:after="20"/>
            </w:pPr>
            <w:r>
              <w:rPr>
                <w:sz w:val="15"/>
              </w:rPr>
              <w:t>OCI APM supplies traces, service maps, browser/API visibility and synthetics. The commercial working assumption meters APM active storage through B95634 at one 300 GB Log Analytics Active Storage Unit.</w:t>
            </w:r>
          </w:p>
        </w:tc>
        <w:tc>
          <w:tcPr>
            <w:tcW w:w="1723" w:type="dxa"/>
            <w:vAlign w:val="center"/>
          </w:tcPr>
          <w:p w14:paraId="0CFB3EB6" w14:textId="77777777" w:rsidR="007C3E8F" w:rsidRDefault="00000000">
            <w:pPr>
              <w:spacing w:after="20"/>
            </w:pPr>
            <w:r>
              <w:rPr>
                <w:sz w:val="15"/>
              </w:rPr>
              <w:t>Trace continuity, dependency evidence, journey health and SLO alarms; evidence is exposed by documented APIs to approved external consumers.</w:t>
            </w:r>
          </w:p>
        </w:tc>
      </w:tr>
      <w:tr w:rsidR="007C3E8F" w14:paraId="4192CE5B" w14:textId="77777777" w:rsidTr="0011374B">
        <w:tc>
          <w:tcPr>
            <w:tcW w:w="2232" w:type="dxa"/>
            <w:vAlign w:val="center"/>
          </w:tcPr>
          <w:p w14:paraId="59FBC11E" w14:textId="77777777" w:rsidR="007C3E8F" w:rsidRDefault="00000000">
            <w:pPr>
              <w:spacing w:after="20"/>
            </w:pPr>
            <w:r>
              <w:rPr>
                <w:sz w:val="15"/>
              </w:rPr>
              <w:t>OCI and supported hybrid logs/metrics</w:t>
            </w:r>
            <w:r>
              <w:rPr>
                <w:sz w:val="15"/>
              </w:rPr>
              <w:br/>
              <w:t>Service logs, custom logs and custom metrics</w:t>
            </w:r>
          </w:p>
        </w:tc>
        <w:tc>
          <w:tcPr>
            <w:tcW w:w="3240" w:type="dxa"/>
            <w:vAlign w:val="center"/>
          </w:tcPr>
          <w:p w14:paraId="2A2C9296" w14:textId="77777777" w:rsidR="007C3E8F" w:rsidRDefault="00000000">
            <w:pPr>
              <w:spacing w:after="20"/>
            </w:pPr>
            <w:r>
              <w:rPr>
                <w:sz w:val="15"/>
              </w:rPr>
              <w:t>OCI Logging, supported Management Agent/Gateway collection and Connector Hub routes. Collection is limited to approved data classes and supported sources.</w:t>
            </w:r>
          </w:p>
        </w:tc>
        <w:tc>
          <w:tcPr>
            <w:tcW w:w="3240" w:type="dxa"/>
            <w:vAlign w:val="center"/>
          </w:tcPr>
          <w:p w14:paraId="0B00538C" w14:textId="77777777" w:rsidR="007C3E8F" w:rsidRDefault="00000000">
            <w:pPr>
              <w:spacing w:after="20"/>
            </w:pPr>
            <w:r>
              <w:rPr>
                <w:sz w:val="15"/>
              </w:rPr>
              <w:t>Logging retains searchable logs; Log Analytics parses, enriches and investigates selected analytical logs; Monitoring evaluates metrics and alarms; Notifications distributes approved alarms.</w:t>
            </w:r>
          </w:p>
        </w:tc>
        <w:tc>
          <w:tcPr>
            <w:tcW w:w="1723" w:type="dxa"/>
            <w:vAlign w:val="center"/>
          </w:tcPr>
          <w:p w14:paraId="2691C72D" w14:textId="77777777" w:rsidR="007C3E8F" w:rsidRDefault="00000000">
            <w:pPr>
              <w:spacing w:after="20"/>
            </w:pPr>
            <w:r>
              <w:rPr>
                <w:sz w:val="15"/>
              </w:rPr>
              <w:t>Dashboards, alerts, LoganAI-assisted investigation and evidence links. External ticketing, assurance and product-remediation workflows are outside this document and BOM.</w:t>
            </w:r>
          </w:p>
        </w:tc>
      </w:tr>
    </w:tbl>
    <w:p w14:paraId="38035E10" w14:textId="77777777" w:rsidR="007C3E8F" w:rsidRDefault="007C3E8F"/>
    <w:p w14:paraId="743C5FF4" w14:textId="77777777" w:rsidR="007C3E8F" w:rsidRDefault="00000000">
      <w:r>
        <w:rPr>
          <w:rFonts w:ascii="Arial" w:hAnsi="Arial"/>
          <w:sz w:val="18"/>
        </w:rPr>
        <w:t>Optional GenAI correlation extension — outside the OCI Observability BOM: an OCI AI Team-owned coordinator may consume curated Monitoring, Logging, Log Analytics and APM evidence through documented, allowlisted APIs. It must preserve source provenance, enforce least privilege and remain read-only until separately designed, evaluated and approved. It does not replace OCI telemetry services or own any external incident-write workflow.</w:t>
      </w:r>
    </w:p>
    <w:p w14:paraId="4B3A132B" w14:textId="77777777" w:rsidR="007C3E8F" w:rsidRDefault="00000000">
      <w:pPr>
        <w:jc w:val="center"/>
      </w:pPr>
      <w:r>
        <w:rPr>
          <w:rFonts w:ascii="Arial" w:hAnsi="Arial"/>
          <w:i/>
          <w:sz w:val="16"/>
        </w:rPr>
        <w:t>Figure 1. Scoped OCI Observability architecture and communication flows. Arrows are represented left-to-right by table columns; external products and their operations are intentionally excluded.</w:t>
      </w:r>
    </w:p>
    <w:tbl>
      <w:tblPr>
        <w:tblStyle w:val="TableGrid"/>
        <w:tblW w:w="10345" w:type="dxa"/>
        <w:tblLayout w:type="fixed"/>
        <w:tblLook w:val="04A0" w:firstRow="1" w:lastRow="0" w:firstColumn="1" w:lastColumn="0" w:noHBand="0" w:noVBand="1"/>
      </w:tblPr>
      <w:tblGrid>
        <w:gridCol w:w="2232"/>
        <w:gridCol w:w="2448"/>
        <w:gridCol w:w="3744"/>
        <w:gridCol w:w="1921"/>
      </w:tblGrid>
      <w:tr w:rsidR="00743633" w14:paraId="71ED79AF" w14:textId="77777777" w:rsidTr="0011374B">
        <w:trPr>
          <w:tblHeader/>
        </w:trPr>
        <w:tc>
          <w:tcPr>
            <w:tcW w:w="2232" w:type="dxa"/>
            <w:shd w:val="clear" w:color="auto" w:fill="312D2A"/>
            <w:vAlign w:val="center"/>
          </w:tcPr>
          <w:p w14:paraId="0DFE384F" w14:textId="77777777" w:rsidR="00743633" w:rsidRDefault="00000000">
            <w:r>
              <w:rPr>
                <w:b/>
                <w:color w:val="FFFFFF"/>
                <w:sz w:val="16"/>
              </w:rPr>
              <w:t>OCI service</w:t>
            </w:r>
          </w:p>
        </w:tc>
        <w:tc>
          <w:tcPr>
            <w:tcW w:w="2448" w:type="dxa"/>
            <w:shd w:val="clear" w:color="auto" w:fill="312D2A"/>
            <w:vAlign w:val="center"/>
          </w:tcPr>
          <w:p w14:paraId="6CC2E073" w14:textId="77777777" w:rsidR="00743633" w:rsidRDefault="00000000">
            <w:r>
              <w:rPr>
                <w:b/>
                <w:color w:val="FFFFFF"/>
                <w:sz w:val="16"/>
              </w:rPr>
              <w:t>RFP fit</w:t>
            </w:r>
          </w:p>
        </w:tc>
        <w:tc>
          <w:tcPr>
            <w:tcW w:w="3744" w:type="dxa"/>
            <w:shd w:val="clear" w:color="auto" w:fill="312D2A"/>
            <w:vAlign w:val="center"/>
          </w:tcPr>
          <w:p w14:paraId="0B298CFF" w14:textId="77777777" w:rsidR="00743633" w:rsidRDefault="00000000">
            <w:r>
              <w:rPr>
                <w:b/>
                <w:color w:val="FFFFFF"/>
                <w:sz w:val="16"/>
              </w:rPr>
              <w:t>Architecture role</w:t>
            </w:r>
          </w:p>
        </w:tc>
        <w:tc>
          <w:tcPr>
            <w:tcW w:w="1921" w:type="dxa"/>
            <w:shd w:val="clear" w:color="auto" w:fill="312D2A"/>
            <w:vAlign w:val="center"/>
          </w:tcPr>
          <w:p w14:paraId="5412D7CB" w14:textId="77777777" w:rsidR="00743633" w:rsidRDefault="00000000">
            <w:r>
              <w:rPr>
                <w:b/>
                <w:color w:val="FFFFFF"/>
                <w:sz w:val="16"/>
              </w:rPr>
              <w:t>Adoption and owner</w:t>
            </w:r>
          </w:p>
        </w:tc>
      </w:tr>
      <w:tr w:rsidR="007C3E8F" w14:paraId="261E65CF" w14:textId="77777777" w:rsidTr="0011374B">
        <w:tc>
          <w:tcPr>
            <w:tcW w:w="2232" w:type="dxa"/>
            <w:vAlign w:val="center"/>
          </w:tcPr>
          <w:p w14:paraId="3E6220D7" w14:textId="77777777" w:rsidR="007C3E8F" w:rsidRDefault="00000000">
            <w:pPr>
              <w:spacing w:after="20"/>
            </w:pPr>
            <w:hyperlink r:id="rId18">
              <w:r>
                <w:rPr>
                  <w:b/>
                  <w:color w:val="0563C1"/>
                  <w:u w:val="single"/>
                </w:rPr>
                <w:t>OCI Monitoring</w:t>
              </w:r>
            </w:hyperlink>
          </w:p>
        </w:tc>
        <w:tc>
          <w:tcPr>
            <w:tcW w:w="2448" w:type="dxa"/>
            <w:vAlign w:val="center"/>
          </w:tcPr>
          <w:p w14:paraId="5592B218" w14:textId="77777777" w:rsidR="007C3E8F" w:rsidRDefault="00000000">
            <w:pPr>
              <w:spacing w:after="20"/>
            </w:pPr>
            <w:r>
              <w:rPr>
                <w:sz w:val="15"/>
              </w:rPr>
              <w:t>Metrics, alarms and service health</w:t>
            </w:r>
          </w:p>
        </w:tc>
        <w:tc>
          <w:tcPr>
            <w:tcW w:w="3744" w:type="dxa"/>
            <w:vAlign w:val="center"/>
          </w:tcPr>
          <w:p w14:paraId="77C72253" w14:textId="77777777" w:rsidR="007C3E8F" w:rsidRDefault="00000000">
            <w:pPr>
              <w:spacing w:after="20"/>
            </w:pPr>
            <w:r>
              <w:rPr>
                <w:sz w:val="15"/>
              </w:rPr>
              <w:t>Collects OCI and approved custom metrics; provides alarms and monitoring queries for infrastructure, routes and observability pipeline health.</w:t>
            </w:r>
          </w:p>
        </w:tc>
        <w:tc>
          <w:tcPr>
            <w:tcW w:w="1921" w:type="dxa"/>
            <w:vAlign w:val="center"/>
          </w:tcPr>
          <w:p w14:paraId="2D7CC1AA" w14:textId="77777777" w:rsidR="007C3E8F" w:rsidRDefault="00000000">
            <w:pPr>
              <w:spacing w:after="20"/>
            </w:pPr>
            <w:r>
              <w:rPr>
                <w:sz w:val="15"/>
              </w:rPr>
              <w:t>Baseline. Observability &amp; Security defines alarm standards; product teams own thresholds and remediation.</w:t>
            </w:r>
          </w:p>
        </w:tc>
      </w:tr>
      <w:tr w:rsidR="007C3E8F" w14:paraId="17F95604" w14:textId="77777777" w:rsidTr="0011374B">
        <w:tc>
          <w:tcPr>
            <w:tcW w:w="2232" w:type="dxa"/>
            <w:vAlign w:val="center"/>
          </w:tcPr>
          <w:p w14:paraId="773481E0" w14:textId="77777777" w:rsidR="007C3E8F" w:rsidRDefault="00000000">
            <w:pPr>
              <w:spacing w:after="20"/>
            </w:pPr>
            <w:hyperlink r:id="rId19">
              <w:r>
                <w:rPr>
                  <w:b/>
                  <w:color w:val="0563C1"/>
                  <w:u w:val="single"/>
                </w:rPr>
                <w:t>OCI Logging</w:t>
              </w:r>
            </w:hyperlink>
          </w:p>
        </w:tc>
        <w:tc>
          <w:tcPr>
            <w:tcW w:w="2448" w:type="dxa"/>
            <w:vAlign w:val="center"/>
          </w:tcPr>
          <w:p w14:paraId="346759C0" w14:textId="77777777" w:rsidR="007C3E8F" w:rsidRDefault="00000000">
            <w:pPr>
              <w:spacing w:after="20"/>
            </w:pPr>
            <w:r>
              <w:rPr>
                <w:sz w:val="15"/>
              </w:rPr>
              <w:t>Central service/custom log ingestion and retention</w:t>
            </w:r>
          </w:p>
        </w:tc>
        <w:tc>
          <w:tcPr>
            <w:tcW w:w="3744" w:type="dxa"/>
            <w:vAlign w:val="center"/>
          </w:tcPr>
          <w:p w14:paraId="7BEAD976" w14:textId="77777777" w:rsidR="007C3E8F" w:rsidRDefault="00000000">
            <w:pPr>
              <w:spacing w:after="20"/>
            </w:pPr>
            <w:r>
              <w:rPr>
                <w:sz w:val="15"/>
              </w:rPr>
              <w:t>Receives approved OCI service and custom logs and supplies searchable retention before optional analytical routing.</w:t>
            </w:r>
          </w:p>
        </w:tc>
        <w:tc>
          <w:tcPr>
            <w:tcW w:w="1921" w:type="dxa"/>
            <w:vAlign w:val="center"/>
          </w:tcPr>
          <w:p w14:paraId="7BA58557" w14:textId="77777777" w:rsidR="007C3E8F" w:rsidRDefault="00000000">
            <w:pPr>
              <w:spacing w:after="20"/>
            </w:pPr>
            <w:r>
              <w:rPr>
                <w:sz w:val="15"/>
              </w:rPr>
              <w:t>Baseline. Observability &amp; Security owns log groups, retention and routing; product teams own log quality.</w:t>
            </w:r>
          </w:p>
        </w:tc>
      </w:tr>
      <w:tr w:rsidR="007C3E8F" w14:paraId="62AA07DE" w14:textId="77777777" w:rsidTr="0011374B">
        <w:tc>
          <w:tcPr>
            <w:tcW w:w="2232" w:type="dxa"/>
            <w:vAlign w:val="center"/>
          </w:tcPr>
          <w:p w14:paraId="53659139" w14:textId="77777777" w:rsidR="007C3E8F" w:rsidRDefault="00000000">
            <w:pPr>
              <w:spacing w:after="20"/>
            </w:pPr>
            <w:hyperlink r:id="rId20">
              <w:r>
                <w:rPr>
                  <w:b/>
                  <w:color w:val="0563C1"/>
                  <w:u w:val="single"/>
                </w:rPr>
                <w:t>OCI Connector Hub</w:t>
              </w:r>
            </w:hyperlink>
          </w:p>
        </w:tc>
        <w:tc>
          <w:tcPr>
            <w:tcW w:w="2448" w:type="dxa"/>
            <w:vAlign w:val="center"/>
          </w:tcPr>
          <w:p w14:paraId="7A811344" w14:textId="77777777" w:rsidR="007C3E8F" w:rsidRDefault="00000000">
            <w:pPr>
              <w:spacing w:after="20"/>
            </w:pPr>
            <w:r>
              <w:rPr>
                <w:sz w:val="15"/>
              </w:rPr>
              <w:t>Managed telemetry routing</w:t>
            </w:r>
          </w:p>
        </w:tc>
        <w:tc>
          <w:tcPr>
            <w:tcW w:w="3744" w:type="dxa"/>
            <w:vAlign w:val="center"/>
          </w:tcPr>
          <w:p w14:paraId="44CD168F" w14:textId="77777777" w:rsidR="007C3E8F" w:rsidRDefault="00000000">
            <w:pPr>
              <w:spacing w:after="20"/>
            </w:pPr>
            <w:r>
              <w:rPr>
                <w:sz w:val="15"/>
              </w:rPr>
              <w:t>Routes supported logs and service data to approved destinations such as Log Analytics and Notifications.</w:t>
            </w:r>
          </w:p>
        </w:tc>
        <w:tc>
          <w:tcPr>
            <w:tcW w:w="1921" w:type="dxa"/>
            <w:vAlign w:val="center"/>
          </w:tcPr>
          <w:p w14:paraId="0AE7335C" w14:textId="77777777" w:rsidR="007C3E8F" w:rsidRDefault="00000000">
            <w:pPr>
              <w:spacing w:after="20"/>
            </w:pPr>
            <w:r>
              <w:rPr>
                <w:sz w:val="15"/>
              </w:rPr>
              <w:t>Supporting component. No standalone SKU returned in the current pricing snapshot; downstream consumption remains chargeable.</w:t>
            </w:r>
          </w:p>
        </w:tc>
      </w:tr>
      <w:tr w:rsidR="007C3E8F" w14:paraId="191E52FA" w14:textId="77777777" w:rsidTr="0011374B">
        <w:tc>
          <w:tcPr>
            <w:tcW w:w="2232" w:type="dxa"/>
            <w:vAlign w:val="center"/>
          </w:tcPr>
          <w:p w14:paraId="2FFCB960" w14:textId="77777777" w:rsidR="007C3E8F" w:rsidRDefault="00000000">
            <w:pPr>
              <w:spacing w:after="20"/>
            </w:pPr>
            <w:hyperlink r:id="rId21">
              <w:r>
                <w:rPr>
                  <w:b/>
                  <w:color w:val="0563C1"/>
                  <w:u w:val="single"/>
                </w:rPr>
                <w:t>OCI Log Analytics</w:t>
              </w:r>
            </w:hyperlink>
          </w:p>
        </w:tc>
        <w:tc>
          <w:tcPr>
            <w:tcW w:w="2448" w:type="dxa"/>
            <w:vAlign w:val="center"/>
          </w:tcPr>
          <w:p w14:paraId="0D6056AB" w14:textId="77777777" w:rsidR="007C3E8F" w:rsidRDefault="00000000">
            <w:pPr>
              <w:spacing w:after="20"/>
            </w:pPr>
            <w:r>
              <w:rPr>
                <w:sz w:val="15"/>
              </w:rPr>
              <w:t>Central log analytics and hybrid investigation</w:t>
            </w:r>
          </w:p>
        </w:tc>
        <w:tc>
          <w:tcPr>
            <w:tcW w:w="3744" w:type="dxa"/>
            <w:vAlign w:val="center"/>
          </w:tcPr>
          <w:p w14:paraId="43E999D7" w14:textId="77777777" w:rsidR="007C3E8F" w:rsidRDefault="00000000">
            <w:pPr>
              <w:spacing w:after="20"/>
            </w:pPr>
            <w:r>
              <w:rPr>
                <w:sz w:val="15"/>
              </w:rPr>
              <w:t>Parses, enriches, clusters and investigates selected logs; provides dashboards, scheduled analytics and evidence links.</w:t>
            </w:r>
          </w:p>
        </w:tc>
        <w:tc>
          <w:tcPr>
            <w:tcW w:w="1921" w:type="dxa"/>
            <w:vAlign w:val="center"/>
          </w:tcPr>
          <w:p w14:paraId="73BF9E06" w14:textId="77777777" w:rsidR="007C3E8F" w:rsidRDefault="00000000">
            <w:pPr>
              <w:spacing w:after="20"/>
            </w:pPr>
            <w:r>
              <w:rPr>
                <w:sz w:val="15"/>
              </w:rPr>
              <w:t>Baseline for selected analytical logs; data volume, retention, residency, sources and parsers are discovery inputs.</w:t>
            </w:r>
          </w:p>
        </w:tc>
      </w:tr>
      <w:tr w:rsidR="007C3E8F" w14:paraId="14E47ADF" w14:textId="77777777" w:rsidTr="0011374B">
        <w:tc>
          <w:tcPr>
            <w:tcW w:w="2232" w:type="dxa"/>
            <w:vAlign w:val="center"/>
          </w:tcPr>
          <w:p w14:paraId="3B6211F8" w14:textId="77777777" w:rsidR="007C3E8F" w:rsidRDefault="00000000">
            <w:pPr>
              <w:spacing w:after="20"/>
            </w:pPr>
            <w:hyperlink r:id="rId22">
              <w:r>
                <w:rPr>
                  <w:b/>
                  <w:color w:val="0563C1"/>
                  <w:u w:val="single"/>
                </w:rPr>
                <w:t>Log Analytics Kubernetes Monitoring Solution</w:t>
              </w:r>
            </w:hyperlink>
          </w:p>
        </w:tc>
        <w:tc>
          <w:tcPr>
            <w:tcW w:w="2448" w:type="dxa"/>
            <w:vAlign w:val="center"/>
          </w:tcPr>
          <w:p w14:paraId="3C582612" w14:textId="77777777" w:rsidR="007C3E8F" w:rsidRDefault="00000000">
            <w:pPr>
              <w:spacing w:after="20"/>
            </w:pPr>
            <w:r>
              <w:rPr>
                <w:sz w:val="15"/>
              </w:rPr>
              <w:t>Customer-managed Kubernetes visibility</w:t>
            </w:r>
          </w:p>
        </w:tc>
        <w:tc>
          <w:tcPr>
            <w:tcW w:w="3744" w:type="dxa"/>
            <w:vAlign w:val="center"/>
          </w:tcPr>
          <w:p w14:paraId="1CB94540" w14:textId="77777777" w:rsidR="007C3E8F" w:rsidRDefault="00000000">
            <w:pPr>
              <w:spacing w:after="20"/>
            </w:pPr>
            <w:r>
              <w:rPr>
                <w:sz w:val="15"/>
              </w:rPr>
              <w:t>Collects selected Kubernetes logs, metrics and object state and provides cluster, workload, node and pod views.</w:t>
            </w:r>
          </w:p>
        </w:tc>
        <w:tc>
          <w:tcPr>
            <w:tcW w:w="1921" w:type="dxa"/>
            <w:vAlign w:val="center"/>
          </w:tcPr>
          <w:p w14:paraId="0AA27162" w14:textId="77777777" w:rsidR="007C3E8F" w:rsidRDefault="00000000">
            <w:pPr>
              <w:spacing w:after="20"/>
            </w:pPr>
            <w:r>
              <w:rPr>
                <w:sz w:val="15"/>
              </w:rPr>
              <w:t>Manual Helm/manifests deployment. Validate supported version, RBAC, private egress, agents/gateways, resources, upgrades and rollback.</w:t>
            </w:r>
          </w:p>
        </w:tc>
      </w:tr>
      <w:tr w:rsidR="007C3E8F" w14:paraId="72440A0C" w14:textId="77777777" w:rsidTr="0011374B">
        <w:tc>
          <w:tcPr>
            <w:tcW w:w="2232" w:type="dxa"/>
            <w:vAlign w:val="center"/>
          </w:tcPr>
          <w:p w14:paraId="1C4A6E51" w14:textId="77777777" w:rsidR="007C3E8F" w:rsidRDefault="00000000">
            <w:pPr>
              <w:spacing w:after="20"/>
            </w:pPr>
            <w:hyperlink r:id="rId23">
              <w:r>
                <w:rPr>
                  <w:b/>
                  <w:color w:val="0563C1"/>
                  <w:u w:val="single"/>
                </w:rPr>
                <w:t>LoganAI</w:t>
              </w:r>
            </w:hyperlink>
          </w:p>
        </w:tc>
        <w:tc>
          <w:tcPr>
            <w:tcW w:w="2448" w:type="dxa"/>
            <w:vAlign w:val="center"/>
          </w:tcPr>
          <w:p w14:paraId="6E76E0D4" w14:textId="77777777" w:rsidR="007C3E8F" w:rsidRDefault="00000000">
            <w:pPr>
              <w:spacing w:after="20"/>
            </w:pPr>
            <w:r>
              <w:rPr>
                <w:sz w:val="15"/>
              </w:rPr>
              <w:t>AI-assisted log investigation</w:t>
            </w:r>
          </w:p>
        </w:tc>
        <w:tc>
          <w:tcPr>
            <w:tcW w:w="3744" w:type="dxa"/>
            <w:vAlign w:val="center"/>
          </w:tcPr>
          <w:p w14:paraId="619C2930" w14:textId="77777777" w:rsidR="007C3E8F" w:rsidRDefault="00000000">
            <w:pPr>
              <w:spacing w:after="20"/>
            </w:pPr>
            <w:r>
              <w:rPr>
                <w:sz w:val="15"/>
              </w:rPr>
              <w:t>Explains and summarizes logs, clusters and charts and suggests investigation follow-ups inside Log Analytics.</w:t>
            </w:r>
          </w:p>
        </w:tc>
        <w:tc>
          <w:tcPr>
            <w:tcW w:w="1921" w:type="dxa"/>
            <w:vAlign w:val="center"/>
          </w:tcPr>
          <w:p w14:paraId="3EE50029" w14:textId="77777777" w:rsidR="007C3E8F" w:rsidRDefault="00000000">
            <w:pPr>
              <w:spacing w:after="20"/>
            </w:pPr>
            <w:r>
              <w:rPr>
                <w:sz w:val="15"/>
              </w:rPr>
              <w:t>Conditional after realm/region, IAM, commercial and residency review. Human validation required; it is not an agentic commander.</w:t>
            </w:r>
          </w:p>
        </w:tc>
      </w:tr>
      <w:tr w:rsidR="007C3E8F" w14:paraId="2CC6A021" w14:textId="77777777" w:rsidTr="0011374B">
        <w:tc>
          <w:tcPr>
            <w:tcW w:w="2232" w:type="dxa"/>
            <w:vAlign w:val="center"/>
          </w:tcPr>
          <w:p w14:paraId="37425071" w14:textId="77777777" w:rsidR="007C3E8F" w:rsidRDefault="00000000">
            <w:pPr>
              <w:spacing w:after="20"/>
            </w:pPr>
            <w:hyperlink r:id="rId24">
              <w:r>
                <w:rPr>
                  <w:b/>
                  <w:color w:val="0563C1"/>
                  <w:u w:val="single"/>
                </w:rPr>
                <w:t>OCI Application Performance Monitoring</w:t>
              </w:r>
            </w:hyperlink>
          </w:p>
        </w:tc>
        <w:tc>
          <w:tcPr>
            <w:tcW w:w="2448" w:type="dxa"/>
            <w:vAlign w:val="center"/>
          </w:tcPr>
          <w:p w14:paraId="0614D00D" w14:textId="77777777" w:rsidR="007C3E8F" w:rsidRDefault="00000000">
            <w:pPr>
              <w:spacing w:after="20"/>
            </w:pPr>
            <w:r>
              <w:rPr>
                <w:sz w:val="15"/>
              </w:rPr>
              <w:t>Application/API traces, topology and synthetics</w:t>
            </w:r>
          </w:p>
        </w:tc>
        <w:tc>
          <w:tcPr>
            <w:tcW w:w="3744" w:type="dxa"/>
            <w:vAlign w:val="center"/>
          </w:tcPr>
          <w:p w14:paraId="677E43C2" w14:textId="77777777" w:rsidR="007C3E8F" w:rsidRDefault="00000000">
            <w:pPr>
              <w:spacing w:after="20"/>
            </w:pPr>
            <w:r>
              <w:rPr>
                <w:sz w:val="15"/>
              </w:rPr>
              <w:t>Collects APM/OpenTelemetry traces, maps service dependencies and runs approved synthetic journeys.</w:t>
            </w:r>
          </w:p>
        </w:tc>
        <w:tc>
          <w:tcPr>
            <w:tcW w:w="1921" w:type="dxa"/>
            <w:vAlign w:val="center"/>
          </w:tcPr>
          <w:p w14:paraId="71FA5CCA" w14:textId="77777777" w:rsidR="007C3E8F" w:rsidRDefault="00000000">
            <w:pPr>
              <w:spacing w:after="20"/>
            </w:pPr>
            <w:r>
              <w:rPr>
                <w:sz w:val="15"/>
              </w:rPr>
              <w:t>Baseline for priority applications. APM active storage pricing is presumed through B95634 at one 300 GB active-storage unit, subject to quote confirmation.</w:t>
            </w:r>
          </w:p>
        </w:tc>
      </w:tr>
      <w:tr w:rsidR="007C3E8F" w14:paraId="20999FAC" w14:textId="77777777" w:rsidTr="0011374B">
        <w:tc>
          <w:tcPr>
            <w:tcW w:w="2232" w:type="dxa"/>
            <w:vAlign w:val="center"/>
          </w:tcPr>
          <w:p w14:paraId="5AF9D74C" w14:textId="77777777" w:rsidR="007C3E8F" w:rsidRDefault="00000000">
            <w:pPr>
              <w:spacing w:after="20"/>
            </w:pPr>
            <w:hyperlink r:id="rId25">
              <w:r>
                <w:rPr>
                  <w:b/>
                  <w:color w:val="0563C1"/>
                  <w:u w:val="single"/>
                </w:rPr>
                <w:t>OCI Management Agent and Management Gateway</w:t>
              </w:r>
            </w:hyperlink>
          </w:p>
        </w:tc>
        <w:tc>
          <w:tcPr>
            <w:tcW w:w="2448" w:type="dxa"/>
            <w:vAlign w:val="center"/>
          </w:tcPr>
          <w:p w14:paraId="3DC55920" w14:textId="77777777" w:rsidR="007C3E8F" w:rsidRDefault="00000000">
            <w:pPr>
              <w:spacing w:after="20"/>
            </w:pPr>
            <w:r>
              <w:rPr>
                <w:sz w:val="15"/>
              </w:rPr>
              <w:t>Supported hybrid collection</w:t>
            </w:r>
          </w:p>
        </w:tc>
        <w:tc>
          <w:tcPr>
            <w:tcW w:w="3744" w:type="dxa"/>
            <w:vAlign w:val="center"/>
          </w:tcPr>
          <w:p w14:paraId="56F8E449" w14:textId="77777777" w:rsidR="007C3E8F" w:rsidRDefault="00000000">
            <w:pPr>
              <w:spacing w:after="20"/>
            </w:pPr>
            <w:r>
              <w:rPr>
                <w:sz w:val="15"/>
              </w:rPr>
              <w:t>Provides the supported collection and communication path for selected cloud/on-premises targets and Log Analytics sources.</w:t>
            </w:r>
          </w:p>
        </w:tc>
        <w:tc>
          <w:tcPr>
            <w:tcW w:w="1921" w:type="dxa"/>
            <w:vAlign w:val="center"/>
          </w:tcPr>
          <w:p w14:paraId="255A9F2F" w14:textId="77777777" w:rsidR="007C3E8F" w:rsidRDefault="00000000">
            <w:pPr>
              <w:spacing w:after="20"/>
            </w:pPr>
            <w:r>
              <w:rPr>
                <w:sz w:val="15"/>
              </w:rPr>
              <w:t>Use where required. Validate proxies, ports, certificates, HA, upgrades and failure recovery. No external product agent is in scope.</w:t>
            </w:r>
          </w:p>
        </w:tc>
      </w:tr>
      <w:tr w:rsidR="007C3E8F" w14:paraId="52078101" w14:textId="77777777" w:rsidTr="0011374B">
        <w:tc>
          <w:tcPr>
            <w:tcW w:w="2232" w:type="dxa"/>
            <w:vAlign w:val="center"/>
          </w:tcPr>
          <w:p w14:paraId="408F5BE8" w14:textId="77777777" w:rsidR="007C3E8F" w:rsidRDefault="00000000">
            <w:pPr>
              <w:spacing w:after="20"/>
            </w:pPr>
            <w:hyperlink r:id="rId26">
              <w:r>
                <w:rPr>
                  <w:b/>
                  <w:color w:val="0563C1"/>
                  <w:u w:val="single"/>
                </w:rPr>
                <w:t>OCI Notifications</w:t>
              </w:r>
            </w:hyperlink>
          </w:p>
        </w:tc>
        <w:tc>
          <w:tcPr>
            <w:tcW w:w="2448" w:type="dxa"/>
            <w:vAlign w:val="center"/>
          </w:tcPr>
          <w:p w14:paraId="56C5A5A0" w14:textId="77777777" w:rsidR="007C3E8F" w:rsidRDefault="00000000">
            <w:pPr>
              <w:spacing w:after="20"/>
            </w:pPr>
            <w:r>
              <w:rPr>
                <w:sz w:val="15"/>
              </w:rPr>
              <w:t>Approved alarm distribution</w:t>
            </w:r>
          </w:p>
        </w:tc>
        <w:tc>
          <w:tcPr>
            <w:tcW w:w="3744" w:type="dxa"/>
            <w:vAlign w:val="center"/>
          </w:tcPr>
          <w:p w14:paraId="776FDCDD" w14:textId="77777777" w:rsidR="007C3E8F" w:rsidRDefault="00000000">
            <w:pPr>
              <w:spacing w:after="20"/>
            </w:pPr>
            <w:r>
              <w:rPr>
                <w:sz w:val="15"/>
              </w:rPr>
              <w:t>Delivers approved Monitoring and Log Analytics alarms through supported HTTPS and email subscriptions.</w:t>
            </w:r>
          </w:p>
        </w:tc>
        <w:tc>
          <w:tcPr>
            <w:tcW w:w="1921" w:type="dxa"/>
            <w:vAlign w:val="center"/>
          </w:tcPr>
          <w:p w14:paraId="19790026" w14:textId="77777777" w:rsidR="007C3E8F" w:rsidRDefault="00000000">
            <w:pPr>
              <w:spacing w:after="20"/>
            </w:pPr>
            <w:r>
              <w:rPr>
                <w:sz w:val="15"/>
              </w:rPr>
              <w:t>Baseline for alert delivery only. External incident/ticket workflow is outside this response.</w:t>
            </w:r>
          </w:p>
        </w:tc>
      </w:tr>
    </w:tbl>
    <w:p w14:paraId="04ECDCFB" w14:textId="77777777" w:rsidR="00743633" w:rsidRDefault="00000000">
      <w:pPr>
        <w:pStyle w:val="Heading1"/>
      </w:pPr>
      <w:r>
        <w:t>3. Extracted RFP requirements and answers</w:t>
      </w:r>
    </w:p>
    <w:tbl>
      <w:tblPr>
        <w:tblStyle w:val="TableGrid"/>
        <w:tblW w:w="10345" w:type="dxa"/>
        <w:tblLayout w:type="fixed"/>
        <w:tblLook w:val="04A0" w:firstRow="1" w:lastRow="0" w:firstColumn="1" w:lastColumn="0" w:noHBand="0" w:noVBand="1"/>
      </w:tblPr>
      <w:tblGrid>
        <w:gridCol w:w="2232"/>
        <w:gridCol w:w="1008"/>
        <w:gridCol w:w="5112"/>
        <w:gridCol w:w="1993"/>
      </w:tblGrid>
      <w:tr w:rsidR="00743633" w14:paraId="133C256E" w14:textId="77777777" w:rsidTr="0011374B">
        <w:trPr>
          <w:tblHeader/>
        </w:trPr>
        <w:tc>
          <w:tcPr>
            <w:tcW w:w="2232" w:type="dxa"/>
            <w:shd w:val="clear" w:color="auto" w:fill="312D2A"/>
            <w:vAlign w:val="center"/>
          </w:tcPr>
          <w:p w14:paraId="0DE645F4" w14:textId="77777777" w:rsidR="00743633" w:rsidRDefault="00000000">
            <w:r>
              <w:rPr>
                <w:b/>
                <w:color w:val="FFFFFF"/>
                <w:sz w:val="16"/>
              </w:rPr>
              <w:t>RFP section and requirement</w:t>
            </w:r>
          </w:p>
        </w:tc>
        <w:tc>
          <w:tcPr>
            <w:tcW w:w="1008" w:type="dxa"/>
            <w:shd w:val="clear" w:color="auto" w:fill="312D2A"/>
            <w:vAlign w:val="center"/>
          </w:tcPr>
          <w:p w14:paraId="56166107" w14:textId="77777777" w:rsidR="00743633" w:rsidRDefault="00000000">
            <w:r>
              <w:rPr>
                <w:b/>
                <w:color w:val="FFFFFF"/>
                <w:sz w:val="16"/>
              </w:rPr>
              <w:t>State</w:t>
            </w:r>
          </w:p>
        </w:tc>
        <w:tc>
          <w:tcPr>
            <w:tcW w:w="5112" w:type="dxa"/>
            <w:shd w:val="clear" w:color="auto" w:fill="312D2A"/>
            <w:vAlign w:val="center"/>
          </w:tcPr>
          <w:p w14:paraId="33953D02" w14:textId="77777777" w:rsidR="00743633" w:rsidRDefault="00000000">
            <w:r>
              <w:rPr>
                <w:b/>
                <w:color w:val="FFFFFF"/>
                <w:sz w:val="16"/>
              </w:rPr>
              <w:t>OCI Observability &amp; Management answer</w:t>
            </w:r>
          </w:p>
        </w:tc>
        <w:tc>
          <w:tcPr>
            <w:tcW w:w="1993" w:type="dxa"/>
            <w:shd w:val="clear" w:color="auto" w:fill="312D2A"/>
            <w:vAlign w:val="center"/>
          </w:tcPr>
          <w:p w14:paraId="7F524C0A" w14:textId="77777777" w:rsidR="00743633" w:rsidRDefault="00000000">
            <w:r>
              <w:rPr>
                <w:b/>
                <w:color w:val="FFFFFF"/>
                <w:sz w:val="16"/>
              </w:rPr>
              <w:t>Dependency / evidence</w:t>
            </w:r>
          </w:p>
        </w:tc>
      </w:tr>
      <w:tr w:rsidR="00743633" w14:paraId="4BA92D84" w14:textId="77777777" w:rsidTr="0011374B">
        <w:tc>
          <w:tcPr>
            <w:tcW w:w="2232" w:type="dxa"/>
            <w:vAlign w:val="center"/>
          </w:tcPr>
          <w:p w14:paraId="0574A1F0" w14:textId="77777777" w:rsidR="00743633" w:rsidRDefault="00000000">
            <w:pPr>
              <w:spacing w:after="20"/>
            </w:pPr>
            <w:r>
              <w:rPr>
                <w:sz w:val="15"/>
              </w:rPr>
              <w:t>4.2 Native monitoring to cover OPCO gaps</w:t>
            </w:r>
          </w:p>
        </w:tc>
        <w:tc>
          <w:tcPr>
            <w:tcW w:w="1008" w:type="dxa"/>
            <w:vAlign w:val="center"/>
          </w:tcPr>
          <w:p w14:paraId="667537C5" w14:textId="77777777" w:rsidR="00743633" w:rsidRDefault="00000000">
            <w:pPr>
              <w:spacing w:after="20"/>
            </w:pPr>
            <w:r>
              <w:rPr>
                <w:sz w:val="15"/>
              </w:rPr>
              <w:t>Compliant</w:t>
            </w:r>
          </w:p>
        </w:tc>
        <w:tc>
          <w:tcPr>
            <w:tcW w:w="5112" w:type="dxa"/>
            <w:vAlign w:val="center"/>
          </w:tcPr>
          <w:p w14:paraId="39E97AA0" w14:textId="77777777" w:rsidR="007C3E8F" w:rsidRDefault="00000000">
            <w:pPr>
              <w:spacing w:after="20"/>
            </w:pPr>
            <w:r>
              <w:rPr>
                <w:sz w:val="15"/>
              </w:rPr>
              <w:t>Use OCI Monitoring, Logging, Log Analytics, APM and supported Management Agent collection where an OPCO gap exists. Existing product tools and downstream integrations remain outside this response.</w:t>
            </w:r>
          </w:p>
        </w:tc>
        <w:tc>
          <w:tcPr>
            <w:tcW w:w="1993" w:type="dxa"/>
            <w:vAlign w:val="center"/>
          </w:tcPr>
          <w:p w14:paraId="4D1221D8" w14:textId="77777777" w:rsidR="007C3E8F" w:rsidRDefault="00000000">
            <w:pPr>
              <w:spacing w:after="20"/>
            </w:pPr>
            <w:r>
              <w:rPr>
                <w:sz w:val="15"/>
              </w:rPr>
              <w:t>Discovery source catalogue and per-OPCO onboarding acceptance.</w:t>
            </w:r>
          </w:p>
        </w:tc>
      </w:tr>
      <w:tr w:rsidR="00743633" w14:paraId="0D4F24E0" w14:textId="77777777" w:rsidTr="0011374B">
        <w:tc>
          <w:tcPr>
            <w:tcW w:w="2232" w:type="dxa"/>
            <w:vAlign w:val="center"/>
          </w:tcPr>
          <w:p w14:paraId="3443F6D2" w14:textId="77777777" w:rsidR="00743633" w:rsidRDefault="00000000">
            <w:pPr>
              <w:spacing w:after="20"/>
            </w:pPr>
            <w:r>
              <w:rPr>
                <w:sz w:val="15"/>
              </w:rPr>
              <w:t>5.1 Integrate with heterogeneous monitoring tools without forced replacement</w:t>
            </w:r>
          </w:p>
        </w:tc>
        <w:tc>
          <w:tcPr>
            <w:tcW w:w="1008" w:type="dxa"/>
            <w:vAlign w:val="center"/>
          </w:tcPr>
          <w:p w14:paraId="2E60B646" w14:textId="77777777" w:rsidR="00743633" w:rsidRDefault="00000000">
            <w:pPr>
              <w:spacing w:after="20"/>
            </w:pPr>
            <w:r>
              <w:rPr>
                <w:sz w:val="15"/>
              </w:rPr>
              <w:t>Partial</w:t>
            </w:r>
          </w:p>
        </w:tc>
        <w:tc>
          <w:tcPr>
            <w:tcW w:w="5112" w:type="dxa"/>
            <w:vAlign w:val="center"/>
          </w:tcPr>
          <w:p w14:paraId="4F3D690E" w14:textId="77777777" w:rsidR="007C3E8F" w:rsidRDefault="00000000">
            <w:pPr>
              <w:spacing w:after="20"/>
            </w:pPr>
            <w:r>
              <w:rPr>
                <w:sz w:val="15"/>
              </w:rPr>
              <w:t>OCI O&amp;M accepts service/custom logs, custom metrics, OpenTelemetry and supported agent-based sources; Connector Hub routes complement the integration fabric. Proprietary source formats require product-team interface support and may need a partner-built parser.</w:t>
            </w:r>
          </w:p>
        </w:tc>
        <w:tc>
          <w:tcPr>
            <w:tcW w:w="1993" w:type="dxa"/>
            <w:vAlign w:val="center"/>
          </w:tcPr>
          <w:p w14:paraId="01F41ED3" w14:textId="77777777" w:rsidR="007C3E8F" w:rsidRDefault="00000000">
            <w:pPr>
              <w:spacing w:after="20"/>
            </w:pPr>
            <w:r>
              <w:rPr>
                <w:sz w:val="15"/>
              </w:rPr>
              <w:t>Interface catalogue and PoV against priority tools.</w:t>
            </w:r>
          </w:p>
        </w:tc>
      </w:tr>
      <w:tr w:rsidR="00743633" w14:paraId="67936E19" w14:textId="77777777" w:rsidTr="0011374B">
        <w:tc>
          <w:tcPr>
            <w:tcW w:w="2232" w:type="dxa"/>
            <w:vAlign w:val="center"/>
          </w:tcPr>
          <w:p w14:paraId="30465CE7" w14:textId="77777777" w:rsidR="00743633" w:rsidRDefault="00000000">
            <w:pPr>
              <w:spacing w:after="20"/>
            </w:pPr>
            <w:r>
              <w:rPr>
                <w:sz w:val="15"/>
              </w:rPr>
              <w:t>5.2 Physical/virtual, public/private/hybrid infrastructure monitoring</w:t>
            </w:r>
          </w:p>
        </w:tc>
        <w:tc>
          <w:tcPr>
            <w:tcW w:w="1008" w:type="dxa"/>
            <w:vAlign w:val="center"/>
          </w:tcPr>
          <w:p w14:paraId="1666C4E1" w14:textId="77777777" w:rsidR="00743633" w:rsidRDefault="00000000">
            <w:pPr>
              <w:spacing w:after="20"/>
            </w:pPr>
            <w:r>
              <w:rPr>
                <w:sz w:val="15"/>
              </w:rPr>
              <w:t>Compliant</w:t>
            </w:r>
          </w:p>
        </w:tc>
        <w:tc>
          <w:tcPr>
            <w:tcW w:w="5112" w:type="dxa"/>
            <w:vAlign w:val="center"/>
          </w:tcPr>
          <w:p w14:paraId="7F9BB474" w14:textId="77777777" w:rsidR="007C3E8F" w:rsidRDefault="00000000">
            <w:pPr>
              <w:spacing w:after="20"/>
            </w:pPr>
            <w:r>
              <w:rPr>
                <w:sz w:val="15"/>
              </w:rPr>
              <w:t>OCI Monitoring covers OCI resources and custom metrics; Log Analytics and Management Agent/Gateway collect selected hybrid logs.</w:t>
            </w:r>
          </w:p>
        </w:tc>
        <w:tc>
          <w:tcPr>
            <w:tcW w:w="1993" w:type="dxa"/>
            <w:vAlign w:val="center"/>
          </w:tcPr>
          <w:p w14:paraId="1366BDFE" w14:textId="77777777" w:rsidR="007C3E8F" w:rsidRDefault="00000000">
            <w:pPr>
              <w:spacing w:after="20"/>
            </w:pPr>
            <w:r>
              <w:rPr>
                <w:sz w:val="15"/>
              </w:rPr>
              <w:t>Target support, private connectivity and agent approval.</w:t>
            </w:r>
          </w:p>
        </w:tc>
      </w:tr>
      <w:tr w:rsidR="00743633" w14:paraId="46655712" w14:textId="77777777" w:rsidTr="0011374B">
        <w:tc>
          <w:tcPr>
            <w:tcW w:w="2232" w:type="dxa"/>
            <w:vAlign w:val="center"/>
          </w:tcPr>
          <w:p w14:paraId="1DF39119" w14:textId="77777777" w:rsidR="00743633" w:rsidRDefault="00000000">
            <w:pPr>
              <w:spacing w:after="20"/>
            </w:pPr>
            <w:r>
              <w:rPr>
                <w:sz w:val="15"/>
              </w:rPr>
              <w:t>5.4 Applications, APIs, middleware, microservices and APM</w:t>
            </w:r>
          </w:p>
        </w:tc>
        <w:tc>
          <w:tcPr>
            <w:tcW w:w="1008" w:type="dxa"/>
            <w:vAlign w:val="center"/>
          </w:tcPr>
          <w:p w14:paraId="241221A8" w14:textId="77777777" w:rsidR="00743633" w:rsidRDefault="00000000">
            <w:pPr>
              <w:spacing w:after="20"/>
            </w:pPr>
            <w:r>
              <w:rPr>
                <w:sz w:val="15"/>
              </w:rPr>
              <w:t>Compliant</w:t>
            </w:r>
          </w:p>
        </w:tc>
        <w:tc>
          <w:tcPr>
            <w:tcW w:w="5112" w:type="dxa"/>
            <w:vAlign w:val="center"/>
          </w:tcPr>
          <w:p w14:paraId="66A1FEFF" w14:textId="77777777" w:rsidR="007C3E8F" w:rsidRDefault="00000000">
            <w:pPr>
              <w:spacing w:after="20"/>
            </w:pPr>
            <w:r>
              <w:rPr>
                <w:sz w:val="15"/>
              </w:rPr>
              <w:t>OCI APM and OpenTelemetry provide traces, topology, browser and synthetic telemetry. OCI Logging/Log Analytics provide application log investigation.</w:t>
            </w:r>
          </w:p>
        </w:tc>
        <w:tc>
          <w:tcPr>
            <w:tcW w:w="1993" w:type="dxa"/>
            <w:vAlign w:val="center"/>
          </w:tcPr>
          <w:p w14:paraId="6FC07C16" w14:textId="77777777" w:rsidR="007C3E8F" w:rsidRDefault="00000000">
            <w:pPr>
              <w:spacing w:after="20"/>
            </w:pPr>
            <w:r>
              <w:rPr>
                <w:sz w:val="15"/>
              </w:rPr>
              <w:t>Application-team instrumentation, SLO and data-classification hand-off.</w:t>
            </w:r>
          </w:p>
        </w:tc>
      </w:tr>
      <w:tr w:rsidR="00743633" w14:paraId="5BF167B2" w14:textId="77777777" w:rsidTr="0011374B">
        <w:tc>
          <w:tcPr>
            <w:tcW w:w="2232" w:type="dxa"/>
            <w:vAlign w:val="center"/>
          </w:tcPr>
          <w:p w14:paraId="38CA29C7" w14:textId="77777777" w:rsidR="00743633" w:rsidRDefault="00000000">
            <w:pPr>
              <w:spacing w:after="20"/>
            </w:pPr>
            <w:r>
              <w:rPr>
                <w:sz w:val="15"/>
              </w:rPr>
              <w:t>5.5 Customer journeys, synthetics and SLO tracking</w:t>
            </w:r>
          </w:p>
        </w:tc>
        <w:tc>
          <w:tcPr>
            <w:tcW w:w="1008" w:type="dxa"/>
            <w:vAlign w:val="center"/>
          </w:tcPr>
          <w:p w14:paraId="3EB181C6" w14:textId="77777777" w:rsidR="00743633" w:rsidRDefault="00000000">
            <w:pPr>
              <w:spacing w:after="20"/>
            </w:pPr>
            <w:r>
              <w:rPr>
                <w:sz w:val="15"/>
              </w:rPr>
              <w:t>Partial</w:t>
            </w:r>
          </w:p>
        </w:tc>
        <w:tc>
          <w:tcPr>
            <w:tcW w:w="5112" w:type="dxa"/>
            <w:vAlign w:val="center"/>
          </w:tcPr>
          <w:p w14:paraId="3ACC5189" w14:textId="77777777" w:rsidR="007C3E8F" w:rsidRDefault="00000000">
            <w:pPr>
              <w:spacing w:after="20"/>
            </w:pPr>
            <w:r>
              <w:rPr>
                <w:sz w:val="15"/>
              </w:rPr>
              <w:t>OCI APM synthetics and traces measure selected journeys and APIs; Monitoring alarms evaluate approved service indicators. Business/customer impact depends on externally supplied service and customer context.</w:t>
            </w:r>
          </w:p>
        </w:tc>
        <w:tc>
          <w:tcPr>
            <w:tcW w:w="1993" w:type="dxa"/>
            <w:vAlign w:val="center"/>
          </w:tcPr>
          <w:p w14:paraId="4B60CEFC" w14:textId="77777777" w:rsidR="007C3E8F" w:rsidRDefault="00000000">
            <w:pPr>
              <w:spacing w:after="20"/>
            </w:pPr>
            <w:r>
              <w:rPr>
                <w:sz w:val="15"/>
              </w:rPr>
              <w:t>Product-team journey definitions and allowed customer-data aggregation.</w:t>
            </w:r>
          </w:p>
        </w:tc>
      </w:tr>
      <w:tr w:rsidR="00743633" w14:paraId="3E99B641" w14:textId="77777777" w:rsidTr="0011374B">
        <w:tc>
          <w:tcPr>
            <w:tcW w:w="2232" w:type="dxa"/>
            <w:vAlign w:val="center"/>
          </w:tcPr>
          <w:p w14:paraId="572402CF" w14:textId="77777777" w:rsidR="00743633" w:rsidRDefault="00000000">
            <w:pPr>
              <w:spacing w:after="20"/>
            </w:pPr>
            <w:r>
              <w:rPr>
                <w:sz w:val="15"/>
              </w:rPr>
              <w:lastRenderedPageBreak/>
              <w:t>5.6 Centralized logs, metrics and traces with retention by OPCO/data type</w:t>
            </w:r>
          </w:p>
        </w:tc>
        <w:tc>
          <w:tcPr>
            <w:tcW w:w="1008" w:type="dxa"/>
            <w:vAlign w:val="center"/>
          </w:tcPr>
          <w:p w14:paraId="1B8CB5AA" w14:textId="77777777" w:rsidR="00743633" w:rsidRDefault="00000000">
            <w:pPr>
              <w:spacing w:after="20"/>
            </w:pPr>
            <w:r>
              <w:rPr>
                <w:sz w:val="15"/>
              </w:rPr>
              <w:t>Compliant</w:t>
            </w:r>
          </w:p>
        </w:tc>
        <w:tc>
          <w:tcPr>
            <w:tcW w:w="5112" w:type="dxa"/>
            <w:vAlign w:val="center"/>
          </w:tcPr>
          <w:p w14:paraId="0021F4E8" w14:textId="77777777" w:rsidR="007C3E8F" w:rsidRDefault="00000000">
            <w:pPr>
              <w:spacing w:after="20"/>
            </w:pPr>
            <w:r>
              <w:rPr>
                <w:sz w:val="15"/>
              </w:rPr>
              <w:t>Logging, Monitoring, Log Analytics, APM and Log Analytics archival storage provide managed hot/analytical/archive tiers with compartment, log-group and lifecycle controls.</w:t>
            </w:r>
          </w:p>
        </w:tc>
        <w:tc>
          <w:tcPr>
            <w:tcW w:w="1993" w:type="dxa"/>
            <w:vAlign w:val="center"/>
          </w:tcPr>
          <w:p w14:paraId="31BD19F6" w14:textId="77777777" w:rsidR="007C3E8F" w:rsidRDefault="00000000">
            <w:pPr>
              <w:spacing w:after="20"/>
            </w:pPr>
            <w:r>
              <w:rPr>
                <w:sz w:val="15"/>
              </w:rPr>
              <w:t>Final volume, retention, region and residency design.</w:t>
            </w:r>
          </w:p>
        </w:tc>
      </w:tr>
      <w:tr w:rsidR="00743633" w14:paraId="2051E155" w14:textId="77777777" w:rsidTr="0011374B">
        <w:tc>
          <w:tcPr>
            <w:tcW w:w="2232" w:type="dxa"/>
            <w:vAlign w:val="center"/>
          </w:tcPr>
          <w:p w14:paraId="29F1B335" w14:textId="77777777" w:rsidR="00743633" w:rsidRDefault="00000000">
            <w:pPr>
              <w:spacing w:after="20"/>
            </w:pPr>
            <w:r>
              <w:rPr>
                <w:sz w:val="15"/>
              </w:rPr>
              <w:t>6.2 Group/OPCO dashboards and role-based views</w:t>
            </w:r>
          </w:p>
        </w:tc>
        <w:tc>
          <w:tcPr>
            <w:tcW w:w="1008" w:type="dxa"/>
            <w:vAlign w:val="center"/>
          </w:tcPr>
          <w:p w14:paraId="3874B8B1" w14:textId="77777777" w:rsidR="00743633" w:rsidRDefault="00000000">
            <w:pPr>
              <w:spacing w:after="20"/>
            </w:pPr>
            <w:r>
              <w:rPr>
                <w:sz w:val="15"/>
              </w:rPr>
              <w:t>Compliant</w:t>
            </w:r>
          </w:p>
        </w:tc>
        <w:tc>
          <w:tcPr>
            <w:tcW w:w="5112" w:type="dxa"/>
            <w:vAlign w:val="center"/>
          </w:tcPr>
          <w:p w14:paraId="70DE403B" w14:textId="77777777" w:rsidR="007C3E8F" w:rsidRDefault="00000000">
            <w:pPr>
              <w:spacing w:after="20"/>
            </w:pPr>
            <w:r>
              <w:rPr>
                <w:sz w:val="15"/>
              </w:rPr>
              <w:t>OCI dashboards, Log Analytics dashboards, Kubernetes Solution views and APM views provide service-specific visualisation; cross-product correlation remains outside this response.</w:t>
            </w:r>
          </w:p>
        </w:tc>
        <w:tc>
          <w:tcPr>
            <w:tcW w:w="1993" w:type="dxa"/>
            <w:vAlign w:val="center"/>
          </w:tcPr>
          <w:p w14:paraId="195300C9" w14:textId="77777777" w:rsidR="007C3E8F" w:rsidRDefault="00000000">
            <w:pPr>
              <w:spacing w:after="20"/>
            </w:pPr>
            <w:r>
              <w:rPr>
                <w:sz w:val="15"/>
              </w:rPr>
              <w:t>IAM/compartment model and versioned KPI catalogue.</w:t>
            </w:r>
          </w:p>
        </w:tc>
      </w:tr>
      <w:tr w:rsidR="00743633" w14:paraId="3242BF3A" w14:textId="77777777" w:rsidTr="0011374B">
        <w:tc>
          <w:tcPr>
            <w:tcW w:w="2232" w:type="dxa"/>
            <w:vAlign w:val="center"/>
          </w:tcPr>
          <w:p w14:paraId="003E4A35" w14:textId="77777777" w:rsidR="00743633" w:rsidRDefault="00000000">
            <w:pPr>
              <w:spacing w:after="20"/>
            </w:pPr>
            <w:r>
              <w:rPr>
                <w:sz w:val="15"/>
              </w:rPr>
              <w:t>6.3 Threshold/anomaly alerts, notifications and escalation triggers</w:t>
            </w:r>
          </w:p>
        </w:tc>
        <w:tc>
          <w:tcPr>
            <w:tcW w:w="1008" w:type="dxa"/>
            <w:vAlign w:val="center"/>
          </w:tcPr>
          <w:p w14:paraId="70B17BF0" w14:textId="77777777" w:rsidR="00743633" w:rsidRDefault="00000000">
            <w:pPr>
              <w:spacing w:after="20"/>
            </w:pPr>
            <w:r>
              <w:rPr>
                <w:sz w:val="15"/>
              </w:rPr>
              <w:t>Compliant</w:t>
            </w:r>
          </w:p>
        </w:tc>
        <w:tc>
          <w:tcPr>
            <w:tcW w:w="5112" w:type="dxa"/>
            <w:vAlign w:val="center"/>
          </w:tcPr>
          <w:p w14:paraId="63EC983A" w14:textId="77777777" w:rsidR="007C3E8F" w:rsidRDefault="00000000">
            <w:pPr>
              <w:spacing w:after="20"/>
            </w:pPr>
            <w:r>
              <w:rPr>
                <w:sz w:val="15"/>
              </w:rPr>
              <w:t>Monitoring alarms, Log Analytics scheduled alerts/analytics, APM alarms and Notifications provide threshold/anomaly alerting and governed delivery. Cross-product deduplication, correlation and ticketing are outside this response.</w:t>
            </w:r>
          </w:p>
        </w:tc>
        <w:tc>
          <w:tcPr>
            <w:tcW w:w="1993" w:type="dxa"/>
            <w:vAlign w:val="center"/>
          </w:tcPr>
          <w:p w14:paraId="0698E2D5" w14:textId="77777777" w:rsidR="007C3E8F" w:rsidRDefault="00000000">
            <w:pPr>
              <w:spacing w:after="20"/>
            </w:pPr>
            <w:r>
              <w:rPr>
                <w:sz w:val="15"/>
              </w:rPr>
              <w:t>Alarm ownership, suppression and maintenance-window policy.</w:t>
            </w:r>
          </w:p>
        </w:tc>
      </w:tr>
      <w:tr w:rsidR="00743633" w14:paraId="2EB022CD" w14:textId="77777777" w:rsidTr="0011374B">
        <w:tc>
          <w:tcPr>
            <w:tcW w:w="2232" w:type="dxa"/>
            <w:vAlign w:val="center"/>
          </w:tcPr>
          <w:p w14:paraId="45AED03D" w14:textId="77777777" w:rsidR="00743633" w:rsidRDefault="00000000">
            <w:pPr>
              <w:spacing w:after="20"/>
            </w:pPr>
            <w:r>
              <w:rPr>
                <w:sz w:val="15"/>
              </w:rPr>
              <w:t>6.5 Anomaly/trend analysis and operations intelligence</w:t>
            </w:r>
          </w:p>
        </w:tc>
        <w:tc>
          <w:tcPr>
            <w:tcW w:w="1008" w:type="dxa"/>
            <w:vAlign w:val="center"/>
          </w:tcPr>
          <w:p w14:paraId="5E778887" w14:textId="77777777" w:rsidR="00743633" w:rsidRDefault="00000000">
            <w:pPr>
              <w:spacing w:after="20"/>
            </w:pPr>
            <w:r>
              <w:rPr>
                <w:sz w:val="15"/>
              </w:rPr>
              <w:t>Compliant</w:t>
            </w:r>
          </w:p>
        </w:tc>
        <w:tc>
          <w:tcPr>
            <w:tcW w:w="5112" w:type="dxa"/>
            <w:vAlign w:val="center"/>
          </w:tcPr>
          <w:p w14:paraId="2ABD911D" w14:textId="77777777" w:rsidR="007C3E8F" w:rsidRDefault="00000000">
            <w:pPr>
              <w:spacing w:after="20"/>
            </w:pPr>
            <w:r>
              <w:rPr>
                <w:sz w:val="15"/>
              </w:rPr>
              <w:t>Log Analytics clustering, link/cluster compare and anomaly workflows, Monitoring metrics, APM signals provide domain analytics. Cross-domain correlation is an external product-team responsibility.</w:t>
            </w:r>
          </w:p>
        </w:tc>
        <w:tc>
          <w:tcPr>
            <w:tcW w:w="1993" w:type="dxa"/>
            <w:vAlign w:val="center"/>
          </w:tcPr>
          <w:p w14:paraId="4574D8DB" w14:textId="77777777" w:rsidR="007C3E8F" w:rsidRDefault="00000000">
            <w:pPr>
              <w:spacing w:after="20"/>
            </w:pPr>
            <w:r>
              <w:rPr>
                <w:sz w:val="15"/>
              </w:rPr>
              <w:t>Use-case-specific success metrics and PoV.</w:t>
            </w:r>
          </w:p>
        </w:tc>
      </w:tr>
      <w:tr w:rsidR="00743633" w14:paraId="228D8B2F" w14:textId="77777777" w:rsidTr="0011374B">
        <w:tc>
          <w:tcPr>
            <w:tcW w:w="2232" w:type="dxa"/>
            <w:vAlign w:val="center"/>
          </w:tcPr>
          <w:p w14:paraId="3633D2C3" w14:textId="77777777" w:rsidR="00743633" w:rsidRDefault="00000000">
            <w:pPr>
              <w:spacing w:after="20"/>
            </w:pPr>
            <w:r>
              <w:rPr>
                <w:sz w:val="15"/>
              </w:rPr>
              <w:t>6.5 Agentic incident commander / war-room copilot</w:t>
            </w:r>
          </w:p>
        </w:tc>
        <w:tc>
          <w:tcPr>
            <w:tcW w:w="1008" w:type="dxa"/>
            <w:vAlign w:val="center"/>
          </w:tcPr>
          <w:p w14:paraId="7D2956D5" w14:textId="77777777" w:rsidR="00743633" w:rsidRDefault="00000000">
            <w:pPr>
              <w:spacing w:after="20"/>
            </w:pPr>
            <w:r>
              <w:rPr>
                <w:sz w:val="15"/>
              </w:rPr>
              <w:t>Partial</w:t>
            </w:r>
          </w:p>
        </w:tc>
        <w:tc>
          <w:tcPr>
            <w:tcW w:w="5112" w:type="dxa"/>
            <w:vAlign w:val="center"/>
          </w:tcPr>
          <w:p w14:paraId="35F51AF9" w14:textId="77777777" w:rsidR="007C3E8F" w:rsidRDefault="00000000">
            <w:pPr>
              <w:spacing w:after="20"/>
            </w:pPr>
            <w:r>
              <w:rPr>
                <w:sz w:val="15"/>
              </w:rPr>
              <w:t>LoganAI can summarise/explain logs, clusters, charts and selected Monitoring metrics, but it is not an agent. A dedicated cross-domain incident agent must be built using OCI Generative AI/agent capabilities.</w:t>
            </w:r>
          </w:p>
        </w:tc>
        <w:tc>
          <w:tcPr>
            <w:tcW w:w="1993" w:type="dxa"/>
            <w:vAlign w:val="center"/>
          </w:tcPr>
          <w:p w14:paraId="17188406" w14:textId="77777777" w:rsidR="007C3E8F" w:rsidRDefault="00000000">
            <w:pPr>
              <w:spacing w:after="20"/>
            </w:pPr>
            <w:r>
              <w:rPr>
                <w:sz w:val="15"/>
              </w:rPr>
              <w:t>OCI AI Team (Alex Negrea) required; agent architecture, retrieval/tool contracts, citations, evaluation and human approval.</w:t>
            </w:r>
          </w:p>
        </w:tc>
      </w:tr>
      <w:tr w:rsidR="00743633" w14:paraId="6970D99F" w14:textId="77777777" w:rsidTr="0011374B">
        <w:tc>
          <w:tcPr>
            <w:tcW w:w="2232" w:type="dxa"/>
            <w:vAlign w:val="center"/>
          </w:tcPr>
          <w:p w14:paraId="2B215BF9" w14:textId="77777777" w:rsidR="00743633" w:rsidRDefault="00000000">
            <w:pPr>
              <w:spacing w:after="20"/>
            </w:pPr>
            <w:r>
              <w:rPr>
                <w:sz w:val="15"/>
              </w:rPr>
              <w:t>6.5 Agentic automated evidence packaging</w:t>
            </w:r>
          </w:p>
        </w:tc>
        <w:tc>
          <w:tcPr>
            <w:tcW w:w="1008" w:type="dxa"/>
            <w:vAlign w:val="center"/>
          </w:tcPr>
          <w:p w14:paraId="39D22764" w14:textId="77777777" w:rsidR="00743633" w:rsidRDefault="00000000">
            <w:pPr>
              <w:spacing w:after="20"/>
            </w:pPr>
            <w:r>
              <w:rPr>
                <w:sz w:val="15"/>
              </w:rPr>
              <w:t>Partial</w:t>
            </w:r>
          </w:p>
        </w:tc>
        <w:tc>
          <w:tcPr>
            <w:tcW w:w="5112" w:type="dxa"/>
            <w:vAlign w:val="center"/>
          </w:tcPr>
          <w:p w14:paraId="4E3DE931" w14:textId="77777777" w:rsidR="007C3E8F" w:rsidRDefault="00000000">
            <w:pPr>
              <w:spacing w:after="20"/>
            </w:pPr>
            <w:r>
              <w:rPr>
                <w:sz w:val="15"/>
              </w:rPr>
              <w:t>Log Analytics, APM, Monitoring and Log Analytics archival storage provide governed evidence. A custom agent must retrieve authorised evidence plus any separately approved external context and package it by resolver policy.</w:t>
            </w:r>
          </w:p>
        </w:tc>
        <w:tc>
          <w:tcPr>
            <w:tcW w:w="1993" w:type="dxa"/>
            <w:vAlign w:val="center"/>
          </w:tcPr>
          <w:p w14:paraId="3827C9AE" w14:textId="77777777" w:rsidR="007C3E8F" w:rsidRDefault="00000000">
            <w:pPr>
              <w:spacing w:after="20"/>
            </w:pPr>
            <w:r>
              <w:rPr>
                <w:rFonts w:ascii="Arial" w:hAnsi="Arial"/>
                <w:sz w:val="18"/>
              </w:rPr>
              <w:t>OCI AI Team, CSS/partner development, Security acceptance.</w:t>
            </w:r>
          </w:p>
        </w:tc>
      </w:tr>
      <w:tr w:rsidR="00743633" w14:paraId="0C4A638B" w14:textId="77777777" w:rsidTr="0011374B">
        <w:tc>
          <w:tcPr>
            <w:tcW w:w="2232" w:type="dxa"/>
            <w:vAlign w:val="center"/>
          </w:tcPr>
          <w:p w14:paraId="2959988E" w14:textId="77777777" w:rsidR="00743633" w:rsidRDefault="00000000">
            <w:pPr>
              <w:spacing w:after="20"/>
            </w:pPr>
            <w:r>
              <w:rPr>
                <w:sz w:val="15"/>
              </w:rPr>
              <w:t>6.6 Secure collection, backfill and pipeline monitoring</w:t>
            </w:r>
          </w:p>
        </w:tc>
        <w:tc>
          <w:tcPr>
            <w:tcW w:w="1008" w:type="dxa"/>
            <w:vAlign w:val="center"/>
          </w:tcPr>
          <w:p w14:paraId="6D3E59B9" w14:textId="77777777" w:rsidR="00743633" w:rsidRDefault="00000000">
            <w:pPr>
              <w:spacing w:after="20"/>
            </w:pPr>
            <w:r>
              <w:rPr>
                <w:sz w:val="15"/>
              </w:rPr>
              <w:t>Compliant</w:t>
            </w:r>
          </w:p>
        </w:tc>
        <w:tc>
          <w:tcPr>
            <w:tcW w:w="5112" w:type="dxa"/>
            <w:vAlign w:val="center"/>
          </w:tcPr>
          <w:p w14:paraId="0C04FBC1" w14:textId="77777777" w:rsidR="007C3E8F" w:rsidRDefault="00000000">
            <w:pPr>
              <w:spacing w:after="20"/>
            </w:pPr>
            <w:r>
              <w:rPr>
                <w:sz w:val="15"/>
              </w:rPr>
              <w:t>Management Agent/Gateway, Logging, Connector Hub, supported collection routes and Log Analytics archival storage support secure collection, routing, buffering/archive and replay. Monitoring tracks route/agent/queue health through available service and custom metrics.</w:t>
            </w:r>
          </w:p>
        </w:tc>
        <w:tc>
          <w:tcPr>
            <w:tcW w:w="1993" w:type="dxa"/>
            <w:vAlign w:val="center"/>
          </w:tcPr>
          <w:p w14:paraId="363AE405" w14:textId="77777777" w:rsidR="007C3E8F" w:rsidRDefault="00000000">
            <w:pPr>
              <w:spacing w:after="20"/>
            </w:pPr>
            <w:r>
              <w:rPr>
                <w:sz w:val="15"/>
              </w:rPr>
              <w:t>Measured throughput, loss, parsing-error and replay tests.</w:t>
            </w:r>
          </w:p>
        </w:tc>
      </w:tr>
      <w:tr w:rsidR="00743633" w14:paraId="690D912A" w14:textId="77777777" w:rsidTr="0011374B">
        <w:tc>
          <w:tcPr>
            <w:tcW w:w="2232" w:type="dxa"/>
            <w:vAlign w:val="center"/>
          </w:tcPr>
          <w:p w14:paraId="1CD9892A" w14:textId="77777777" w:rsidR="00743633" w:rsidRDefault="00000000">
            <w:pPr>
              <w:spacing w:after="20"/>
            </w:pPr>
            <w:r>
              <w:rPr>
                <w:sz w:val="15"/>
              </w:rPr>
              <w:t>6.7 Parsing, enrichment, retention, masking and export</w:t>
            </w:r>
          </w:p>
        </w:tc>
        <w:tc>
          <w:tcPr>
            <w:tcW w:w="1008" w:type="dxa"/>
            <w:vAlign w:val="center"/>
          </w:tcPr>
          <w:p w14:paraId="606FD68A" w14:textId="77777777" w:rsidR="00743633" w:rsidRDefault="00000000">
            <w:pPr>
              <w:spacing w:after="20"/>
            </w:pPr>
            <w:r>
              <w:rPr>
                <w:sz w:val="15"/>
              </w:rPr>
              <w:t>Partial</w:t>
            </w:r>
          </w:p>
        </w:tc>
        <w:tc>
          <w:tcPr>
            <w:tcW w:w="5112" w:type="dxa"/>
            <w:vAlign w:val="center"/>
          </w:tcPr>
          <w:p w14:paraId="3D865482" w14:textId="77777777" w:rsidR="007C3E8F" w:rsidRDefault="00000000">
            <w:pPr>
              <w:spacing w:after="20"/>
            </w:pPr>
            <w:r>
              <w:rPr>
                <w:sz w:val="15"/>
              </w:rPr>
              <w:t>Log Analytics sources/parsers/enrichment, service connectors and storage lifecycle policies cover the OCI log path. The Group canonical telecom schema, entity reconciliation and data-residency decisions require custom design.</w:t>
            </w:r>
          </w:p>
        </w:tc>
        <w:tc>
          <w:tcPr>
            <w:tcW w:w="1993" w:type="dxa"/>
            <w:vAlign w:val="center"/>
          </w:tcPr>
          <w:p w14:paraId="6564DA0A" w14:textId="77777777" w:rsidR="007C3E8F" w:rsidRDefault="00000000">
            <w:pPr>
              <w:spacing w:after="20"/>
            </w:pPr>
            <w:r>
              <w:rPr>
                <w:sz w:val="15"/>
              </w:rPr>
              <w:t>Data-governance design, parser tests and residency approval.</w:t>
            </w:r>
          </w:p>
        </w:tc>
      </w:tr>
      <w:tr w:rsidR="00743633" w14:paraId="14ECCCEB" w14:textId="77777777" w:rsidTr="0011374B">
        <w:tc>
          <w:tcPr>
            <w:tcW w:w="2232" w:type="dxa"/>
            <w:vAlign w:val="center"/>
          </w:tcPr>
          <w:p w14:paraId="4886E8CD" w14:textId="77777777" w:rsidR="00743633" w:rsidRDefault="00000000">
            <w:pPr>
              <w:spacing w:after="20"/>
            </w:pPr>
            <w:r>
              <w:rPr>
                <w:sz w:val="15"/>
              </w:rPr>
              <w:t>6.10 Adaptive baselines, anomalies and silent degradation</w:t>
            </w:r>
          </w:p>
        </w:tc>
        <w:tc>
          <w:tcPr>
            <w:tcW w:w="1008" w:type="dxa"/>
            <w:vAlign w:val="center"/>
          </w:tcPr>
          <w:p w14:paraId="7A9DD391" w14:textId="77777777" w:rsidR="00743633" w:rsidRDefault="00000000">
            <w:pPr>
              <w:spacing w:after="20"/>
            </w:pPr>
            <w:r>
              <w:rPr>
                <w:sz w:val="15"/>
              </w:rPr>
              <w:t>Partial</w:t>
            </w:r>
          </w:p>
        </w:tc>
        <w:tc>
          <w:tcPr>
            <w:tcW w:w="5112" w:type="dxa"/>
            <w:vAlign w:val="center"/>
          </w:tcPr>
          <w:p w14:paraId="13CA4C60" w14:textId="77777777" w:rsidR="007C3E8F" w:rsidRDefault="00000000">
            <w:pPr>
              <w:spacing w:after="20"/>
            </w:pPr>
            <w:r>
              <w:rPr>
                <w:rFonts w:ascii="Arial" w:hAnsi="Arial"/>
                <w:sz w:val="18"/>
              </w:rPr>
              <w:t>Monitoring alarms, Log Analytics ML commands/analytics, APM and Log Analytics and APM can detect domain-specific deviations. Telecom multi-dimensional modelling and accuracy must be validated with external assurance/data-science use cases.</w:t>
            </w:r>
          </w:p>
        </w:tc>
        <w:tc>
          <w:tcPr>
            <w:tcW w:w="1993" w:type="dxa"/>
            <w:vAlign w:val="center"/>
          </w:tcPr>
          <w:p w14:paraId="52E0CB87" w14:textId="77777777" w:rsidR="007C3E8F" w:rsidRDefault="00000000">
            <w:pPr>
              <w:spacing w:after="20"/>
            </w:pPr>
            <w:r>
              <w:rPr>
                <w:sz w:val="15"/>
              </w:rPr>
              <w:t>Historical data, labels, false-positive/negative review and drift process.</w:t>
            </w:r>
          </w:p>
        </w:tc>
      </w:tr>
      <w:tr w:rsidR="00743633" w14:paraId="40ABC6EF" w14:textId="77777777" w:rsidTr="0011374B">
        <w:tc>
          <w:tcPr>
            <w:tcW w:w="2232" w:type="dxa"/>
            <w:vAlign w:val="center"/>
          </w:tcPr>
          <w:p w14:paraId="5B7E02CD" w14:textId="77777777" w:rsidR="00743633" w:rsidRDefault="00000000">
            <w:pPr>
              <w:spacing w:after="20"/>
            </w:pPr>
            <w:r>
              <w:rPr>
                <w:sz w:val="15"/>
              </w:rPr>
              <w:t>6.11 Capacity forecasting and time-to-threshold</w:t>
            </w:r>
          </w:p>
        </w:tc>
        <w:tc>
          <w:tcPr>
            <w:tcW w:w="1008" w:type="dxa"/>
            <w:vAlign w:val="center"/>
          </w:tcPr>
          <w:p w14:paraId="0C3E4B7E" w14:textId="77777777" w:rsidR="00743633" w:rsidRDefault="00000000">
            <w:pPr>
              <w:spacing w:after="20"/>
            </w:pPr>
            <w:r>
              <w:rPr>
                <w:sz w:val="15"/>
              </w:rPr>
              <w:t>Partial</w:t>
            </w:r>
          </w:p>
        </w:tc>
        <w:tc>
          <w:tcPr>
            <w:tcW w:w="5112" w:type="dxa"/>
            <w:vAlign w:val="center"/>
          </w:tcPr>
          <w:p w14:paraId="4CE2CC28" w14:textId="77777777" w:rsidR="007C3E8F" w:rsidRDefault="00000000">
            <w:pPr>
              <w:spacing w:after="20"/>
            </w:pPr>
            <w:r>
              <w:rPr>
                <w:sz w:val="15"/>
              </w:rPr>
              <w:t>Monitoring provides metric alarms. Forecasting beyond available Monitoring metrics is outside this Observability response.</w:t>
            </w:r>
          </w:p>
        </w:tc>
        <w:tc>
          <w:tcPr>
            <w:tcW w:w="1993" w:type="dxa"/>
            <w:vAlign w:val="center"/>
          </w:tcPr>
          <w:p w14:paraId="33BEFAE4" w14:textId="77777777" w:rsidR="007C3E8F" w:rsidRDefault="00000000">
            <w:pPr>
              <w:spacing w:after="20"/>
            </w:pPr>
            <w:r>
              <w:rPr>
                <w:sz w:val="15"/>
              </w:rPr>
              <w:t>Metric availability and use-case accuracy acceptance.</w:t>
            </w:r>
          </w:p>
        </w:tc>
      </w:tr>
      <w:tr w:rsidR="00743633" w14:paraId="5D6E62F6" w14:textId="77777777" w:rsidTr="0011374B">
        <w:tc>
          <w:tcPr>
            <w:tcW w:w="2232" w:type="dxa"/>
            <w:vAlign w:val="center"/>
          </w:tcPr>
          <w:p w14:paraId="18FB8AF4" w14:textId="77777777" w:rsidR="00743633" w:rsidRDefault="00000000">
            <w:pPr>
              <w:spacing w:after="20"/>
            </w:pPr>
            <w:r>
              <w:rPr>
                <w:sz w:val="15"/>
              </w:rPr>
              <w:t>7 HA, scalability, multi-tenancy, RBAC and audit</w:t>
            </w:r>
          </w:p>
        </w:tc>
        <w:tc>
          <w:tcPr>
            <w:tcW w:w="1008" w:type="dxa"/>
            <w:vAlign w:val="center"/>
          </w:tcPr>
          <w:p w14:paraId="050E7B1A" w14:textId="77777777" w:rsidR="00743633" w:rsidRDefault="00000000">
            <w:pPr>
              <w:spacing w:after="20"/>
            </w:pPr>
            <w:r>
              <w:rPr>
                <w:sz w:val="15"/>
              </w:rPr>
              <w:t>Partial</w:t>
            </w:r>
          </w:p>
        </w:tc>
        <w:tc>
          <w:tcPr>
            <w:tcW w:w="5112" w:type="dxa"/>
            <w:vAlign w:val="center"/>
          </w:tcPr>
          <w:p w14:paraId="17953A5D" w14:textId="77777777" w:rsidR="007C3E8F" w:rsidRDefault="00000000">
            <w:pPr>
              <w:spacing w:after="20"/>
            </w:pPr>
            <w:r>
              <w:rPr>
                <w:sz w:val="15"/>
              </w:rPr>
              <w:t>Managed OCI services supply regional service architecture, compartments, IAM policies, encryption and Audit. Final end-to-end availability and data isolation include product-team platforms and external integrations and require sizing.</w:t>
            </w:r>
          </w:p>
        </w:tc>
        <w:tc>
          <w:tcPr>
            <w:tcW w:w="1993" w:type="dxa"/>
            <w:vAlign w:val="center"/>
          </w:tcPr>
          <w:p w14:paraId="52ECB1D0" w14:textId="77777777" w:rsidR="007C3E8F" w:rsidRDefault="00000000">
            <w:pPr>
              <w:spacing w:after="20"/>
            </w:pPr>
            <w:r>
              <w:rPr>
                <w:sz w:val="15"/>
              </w:rPr>
              <w:t>Architecture, load, failure and isolation tests.</w:t>
            </w:r>
          </w:p>
        </w:tc>
      </w:tr>
      <w:tr w:rsidR="00743633" w14:paraId="0A4BA4B0" w14:textId="77777777" w:rsidTr="0011374B">
        <w:tc>
          <w:tcPr>
            <w:tcW w:w="2232" w:type="dxa"/>
            <w:vAlign w:val="center"/>
          </w:tcPr>
          <w:p w14:paraId="6ED74E82" w14:textId="77777777" w:rsidR="00743633" w:rsidRDefault="00000000">
            <w:pPr>
              <w:spacing w:after="20"/>
            </w:pPr>
            <w:r>
              <w:rPr>
                <w:sz w:val="15"/>
              </w:rPr>
              <w:t>7.2 Platform self-monitoring and backlog/capacity alerts</w:t>
            </w:r>
          </w:p>
        </w:tc>
        <w:tc>
          <w:tcPr>
            <w:tcW w:w="1008" w:type="dxa"/>
            <w:vAlign w:val="center"/>
          </w:tcPr>
          <w:p w14:paraId="54EBB495" w14:textId="77777777" w:rsidR="00743633" w:rsidRDefault="00000000">
            <w:pPr>
              <w:spacing w:after="20"/>
            </w:pPr>
            <w:r>
              <w:rPr>
                <w:sz w:val="15"/>
              </w:rPr>
              <w:t>Compliant</w:t>
            </w:r>
          </w:p>
        </w:tc>
        <w:tc>
          <w:tcPr>
            <w:tcW w:w="5112" w:type="dxa"/>
            <w:vAlign w:val="center"/>
          </w:tcPr>
          <w:p w14:paraId="717B8C6C" w14:textId="77777777" w:rsidR="007C3E8F" w:rsidRDefault="00000000">
            <w:pPr>
              <w:spacing w:after="20"/>
            </w:pPr>
            <w:r>
              <w:rPr>
                <w:sz w:val="15"/>
              </w:rPr>
              <w:t>Monitoring, Logging, APM and service/custom metrics monitor collectors, agents, routes, streams, customer-managed Kubernetes monitoring components and supporting services; alerts go to the independent operations path.</w:t>
            </w:r>
          </w:p>
        </w:tc>
        <w:tc>
          <w:tcPr>
            <w:tcW w:w="1993" w:type="dxa"/>
            <w:vAlign w:val="center"/>
          </w:tcPr>
          <w:p w14:paraId="2BC6F256" w14:textId="77777777" w:rsidR="007C3E8F" w:rsidRDefault="00000000">
            <w:pPr>
              <w:spacing w:after="20"/>
            </w:pPr>
            <w:r>
              <w:rPr>
                <w:sz w:val="15"/>
              </w:rPr>
              <w:t>“Monitor the monitoring” dashboard and injected-failure test.</w:t>
            </w:r>
          </w:p>
        </w:tc>
      </w:tr>
      <w:tr w:rsidR="00743633" w14:paraId="4C96B284" w14:textId="77777777" w:rsidTr="0011374B">
        <w:tc>
          <w:tcPr>
            <w:tcW w:w="2232" w:type="dxa"/>
            <w:vAlign w:val="center"/>
          </w:tcPr>
          <w:p w14:paraId="12F9A671" w14:textId="77777777" w:rsidR="00743633" w:rsidRDefault="00000000">
            <w:pPr>
              <w:spacing w:after="20"/>
            </w:pPr>
            <w:r>
              <w:rPr>
                <w:sz w:val="15"/>
              </w:rPr>
              <w:t>8 Central analytics with distributed collection and hybrid deployment</w:t>
            </w:r>
          </w:p>
        </w:tc>
        <w:tc>
          <w:tcPr>
            <w:tcW w:w="1008" w:type="dxa"/>
            <w:vAlign w:val="center"/>
          </w:tcPr>
          <w:p w14:paraId="0E7300DD" w14:textId="77777777" w:rsidR="00743633" w:rsidRDefault="00000000">
            <w:pPr>
              <w:spacing w:after="20"/>
            </w:pPr>
            <w:r>
              <w:rPr>
                <w:sz w:val="15"/>
              </w:rPr>
              <w:t>Compliant</w:t>
            </w:r>
          </w:p>
        </w:tc>
        <w:tc>
          <w:tcPr>
            <w:tcW w:w="5112" w:type="dxa"/>
            <w:vAlign w:val="center"/>
          </w:tcPr>
          <w:p w14:paraId="6CF4E085" w14:textId="77777777" w:rsidR="007C3E8F" w:rsidRDefault="00000000">
            <w:pPr>
              <w:spacing w:after="20"/>
            </w:pPr>
            <w:r>
              <w:rPr>
                <w:sz w:val="15"/>
              </w:rPr>
              <w:t>Management Agent/Gateway, private networking, Logging/Log Analytics, APM/OTel and supported collection routes implement distributed collection to centralized OCI analytics.</w:t>
            </w:r>
          </w:p>
        </w:tc>
        <w:tc>
          <w:tcPr>
            <w:tcW w:w="1993" w:type="dxa"/>
            <w:vAlign w:val="center"/>
          </w:tcPr>
          <w:p w14:paraId="09563E0A" w14:textId="77777777" w:rsidR="007C3E8F" w:rsidRDefault="00000000">
            <w:pPr>
              <w:spacing w:after="20"/>
            </w:pPr>
            <w:r>
              <w:rPr>
                <w:sz w:val="15"/>
              </w:rPr>
              <w:t>Network/port/proxy matrix and per-OPCO deployment pattern.</w:t>
            </w:r>
          </w:p>
        </w:tc>
      </w:tr>
      <w:tr w:rsidR="00743633" w14:paraId="7EB6E428" w14:textId="77777777" w:rsidTr="0011374B">
        <w:tc>
          <w:tcPr>
            <w:tcW w:w="2232" w:type="dxa"/>
            <w:vAlign w:val="center"/>
          </w:tcPr>
          <w:p w14:paraId="4C4B4439" w14:textId="77777777" w:rsidR="00743633" w:rsidRDefault="00000000">
            <w:pPr>
              <w:spacing w:after="20"/>
            </w:pPr>
            <w:r>
              <w:rPr>
                <w:sz w:val="15"/>
              </w:rPr>
              <w:t>9 Secure ingestion, IAM integration, encryption and audit</w:t>
            </w:r>
          </w:p>
        </w:tc>
        <w:tc>
          <w:tcPr>
            <w:tcW w:w="1008" w:type="dxa"/>
            <w:vAlign w:val="center"/>
          </w:tcPr>
          <w:p w14:paraId="7E85297A" w14:textId="77777777" w:rsidR="00743633" w:rsidRDefault="00000000">
            <w:pPr>
              <w:spacing w:after="20"/>
            </w:pPr>
            <w:r>
              <w:rPr>
                <w:sz w:val="15"/>
              </w:rPr>
              <w:t>Compliant</w:t>
            </w:r>
          </w:p>
        </w:tc>
        <w:tc>
          <w:tcPr>
            <w:tcW w:w="5112" w:type="dxa"/>
            <w:vAlign w:val="center"/>
          </w:tcPr>
          <w:p w14:paraId="5595274D" w14:textId="77777777" w:rsidR="007C3E8F" w:rsidRDefault="00000000">
            <w:pPr>
              <w:spacing w:after="20"/>
            </w:pPr>
            <w:r>
              <w:rPr>
                <w:sz w:val="15"/>
              </w:rPr>
              <w:t>IAM federation/policies, Vault, TLS/private networking, service encryption, Audit and Cloud Guard provide the OCI control framework.</w:t>
            </w:r>
          </w:p>
        </w:tc>
        <w:tc>
          <w:tcPr>
            <w:tcW w:w="1993" w:type="dxa"/>
            <w:vAlign w:val="center"/>
          </w:tcPr>
          <w:p w14:paraId="5611AA16" w14:textId="77777777" w:rsidR="007C3E8F" w:rsidRDefault="00000000">
            <w:pPr>
              <w:spacing w:after="20"/>
            </w:pPr>
            <w:r>
              <w:rPr>
                <w:sz w:val="15"/>
              </w:rPr>
              <w:t>Security design, policy review, key/secret rotation and evidence test.</w:t>
            </w:r>
          </w:p>
        </w:tc>
      </w:tr>
      <w:tr w:rsidR="00743633" w14:paraId="4E7082FC" w14:textId="77777777" w:rsidTr="0011374B">
        <w:tc>
          <w:tcPr>
            <w:tcW w:w="2232" w:type="dxa"/>
            <w:vAlign w:val="center"/>
          </w:tcPr>
          <w:p w14:paraId="495BCE63" w14:textId="77777777" w:rsidR="00743633" w:rsidRDefault="00000000">
            <w:pPr>
              <w:spacing w:after="20"/>
            </w:pPr>
            <w:r>
              <w:rPr>
                <w:sz w:val="15"/>
              </w:rPr>
              <w:t>10.3 PoV: ingestion, AIOps, security and workflow evidence</w:t>
            </w:r>
          </w:p>
        </w:tc>
        <w:tc>
          <w:tcPr>
            <w:tcW w:w="1008" w:type="dxa"/>
            <w:vAlign w:val="center"/>
          </w:tcPr>
          <w:p w14:paraId="62098F8B" w14:textId="77777777" w:rsidR="00743633" w:rsidRDefault="00000000">
            <w:pPr>
              <w:spacing w:after="20"/>
            </w:pPr>
            <w:r>
              <w:rPr>
                <w:sz w:val="15"/>
              </w:rPr>
              <w:t>Compliant</w:t>
            </w:r>
          </w:p>
        </w:tc>
        <w:tc>
          <w:tcPr>
            <w:tcW w:w="5112" w:type="dxa"/>
            <w:vAlign w:val="center"/>
          </w:tcPr>
          <w:p w14:paraId="23D4B0B3" w14:textId="77777777" w:rsidR="007C3E8F" w:rsidRDefault="00000000">
            <w:pPr>
              <w:spacing w:after="20"/>
            </w:pPr>
            <w:r>
              <w:rPr>
                <w:sz w:val="15"/>
              </w:rPr>
              <w:t>OCI services expose measurable ingestion, alarm, query and agent health evidence. The PoV must measure completeness/latency, customer-managed Kubernetes views, APM trace continuity, LoganAI human validation and security controls.</w:t>
            </w:r>
          </w:p>
        </w:tc>
        <w:tc>
          <w:tcPr>
            <w:tcW w:w="1993" w:type="dxa"/>
            <w:vAlign w:val="center"/>
          </w:tcPr>
          <w:p w14:paraId="318B7767" w14:textId="77777777" w:rsidR="007C3E8F" w:rsidRDefault="00000000">
            <w:pPr>
              <w:spacing w:after="20"/>
            </w:pPr>
            <w:r>
              <w:rPr>
                <w:sz w:val="15"/>
              </w:rPr>
              <w:t>Signed acceptance metrics; no generic production claims before evidence.</w:t>
            </w:r>
          </w:p>
        </w:tc>
      </w:tr>
      <w:tr w:rsidR="00743633" w14:paraId="74B86CB2" w14:textId="77777777" w:rsidTr="0011374B">
        <w:tc>
          <w:tcPr>
            <w:tcW w:w="2232" w:type="dxa"/>
            <w:vAlign w:val="center"/>
          </w:tcPr>
          <w:p w14:paraId="4D5DCBD9" w14:textId="77777777" w:rsidR="00743633" w:rsidRDefault="00000000">
            <w:pPr>
              <w:spacing w:after="20"/>
            </w:pPr>
            <w:r>
              <w:rPr>
                <w:sz w:val="15"/>
              </w:rPr>
              <w:t>10.4 Support, patching and professional services</w:t>
            </w:r>
          </w:p>
        </w:tc>
        <w:tc>
          <w:tcPr>
            <w:tcW w:w="1008" w:type="dxa"/>
            <w:vAlign w:val="center"/>
          </w:tcPr>
          <w:p w14:paraId="2262168E" w14:textId="77777777" w:rsidR="00743633" w:rsidRDefault="00000000">
            <w:pPr>
              <w:spacing w:after="20"/>
            </w:pPr>
            <w:r>
              <w:rPr>
                <w:sz w:val="15"/>
              </w:rPr>
              <w:t>Partial</w:t>
            </w:r>
          </w:p>
        </w:tc>
        <w:tc>
          <w:tcPr>
            <w:tcW w:w="5112" w:type="dxa"/>
            <w:vAlign w:val="center"/>
          </w:tcPr>
          <w:p w14:paraId="28080D72" w14:textId="77777777" w:rsidR="007C3E8F" w:rsidRDefault="00000000">
            <w:pPr>
              <w:spacing w:after="20"/>
            </w:pPr>
            <w:r>
              <w:rPr>
                <w:sz w:val="15"/>
              </w:rPr>
              <w:t>Oracle Support covers subscribed OCI services under their service terms. Custom parsers, agents, dashboards and integrations need named CSS/partner and Axian owners.</w:t>
            </w:r>
          </w:p>
        </w:tc>
        <w:tc>
          <w:tcPr>
            <w:tcW w:w="1993" w:type="dxa"/>
            <w:vAlign w:val="center"/>
          </w:tcPr>
          <w:p w14:paraId="57F8894E" w14:textId="77777777" w:rsidR="007C3E8F" w:rsidRDefault="00000000">
            <w:pPr>
              <w:spacing w:after="20"/>
            </w:pPr>
            <w:r>
              <w:rPr>
                <w:sz w:val="15"/>
              </w:rPr>
              <w:t>Support plan, escalation matrix, patch lifecycle and statements of work.</w:t>
            </w:r>
          </w:p>
        </w:tc>
      </w:tr>
    </w:tbl>
    <w:p w14:paraId="622ED010" w14:textId="77777777" w:rsidR="00743633" w:rsidRDefault="00000000">
      <w:pPr>
        <w:pStyle w:val="Heading1"/>
      </w:pPr>
      <w:r>
        <w:rPr>
          <w:rFonts w:ascii="Arial" w:hAnsi="Arial"/>
          <w:sz w:val="18"/>
        </w:rPr>
        <w:lastRenderedPageBreak/>
        <w:t>4. Customer-managed Kubernetes monitoring answer</w:t>
      </w:r>
    </w:p>
    <w:p w14:paraId="38F0E921" w14:textId="77777777" w:rsidR="00743633" w:rsidRDefault="00000000">
      <w:r>
        <w:rPr>
          <w:rFonts w:ascii="Arial" w:hAnsi="Arial"/>
          <w:sz w:val="18"/>
        </w:rPr>
        <w:t>The RFP explicitly includes containers, application platforms, central logs/metrics/traces and topology-aware operations. OCI Log Analytics Kubernetes Monitoring Solution is therefore proposed in the OCI Observability scope for the customer's Kubernetes estate. For each approved cluster, the solution collects selected Kubernetes logs, metrics and object state and exposes cluster, workload, node and pod views. It is combined with OCI Monitoring for approved metrics and alarms, OCI Logging for service/custom logs, Connector Hub for routing and OCI APM/OpenTelemetry for application traces and synthetics.</w:t>
      </w:r>
    </w:p>
    <w:p w14:paraId="0D2C5F5F" w14:textId="77777777" w:rsidR="00743633" w:rsidRDefault="00000000">
      <w:r>
        <w:rPr>
          <w:rFonts w:ascii="Arial" w:hAnsi="Arial"/>
          <w:sz w:val="18"/>
        </w:rPr>
        <w:t>Because the customer uses customer-managed Kubernetes, deployment must follow the documented manual Kubernetes Monitoring Solution pattern using Helm and/or Kubernetes manifests. Discovery must validate the supported Kubernetes version, cluster RBAC, namespaces, network/proxy/private egress, certificates, Management Agent/Gateway placement, resource requests/limits, upgrade and rollback procedure, and data residency. The platform team owns cluster access, upgrades, capacity and remediation; Observability &amp; Security owns monitoring configuration, telemetry governance and alert quality.</w:t>
      </w:r>
    </w:p>
    <w:p w14:paraId="7A5384D1" w14:textId="77777777" w:rsidR="00743633" w:rsidRDefault="00000000">
      <w:pPr>
        <w:pStyle w:val="Heading1"/>
      </w:pPr>
      <w:r>
        <w:t xml:space="preserve">5. </w:t>
      </w:r>
      <w:proofErr w:type="spellStart"/>
      <w:r>
        <w:t>LoganAI</w:t>
      </w:r>
      <w:proofErr w:type="spellEnd"/>
      <w:r>
        <w:t xml:space="preserve"> versus the required agent</w:t>
      </w:r>
    </w:p>
    <w:tbl>
      <w:tblPr>
        <w:tblStyle w:val="TableGrid"/>
        <w:tblW w:w="10345" w:type="dxa"/>
        <w:tblLayout w:type="fixed"/>
        <w:tblLook w:val="04A0" w:firstRow="1" w:lastRow="0" w:firstColumn="1" w:lastColumn="0" w:noHBand="0" w:noVBand="1"/>
      </w:tblPr>
      <w:tblGrid>
        <w:gridCol w:w="4320"/>
        <w:gridCol w:w="2016"/>
        <w:gridCol w:w="4009"/>
      </w:tblGrid>
      <w:tr w:rsidR="00743633" w14:paraId="516413F1" w14:textId="77777777" w:rsidTr="0011374B">
        <w:trPr>
          <w:tblHeader/>
        </w:trPr>
        <w:tc>
          <w:tcPr>
            <w:tcW w:w="4320" w:type="dxa"/>
            <w:shd w:val="clear" w:color="auto" w:fill="312D2A"/>
            <w:vAlign w:val="center"/>
          </w:tcPr>
          <w:p w14:paraId="711B46CD" w14:textId="77777777" w:rsidR="00743633" w:rsidRDefault="00000000">
            <w:r>
              <w:rPr>
                <w:b/>
                <w:color w:val="FFFFFF"/>
                <w:sz w:val="16"/>
              </w:rPr>
              <w:t>Capability</w:t>
            </w:r>
          </w:p>
        </w:tc>
        <w:tc>
          <w:tcPr>
            <w:tcW w:w="2016" w:type="dxa"/>
            <w:shd w:val="clear" w:color="auto" w:fill="312D2A"/>
            <w:vAlign w:val="center"/>
          </w:tcPr>
          <w:p w14:paraId="3E78107F" w14:textId="77777777" w:rsidR="00743633" w:rsidRDefault="00000000">
            <w:proofErr w:type="spellStart"/>
            <w:r>
              <w:rPr>
                <w:b/>
                <w:color w:val="FFFFFF"/>
                <w:sz w:val="16"/>
              </w:rPr>
              <w:t>LoganAI</w:t>
            </w:r>
            <w:proofErr w:type="spellEnd"/>
          </w:p>
        </w:tc>
        <w:tc>
          <w:tcPr>
            <w:tcW w:w="4009" w:type="dxa"/>
            <w:shd w:val="clear" w:color="auto" w:fill="312D2A"/>
            <w:vAlign w:val="center"/>
          </w:tcPr>
          <w:p w14:paraId="1F1DB2E1" w14:textId="77777777" w:rsidR="00743633" w:rsidRDefault="00000000">
            <w:r>
              <w:rPr>
                <w:b/>
                <w:color w:val="FFFFFF"/>
                <w:sz w:val="16"/>
              </w:rPr>
              <w:t>Dedicated incident-commander agent</w:t>
            </w:r>
          </w:p>
        </w:tc>
      </w:tr>
      <w:tr w:rsidR="00743633" w14:paraId="51447454" w14:textId="77777777" w:rsidTr="0011374B">
        <w:tc>
          <w:tcPr>
            <w:tcW w:w="4320" w:type="dxa"/>
            <w:vAlign w:val="center"/>
          </w:tcPr>
          <w:p w14:paraId="075DD2DB" w14:textId="77777777" w:rsidR="00743633" w:rsidRDefault="00000000">
            <w:pPr>
              <w:spacing w:after="20"/>
            </w:pPr>
            <w:r>
              <w:rPr>
                <w:sz w:val="15"/>
              </w:rPr>
              <w:t xml:space="preserve">Explain and </w:t>
            </w:r>
            <w:proofErr w:type="spellStart"/>
            <w:r>
              <w:rPr>
                <w:sz w:val="15"/>
              </w:rPr>
              <w:t>summarise</w:t>
            </w:r>
            <w:proofErr w:type="spellEnd"/>
            <w:r>
              <w:rPr>
                <w:sz w:val="15"/>
              </w:rPr>
              <w:t xml:space="preserve"> logs/clusters/charts</w:t>
            </w:r>
          </w:p>
        </w:tc>
        <w:tc>
          <w:tcPr>
            <w:tcW w:w="2016" w:type="dxa"/>
            <w:vAlign w:val="center"/>
          </w:tcPr>
          <w:p w14:paraId="356EC7EB" w14:textId="77777777" w:rsidR="00743633" w:rsidRDefault="00000000">
            <w:pPr>
              <w:spacing w:after="20"/>
            </w:pPr>
            <w:r>
              <w:rPr>
                <w:sz w:val="15"/>
              </w:rPr>
              <w:t>Yes, inside Log Analytics</w:t>
            </w:r>
          </w:p>
        </w:tc>
        <w:tc>
          <w:tcPr>
            <w:tcW w:w="4009" w:type="dxa"/>
            <w:vAlign w:val="center"/>
          </w:tcPr>
          <w:p w14:paraId="75F84A39" w14:textId="77777777" w:rsidR="00743633" w:rsidRDefault="00000000">
            <w:pPr>
              <w:spacing w:after="20"/>
            </w:pPr>
            <w:r>
              <w:rPr>
                <w:sz w:val="15"/>
              </w:rPr>
              <w:t>May consume reviewed Log Analytics evidence</w:t>
            </w:r>
          </w:p>
        </w:tc>
      </w:tr>
      <w:tr w:rsidR="00743633" w14:paraId="7AD64173" w14:textId="77777777" w:rsidTr="0011374B">
        <w:tc>
          <w:tcPr>
            <w:tcW w:w="4320" w:type="dxa"/>
            <w:vAlign w:val="center"/>
          </w:tcPr>
          <w:p w14:paraId="4A2F8B83" w14:textId="77777777" w:rsidR="00743633" w:rsidRDefault="00000000">
            <w:pPr>
              <w:spacing w:after="20"/>
            </w:pPr>
            <w:r>
              <w:rPr>
                <w:sz w:val="15"/>
              </w:rPr>
              <w:t>Mix selected OCI Monitoring metrics with logs</w:t>
            </w:r>
          </w:p>
        </w:tc>
        <w:tc>
          <w:tcPr>
            <w:tcW w:w="2016" w:type="dxa"/>
            <w:vAlign w:val="center"/>
          </w:tcPr>
          <w:p w14:paraId="1D0807FE" w14:textId="77777777" w:rsidR="00743633" w:rsidRDefault="00000000">
            <w:pPr>
              <w:spacing w:after="20"/>
            </w:pPr>
            <w:r>
              <w:rPr>
                <w:sz w:val="15"/>
              </w:rPr>
              <w:t>Yes, for AI analysis</w:t>
            </w:r>
          </w:p>
        </w:tc>
        <w:tc>
          <w:tcPr>
            <w:tcW w:w="4009" w:type="dxa"/>
            <w:vAlign w:val="center"/>
          </w:tcPr>
          <w:p w14:paraId="58276839" w14:textId="77777777" w:rsidR="00743633" w:rsidRDefault="00000000">
            <w:pPr>
              <w:spacing w:after="20"/>
            </w:pPr>
            <w:r>
              <w:rPr>
                <w:sz w:val="15"/>
              </w:rPr>
              <w:t xml:space="preserve">Retrieves </w:t>
            </w:r>
            <w:proofErr w:type="spellStart"/>
            <w:r>
              <w:rPr>
                <w:sz w:val="15"/>
              </w:rPr>
              <w:t>authorised</w:t>
            </w:r>
            <w:proofErr w:type="spellEnd"/>
            <w:r>
              <w:rPr>
                <w:sz w:val="15"/>
              </w:rPr>
              <w:t xml:space="preserve"> cross-domain evidence through controlled tools</w:t>
            </w:r>
          </w:p>
        </w:tc>
      </w:tr>
      <w:tr w:rsidR="00743633" w14:paraId="342C22D6" w14:textId="77777777" w:rsidTr="0011374B">
        <w:tc>
          <w:tcPr>
            <w:tcW w:w="4320" w:type="dxa"/>
            <w:vAlign w:val="center"/>
          </w:tcPr>
          <w:p w14:paraId="0899C474" w14:textId="77777777" w:rsidR="00743633" w:rsidRDefault="00000000">
            <w:pPr>
              <w:spacing w:after="20"/>
            </w:pPr>
            <w:r>
              <w:rPr>
                <w:sz w:val="15"/>
              </w:rPr>
              <w:t>Maintain end-to-end incident state</w:t>
            </w:r>
          </w:p>
        </w:tc>
        <w:tc>
          <w:tcPr>
            <w:tcW w:w="2016" w:type="dxa"/>
            <w:vAlign w:val="center"/>
          </w:tcPr>
          <w:p w14:paraId="0E124A5E" w14:textId="77777777" w:rsidR="00743633" w:rsidRDefault="00000000">
            <w:pPr>
              <w:spacing w:after="20"/>
            </w:pPr>
            <w:r>
              <w:rPr>
                <w:sz w:val="15"/>
              </w:rPr>
              <w:t>No</w:t>
            </w:r>
          </w:p>
        </w:tc>
        <w:tc>
          <w:tcPr>
            <w:tcW w:w="4009" w:type="dxa"/>
            <w:vAlign w:val="center"/>
          </w:tcPr>
          <w:p w14:paraId="6EBBC2C6" w14:textId="77777777" w:rsidR="00743633" w:rsidRDefault="00000000">
            <w:pPr>
              <w:spacing w:after="20"/>
            </w:pPr>
            <w:r>
              <w:rPr>
                <w:sz w:val="15"/>
              </w:rPr>
              <w:t>Custom requirement</w:t>
            </w:r>
          </w:p>
        </w:tc>
      </w:tr>
      <w:tr w:rsidR="00743633" w14:paraId="609E6A6C" w14:textId="77777777" w:rsidTr="0011374B">
        <w:tc>
          <w:tcPr>
            <w:tcW w:w="4320" w:type="dxa"/>
            <w:vAlign w:val="center"/>
          </w:tcPr>
          <w:p w14:paraId="1C413DCB" w14:textId="77777777" w:rsidR="007C3E8F" w:rsidRDefault="00000000">
            <w:pPr>
              <w:spacing w:after="20"/>
            </w:pPr>
            <w:r>
              <w:rPr>
                <w:sz w:val="15"/>
              </w:rPr>
              <w:t>Reconcile cross-domain topology and external workflow state</w:t>
            </w:r>
          </w:p>
        </w:tc>
        <w:tc>
          <w:tcPr>
            <w:tcW w:w="2016" w:type="dxa"/>
            <w:vAlign w:val="center"/>
          </w:tcPr>
          <w:p w14:paraId="0DEC4441" w14:textId="77777777" w:rsidR="007C3E8F" w:rsidRDefault="00000000">
            <w:pPr>
              <w:spacing w:after="20"/>
            </w:pPr>
            <w:r>
              <w:rPr>
                <w:sz w:val="15"/>
              </w:rPr>
              <w:t>No</w:t>
            </w:r>
          </w:p>
        </w:tc>
        <w:tc>
          <w:tcPr>
            <w:tcW w:w="4009" w:type="dxa"/>
            <w:vAlign w:val="center"/>
          </w:tcPr>
          <w:p w14:paraId="3C032B3C" w14:textId="77777777" w:rsidR="007C3E8F" w:rsidRDefault="00000000">
            <w:pPr>
              <w:spacing w:after="20"/>
            </w:pPr>
            <w:r>
              <w:rPr>
                <w:sz w:val="15"/>
              </w:rPr>
              <w:t>Custom requirement owned by the external AI/product workstream</w:t>
            </w:r>
          </w:p>
        </w:tc>
      </w:tr>
      <w:tr w:rsidR="00743633" w14:paraId="78E59D9F" w14:textId="77777777" w:rsidTr="0011374B">
        <w:tc>
          <w:tcPr>
            <w:tcW w:w="4320" w:type="dxa"/>
            <w:vAlign w:val="center"/>
          </w:tcPr>
          <w:p w14:paraId="386591F8" w14:textId="77777777" w:rsidR="00743633" w:rsidRDefault="00000000">
            <w:pPr>
              <w:spacing w:after="20"/>
            </w:pPr>
            <w:r>
              <w:rPr>
                <w:sz w:val="15"/>
              </w:rPr>
              <w:t>Package evidence by resolver group</w:t>
            </w:r>
          </w:p>
        </w:tc>
        <w:tc>
          <w:tcPr>
            <w:tcW w:w="2016" w:type="dxa"/>
            <w:vAlign w:val="center"/>
          </w:tcPr>
          <w:p w14:paraId="2B9D9DAE" w14:textId="77777777" w:rsidR="00743633" w:rsidRDefault="00000000">
            <w:pPr>
              <w:spacing w:after="20"/>
            </w:pPr>
            <w:r>
              <w:rPr>
                <w:sz w:val="15"/>
              </w:rPr>
              <w:t>No</w:t>
            </w:r>
          </w:p>
        </w:tc>
        <w:tc>
          <w:tcPr>
            <w:tcW w:w="4009" w:type="dxa"/>
            <w:vAlign w:val="center"/>
          </w:tcPr>
          <w:p w14:paraId="58B6D3BB" w14:textId="77777777" w:rsidR="00743633" w:rsidRDefault="00000000">
            <w:pPr>
              <w:spacing w:after="20"/>
            </w:pPr>
            <w:r>
              <w:rPr>
                <w:sz w:val="15"/>
              </w:rPr>
              <w:t>Custom requirement</w:t>
            </w:r>
          </w:p>
        </w:tc>
      </w:tr>
      <w:tr w:rsidR="00743633" w14:paraId="4C9801C8" w14:textId="77777777" w:rsidTr="0011374B">
        <w:tc>
          <w:tcPr>
            <w:tcW w:w="4320" w:type="dxa"/>
            <w:vAlign w:val="center"/>
          </w:tcPr>
          <w:p w14:paraId="1BDCE429" w14:textId="77777777" w:rsidR="00743633" w:rsidRDefault="00000000">
            <w:pPr>
              <w:spacing w:after="20"/>
            </w:pPr>
            <w:r>
              <w:rPr>
                <w:sz w:val="15"/>
              </w:rPr>
              <w:t>Assign actions or draft stakeholder communications</w:t>
            </w:r>
          </w:p>
        </w:tc>
        <w:tc>
          <w:tcPr>
            <w:tcW w:w="2016" w:type="dxa"/>
            <w:vAlign w:val="center"/>
          </w:tcPr>
          <w:p w14:paraId="0429B511" w14:textId="77777777" w:rsidR="00743633" w:rsidRDefault="00000000">
            <w:pPr>
              <w:spacing w:after="20"/>
            </w:pPr>
            <w:r>
              <w:rPr>
                <w:sz w:val="15"/>
              </w:rPr>
              <w:t>Follow-up insight only; not the incident owner</w:t>
            </w:r>
          </w:p>
        </w:tc>
        <w:tc>
          <w:tcPr>
            <w:tcW w:w="4009" w:type="dxa"/>
            <w:vAlign w:val="center"/>
          </w:tcPr>
          <w:p w14:paraId="4F13FB2E" w14:textId="77777777" w:rsidR="00743633" w:rsidRDefault="00000000">
            <w:pPr>
              <w:spacing w:after="20"/>
            </w:pPr>
            <w:r>
              <w:rPr>
                <w:sz w:val="15"/>
              </w:rPr>
              <w:t>Custom, advisory workflow</w:t>
            </w:r>
          </w:p>
        </w:tc>
      </w:tr>
      <w:tr w:rsidR="00743633" w14:paraId="76B6FF62" w14:textId="77777777" w:rsidTr="0011374B">
        <w:tc>
          <w:tcPr>
            <w:tcW w:w="4320" w:type="dxa"/>
            <w:vAlign w:val="center"/>
          </w:tcPr>
          <w:p w14:paraId="7E8928F9" w14:textId="77777777" w:rsidR="00743633" w:rsidRDefault="00000000">
            <w:pPr>
              <w:spacing w:after="20"/>
            </w:pPr>
            <w:r>
              <w:rPr>
                <w:sz w:val="15"/>
              </w:rPr>
              <w:t>Execute production changes</w:t>
            </w:r>
          </w:p>
        </w:tc>
        <w:tc>
          <w:tcPr>
            <w:tcW w:w="2016" w:type="dxa"/>
            <w:vAlign w:val="center"/>
          </w:tcPr>
          <w:p w14:paraId="6EF5D80F" w14:textId="77777777" w:rsidR="00743633" w:rsidRDefault="00000000">
            <w:pPr>
              <w:spacing w:after="20"/>
            </w:pPr>
            <w:r>
              <w:rPr>
                <w:sz w:val="15"/>
              </w:rPr>
              <w:t>No</w:t>
            </w:r>
          </w:p>
        </w:tc>
        <w:tc>
          <w:tcPr>
            <w:tcW w:w="4009" w:type="dxa"/>
            <w:vAlign w:val="center"/>
          </w:tcPr>
          <w:p w14:paraId="686E9E2C" w14:textId="77777777" w:rsidR="00743633" w:rsidRDefault="00000000">
            <w:pPr>
              <w:spacing w:after="20"/>
            </w:pPr>
            <w:r>
              <w:rPr>
                <w:sz w:val="15"/>
              </w:rPr>
              <w:t>Disabled by default; any future tool requires explicit allowlist, human approval and audit</w:t>
            </w:r>
          </w:p>
        </w:tc>
      </w:tr>
      <w:tr w:rsidR="00743633" w14:paraId="740C99C9" w14:textId="77777777" w:rsidTr="0011374B">
        <w:tc>
          <w:tcPr>
            <w:tcW w:w="4320" w:type="dxa"/>
            <w:vAlign w:val="center"/>
          </w:tcPr>
          <w:p w14:paraId="6570470A" w14:textId="77777777" w:rsidR="00743633" w:rsidRDefault="00000000">
            <w:pPr>
              <w:spacing w:after="20"/>
            </w:pPr>
            <w:r>
              <w:rPr>
                <w:sz w:val="15"/>
              </w:rPr>
              <w:t>Required owner</w:t>
            </w:r>
          </w:p>
        </w:tc>
        <w:tc>
          <w:tcPr>
            <w:tcW w:w="2016" w:type="dxa"/>
            <w:vAlign w:val="center"/>
          </w:tcPr>
          <w:p w14:paraId="1F622ED0" w14:textId="77777777" w:rsidR="00743633" w:rsidRDefault="00000000">
            <w:pPr>
              <w:spacing w:after="20"/>
            </w:pPr>
            <w:r>
              <w:rPr>
                <w:sz w:val="15"/>
              </w:rPr>
              <w:t>Observability &amp; Security, with security/residency review</w:t>
            </w:r>
          </w:p>
        </w:tc>
        <w:tc>
          <w:tcPr>
            <w:tcW w:w="4009" w:type="dxa"/>
            <w:vAlign w:val="center"/>
          </w:tcPr>
          <w:p w14:paraId="14AAB5C9" w14:textId="77777777" w:rsidR="00743633" w:rsidRDefault="00000000">
            <w:pPr>
              <w:spacing w:after="20"/>
            </w:pPr>
            <w:r>
              <w:rPr>
                <w:sz w:val="15"/>
              </w:rPr>
              <w:t>OCI AI Team (Alex Negrea) with Observability &amp; Security, Operations and Security</w:t>
            </w:r>
          </w:p>
        </w:tc>
      </w:tr>
    </w:tbl>
    <w:p w14:paraId="2274B5F3" w14:textId="77777777" w:rsidR="00743633" w:rsidRDefault="00000000" w:rsidP="0011374B">
      <w:pPr>
        <w:ind w:right="90"/>
      </w:pPr>
      <w:proofErr w:type="spellStart"/>
      <w:r>
        <w:t>LoganAI</w:t>
      </w:r>
      <w:proofErr w:type="spellEnd"/>
      <w:r>
        <w:t xml:space="preserve"> is currently documented for the commercial OC1 realm and depends on OCI Generative AI availability in a selected region. Enabling it may send log data from the Log Analytics region to the chosen Generative AI region and incurs model usage. Realm, region, IAM, quota, model licensing, cost and residency must be approved before use.</w:t>
      </w:r>
    </w:p>
    <w:p w14:paraId="7274DD67" w14:textId="77777777" w:rsidR="00743633" w:rsidRDefault="00000000">
      <w:pPr>
        <w:pStyle w:val="Heading1"/>
      </w:pPr>
      <w:r>
        <w:t>6. OOTB gaps requiring CSS, partner or product-team development</w:t>
      </w:r>
    </w:p>
    <w:tbl>
      <w:tblPr>
        <w:tblStyle w:val="TableGrid"/>
        <w:tblW w:w="10345" w:type="dxa"/>
        <w:tblLayout w:type="fixed"/>
        <w:tblLook w:val="04A0" w:firstRow="1" w:lastRow="0" w:firstColumn="1" w:lastColumn="0" w:noHBand="0" w:noVBand="1"/>
      </w:tblPr>
      <w:tblGrid>
        <w:gridCol w:w="1795"/>
        <w:gridCol w:w="2970"/>
        <w:gridCol w:w="5580"/>
      </w:tblGrid>
      <w:tr w:rsidR="00743633" w14:paraId="70AEAC9F" w14:textId="77777777" w:rsidTr="0011374B">
        <w:trPr>
          <w:tblHeader/>
        </w:trPr>
        <w:tc>
          <w:tcPr>
            <w:tcW w:w="1795" w:type="dxa"/>
            <w:shd w:val="clear" w:color="auto" w:fill="312D2A"/>
            <w:vAlign w:val="center"/>
          </w:tcPr>
          <w:p w14:paraId="085EA61E" w14:textId="77777777" w:rsidR="00743633" w:rsidRDefault="00000000">
            <w:r>
              <w:rPr>
                <w:b/>
                <w:color w:val="FFFFFF"/>
                <w:sz w:val="16"/>
              </w:rPr>
              <w:t>Gap</w:t>
            </w:r>
          </w:p>
        </w:tc>
        <w:tc>
          <w:tcPr>
            <w:tcW w:w="2970" w:type="dxa"/>
            <w:shd w:val="clear" w:color="auto" w:fill="312D2A"/>
            <w:vAlign w:val="center"/>
          </w:tcPr>
          <w:p w14:paraId="32177D61" w14:textId="77777777" w:rsidR="00743633" w:rsidRDefault="00000000">
            <w:r>
              <w:rPr>
                <w:b/>
                <w:color w:val="FFFFFF"/>
                <w:sz w:val="16"/>
              </w:rPr>
              <w:t>Required work</w:t>
            </w:r>
          </w:p>
        </w:tc>
        <w:tc>
          <w:tcPr>
            <w:tcW w:w="5580" w:type="dxa"/>
            <w:shd w:val="clear" w:color="auto" w:fill="312D2A"/>
            <w:vAlign w:val="center"/>
          </w:tcPr>
          <w:p w14:paraId="4A31B9B8" w14:textId="77777777" w:rsidR="00743633" w:rsidRDefault="00000000" w:rsidP="0011374B">
            <w:pPr>
              <w:ind w:right="656"/>
            </w:pPr>
            <w:r>
              <w:rPr>
                <w:b/>
                <w:color w:val="FFFFFF"/>
                <w:sz w:val="16"/>
              </w:rPr>
              <w:t>Owner</w:t>
            </w:r>
          </w:p>
        </w:tc>
      </w:tr>
      <w:tr w:rsidR="00743633" w14:paraId="1F116B51" w14:textId="77777777" w:rsidTr="0011374B">
        <w:tc>
          <w:tcPr>
            <w:tcW w:w="1795" w:type="dxa"/>
            <w:vAlign w:val="center"/>
          </w:tcPr>
          <w:p w14:paraId="7821355D" w14:textId="77777777" w:rsidR="00743633" w:rsidRDefault="00000000">
            <w:pPr>
              <w:spacing w:after="20"/>
            </w:pPr>
            <w:r>
              <w:rPr>
                <w:sz w:val="15"/>
              </w:rPr>
              <w:t>Group canonical event/entity/service schema</w:t>
            </w:r>
          </w:p>
        </w:tc>
        <w:tc>
          <w:tcPr>
            <w:tcW w:w="2970" w:type="dxa"/>
            <w:vAlign w:val="center"/>
          </w:tcPr>
          <w:p w14:paraId="2D091651" w14:textId="77777777" w:rsidR="00743633" w:rsidRDefault="00000000">
            <w:pPr>
              <w:spacing w:after="20"/>
            </w:pPr>
            <w:r>
              <w:rPr>
                <w:sz w:val="15"/>
              </w:rPr>
              <w:t>Design mappings, identity resolution, versioning, data-quality checks and controlled promotion.</w:t>
            </w:r>
          </w:p>
        </w:tc>
        <w:tc>
          <w:tcPr>
            <w:tcW w:w="5580" w:type="dxa"/>
            <w:vAlign w:val="center"/>
          </w:tcPr>
          <w:p w14:paraId="50A9D9B2" w14:textId="77777777" w:rsidR="007C3E8F" w:rsidRDefault="00000000" w:rsidP="0011374B">
            <w:pPr>
              <w:spacing w:after="20"/>
              <w:ind w:right="-284"/>
            </w:pPr>
            <w:r>
              <w:rPr>
                <w:sz w:val="15"/>
              </w:rPr>
              <w:t>CSS/qualified integration partner with Observability &amp; Security and data governance.</w:t>
            </w:r>
          </w:p>
        </w:tc>
      </w:tr>
      <w:tr w:rsidR="00743633" w14:paraId="38826CE0" w14:textId="77777777" w:rsidTr="0011374B">
        <w:tc>
          <w:tcPr>
            <w:tcW w:w="1795" w:type="dxa"/>
            <w:vAlign w:val="center"/>
          </w:tcPr>
          <w:p w14:paraId="7A4EBA3E" w14:textId="77777777" w:rsidR="00743633" w:rsidRDefault="00000000">
            <w:pPr>
              <w:spacing w:after="20"/>
            </w:pPr>
            <w:proofErr w:type="spellStart"/>
            <w:r>
              <w:rPr>
                <w:sz w:val="15"/>
              </w:rPr>
              <w:t>Axian</w:t>
            </w:r>
            <w:proofErr w:type="spellEnd"/>
            <w:r>
              <w:rPr>
                <w:sz w:val="15"/>
              </w:rPr>
              <w:t>-specific Log Analytics parsers and dashboards</w:t>
            </w:r>
          </w:p>
        </w:tc>
        <w:tc>
          <w:tcPr>
            <w:tcW w:w="2970" w:type="dxa"/>
            <w:vAlign w:val="center"/>
          </w:tcPr>
          <w:p w14:paraId="394BE917" w14:textId="77777777" w:rsidR="00743633" w:rsidRDefault="00000000">
            <w:pPr>
              <w:spacing w:after="20"/>
            </w:pPr>
            <w:r>
              <w:rPr>
                <w:sz w:val="15"/>
              </w:rPr>
              <w:t>Create, test and lifecycle-manage sources, parsers, labels, dashboards and alert queries.</w:t>
            </w:r>
          </w:p>
        </w:tc>
        <w:tc>
          <w:tcPr>
            <w:tcW w:w="5580" w:type="dxa"/>
            <w:vAlign w:val="center"/>
          </w:tcPr>
          <w:p w14:paraId="3039E7E8" w14:textId="77777777" w:rsidR="007C3E8F" w:rsidRDefault="00000000">
            <w:pPr>
              <w:spacing w:after="20"/>
            </w:pPr>
            <w:r>
              <w:rPr>
                <w:sz w:val="15"/>
              </w:rPr>
              <w:t>Observability &amp; Security with CSS/partner where required.</w:t>
            </w:r>
          </w:p>
        </w:tc>
      </w:tr>
      <w:tr w:rsidR="00743633" w14:paraId="20948FE6" w14:textId="77777777" w:rsidTr="0011374B">
        <w:tc>
          <w:tcPr>
            <w:tcW w:w="1795" w:type="dxa"/>
            <w:vAlign w:val="center"/>
          </w:tcPr>
          <w:p w14:paraId="7E978CB0" w14:textId="77777777" w:rsidR="00743633" w:rsidRDefault="00000000">
            <w:pPr>
              <w:spacing w:after="20"/>
            </w:pPr>
            <w:r>
              <w:rPr>
                <w:sz w:val="15"/>
              </w:rPr>
              <w:t>Application telemetry</w:t>
            </w:r>
          </w:p>
        </w:tc>
        <w:tc>
          <w:tcPr>
            <w:tcW w:w="2970" w:type="dxa"/>
            <w:vAlign w:val="center"/>
          </w:tcPr>
          <w:p w14:paraId="16FD2870" w14:textId="77777777" w:rsidR="00743633" w:rsidRDefault="00000000">
            <w:pPr>
              <w:spacing w:after="20"/>
            </w:pPr>
            <w:r>
              <w:rPr>
                <w:sz w:val="15"/>
              </w:rPr>
              <w:t>Instrument applications and journeys; add service/resource attributes, trace propagation and SLOs.</w:t>
            </w:r>
          </w:p>
        </w:tc>
        <w:tc>
          <w:tcPr>
            <w:tcW w:w="5580" w:type="dxa"/>
            <w:vAlign w:val="center"/>
          </w:tcPr>
          <w:p w14:paraId="090504C4" w14:textId="77777777" w:rsidR="007C3E8F" w:rsidRDefault="00000000" w:rsidP="0011374B">
            <w:pPr>
              <w:spacing w:after="20"/>
              <w:ind w:right="882"/>
            </w:pPr>
            <w:r>
              <w:rPr>
                <w:sz w:val="15"/>
              </w:rPr>
              <w:t>Application/product teams; Observability &amp; Security defines the standard.</w:t>
            </w:r>
          </w:p>
        </w:tc>
      </w:tr>
      <w:tr w:rsidR="00743633" w14:paraId="27CDBF37" w14:textId="77777777" w:rsidTr="0011374B">
        <w:tc>
          <w:tcPr>
            <w:tcW w:w="1795" w:type="dxa"/>
            <w:vAlign w:val="center"/>
          </w:tcPr>
          <w:p w14:paraId="7E6122F9" w14:textId="77777777" w:rsidR="00743633" w:rsidRDefault="00000000">
            <w:pPr>
              <w:spacing w:after="20"/>
            </w:pPr>
            <w:r>
              <w:rPr>
                <w:sz w:val="15"/>
              </w:rPr>
              <w:t>Dedicated agentic incident commander</w:t>
            </w:r>
          </w:p>
        </w:tc>
        <w:tc>
          <w:tcPr>
            <w:tcW w:w="2970" w:type="dxa"/>
            <w:vAlign w:val="center"/>
          </w:tcPr>
          <w:p w14:paraId="6F87A20A" w14:textId="77777777" w:rsidR="00743633" w:rsidRDefault="00000000">
            <w:pPr>
              <w:spacing w:after="20"/>
            </w:pPr>
            <w:r>
              <w:rPr>
                <w:sz w:val="15"/>
              </w:rPr>
              <w:t>Build retrieval, tool contracts, cross-domain evidence model, citations, guardrails, evaluation, audit and approval UX.</w:t>
            </w:r>
          </w:p>
        </w:tc>
        <w:tc>
          <w:tcPr>
            <w:tcW w:w="5580" w:type="dxa"/>
            <w:vAlign w:val="center"/>
          </w:tcPr>
          <w:p w14:paraId="416055F0" w14:textId="77777777" w:rsidR="007C3E8F" w:rsidRDefault="00000000">
            <w:pPr>
              <w:spacing w:after="20"/>
            </w:pPr>
            <w:r>
              <w:rPr>
                <w:sz w:val="15"/>
              </w:rPr>
              <w:t>OCI AI Team (Alex Negrea) with CSS/qualified AI partner; Observability &amp; Security and Security accept.</w:t>
            </w:r>
          </w:p>
        </w:tc>
      </w:tr>
      <w:tr w:rsidR="00743633" w14:paraId="5CD7885B" w14:textId="77777777" w:rsidTr="0011374B">
        <w:tc>
          <w:tcPr>
            <w:tcW w:w="1795" w:type="dxa"/>
            <w:vAlign w:val="center"/>
          </w:tcPr>
          <w:p w14:paraId="1B2D7175" w14:textId="77777777" w:rsidR="00743633" w:rsidRDefault="00000000">
            <w:pPr>
              <w:spacing w:after="20"/>
            </w:pPr>
            <w:r>
              <w:rPr>
                <w:sz w:val="15"/>
              </w:rPr>
              <w:t>Production sizing and SLO/DR commitments</w:t>
            </w:r>
          </w:p>
        </w:tc>
        <w:tc>
          <w:tcPr>
            <w:tcW w:w="2970" w:type="dxa"/>
            <w:vAlign w:val="center"/>
          </w:tcPr>
          <w:p w14:paraId="39664C21" w14:textId="77777777" w:rsidR="00743633" w:rsidRDefault="00000000">
            <w:pPr>
              <w:spacing w:after="20"/>
            </w:pPr>
            <w:r>
              <w:rPr>
                <w:sz w:val="15"/>
              </w:rPr>
              <w:t>Benchmark measured volume, cardinality, retention, query latency, failure, restore and failover.</w:t>
            </w:r>
          </w:p>
        </w:tc>
        <w:tc>
          <w:tcPr>
            <w:tcW w:w="5580" w:type="dxa"/>
            <w:vAlign w:val="center"/>
          </w:tcPr>
          <w:p w14:paraId="2483516D" w14:textId="77777777" w:rsidR="007C3E8F" w:rsidRDefault="00000000">
            <w:pPr>
              <w:spacing w:after="20"/>
            </w:pPr>
            <w:r>
              <w:rPr>
                <w:sz w:val="15"/>
              </w:rPr>
              <w:t>Joint Oracle/CSS/partner team; Axian owners sign acceptance.</w:t>
            </w:r>
          </w:p>
        </w:tc>
      </w:tr>
    </w:tbl>
    <w:p w14:paraId="5396E905" w14:textId="77777777" w:rsidR="007C3E8F" w:rsidRDefault="00000000">
      <w:pPr>
        <w:pStyle w:val="Heading1"/>
        <w:pageBreakBefore/>
      </w:pPr>
      <w:r>
        <w:rPr>
          <w:rFonts w:ascii="Arial" w:hAnsi="Arial"/>
          <w:sz w:val="18"/>
        </w:rPr>
        <w:lastRenderedPageBreak/>
        <w:t>7. OCI Observability bill of materials (BOM)</w:t>
      </w:r>
    </w:p>
    <w:p w14:paraId="5F76361D" w14:textId="77777777" w:rsidR="007C3E8F" w:rsidRDefault="00000000">
      <w:pPr>
        <w:jc w:val="both"/>
      </w:pPr>
      <w:r>
        <w:rPr>
          <w:rFonts w:ascii="Arial" w:hAnsi="Arial"/>
          <w:sz w:val="18"/>
        </w:rPr>
        <w:t>This BOM is intentionally limited to OCI Observability services owned by the Observability &amp; Security team. It excludes assurance, ITSM, management packs, database-management, networking, security-platform, storage/streaming, API integration and OCI Generative AI SKUs. Prices are public USD PAY_AS_YOU_GO list prices retrieved on 3 August 2026 from the Oracle List Pricing API snapshot last updated 16 July 2026. API tier bounds use rangeMin as exclusive and rangeMax as inclusive. Public list prices and the Cost Estimator are planning aids; the final Oracle quote/rate card, region, currency and contract govern.</w:t>
      </w:r>
    </w:p>
    <w:p w14:paraId="5506D372" w14:textId="77777777" w:rsidR="007C3E8F" w:rsidRDefault="00000000">
      <w:pPr>
        <w:pStyle w:val="Heading2"/>
      </w:pPr>
      <w:r>
        <w:rPr>
          <w:rFonts w:ascii="Arial" w:hAnsi="Arial"/>
          <w:sz w:val="18"/>
        </w:rPr>
        <w:t>OCI Observability subscription BOM and pricing metrics</w:t>
      </w:r>
    </w:p>
    <w:tbl>
      <w:tblPr>
        <w:tblStyle w:val="TableGrid"/>
        <w:tblW w:w="10235" w:type="dxa"/>
        <w:tblInd w:w="110" w:type="dxa"/>
        <w:tblLayout w:type="fixed"/>
        <w:tblLook w:val="04A0" w:firstRow="1" w:lastRow="0" w:firstColumn="1" w:lastColumn="0" w:noHBand="0" w:noVBand="1"/>
      </w:tblPr>
      <w:tblGrid>
        <w:gridCol w:w="2251"/>
        <w:gridCol w:w="1845"/>
        <w:gridCol w:w="1549"/>
        <w:gridCol w:w="4590"/>
      </w:tblGrid>
      <w:tr w:rsidR="007C3E8F" w14:paraId="32C48D57" w14:textId="77777777" w:rsidTr="0011374B">
        <w:trPr>
          <w:cantSplit/>
          <w:tblHeader/>
        </w:trPr>
        <w:tc>
          <w:tcPr>
            <w:tcW w:w="2251" w:type="dxa"/>
            <w:shd w:val="clear" w:color="auto" w:fill="312D2A"/>
            <w:tcMar>
              <w:top w:w="90" w:type="dxa"/>
              <w:left w:w="110" w:type="dxa"/>
              <w:bottom w:w="90" w:type="dxa"/>
              <w:right w:w="110" w:type="dxa"/>
            </w:tcMar>
            <w:vAlign w:val="center"/>
          </w:tcPr>
          <w:p w14:paraId="01EA9F40" w14:textId="77777777" w:rsidR="007C3E8F" w:rsidRDefault="00000000">
            <w:r>
              <w:rPr>
                <w:b/>
                <w:color w:val="FFFFFF"/>
                <w:sz w:val="16"/>
              </w:rPr>
              <w:t>OCI Observability service / description</w:t>
            </w:r>
          </w:p>
        </w:tc>
        <w:tc>
          <w:tcPr>
            <w:tcW w:w="1845" w:type="dxa"/>
            <w:shd w:val="clear" w:color="auto" w:fill="312D2A"/>
            <w:tcMar>
              <w:top w:w="90" w:type="dxa"/>
              <w:left w:w="110" w:type="dxa"/>
              <w:bottom w:w="90" w:type="dxa"/>
              <w:right w:w="110" w:type="dxa"/>
            </w:tcMar>
            <w:vAlign w:val="center"/>
          </w:tcPr>
          <w:p w14:paraId="20EBFDC5" w14:textId="77777777" w:rsidR="007C3E8F" w:rsidRDefault="00000000">
            <w:r>
              <w:rPr>
                <w:b/>
                <w:color w:val="FFFFFF"/>
                <w:sz w:val="16"/>
              </w:rPr>
              <w:t>Part number and metric</w:t>
            </w:r>
          </w:p>
        </w:tc>
        <w:tc>
          <w:tcPr>
            <w:tcW w:w="1549" w:type="dxa"/>
            <w:shd w:val="clear" w:color="auto" w:fill="312D2A"/>
            <w:tcMar>
              <w:top w:w="90" w:type="dxa"/>
              <w:left w:w="110" w:type="dxa"/>
              <w:bottom w:w="90" w:type="dxa"/>
              <w:right w:w="110" w:type="dxa"/>
            </w:tcMar>
            <w:vAlign w:val="center"/>
          </w:tcPr>
          <w:p w14:paraId="187325CB" w14:textId="77777777" w:rsidR="007C3E8F" w:rsidRDefault="00000000">
            <w:r>
              <w:rPr>
                <w:b/>
                <w:color w:val="FFFFFF"/>
                <w:sz w:val="16"/>
              </w:rPr>
              <w:t>Current USD PAYG list price</w:t>
            </w:r>
          </w:p>
        </w:tc>
        <w:tc>
          <w:tcPr>
            <w:tcW w:w="4590" w:type="dxa"/>
            <w:shd w:val="clear" w:color="auto" w:fill="312D2A"/>
            <w:tcMar>
              <w:top w:w="90" w:type="dxa"/>
              <w:left w:w="110" w:type="dxa"/>
              <w:bottom w:w="90" w:type="dxa"/>
              <w:right w:w="110" w:type="dxa"/>
            </w:tcMar>
            <w:vAlign w:val="center"/>
          </w:tcPr>
          <w:p w14:paraId="147DA235" w14:textId="77777777" w:rsidR="007C3E8F" w:rsidRDefault="00000000">
            <w:r>
              <w:rPr>
                <w:b/>
                <w:color w:val="FFFFFF"/>
                <w:sz w:val="16"/>
              </w:rPr>
              <w:t>Sizing and scope note</w:t>
            </w:r>
          </w:p>
        </w:tc>
      </w:tr>
      <w:tr w:rsidR="007C3E8F" w14:paraId="6E5872C0" w14:textId="77777777" w:rsidTr="0011374B">
        <w:tc>
          <w:tcPr>
            <w:tcW w:w="2251" w:type="dxa"/>
            <w:vAlign w:val="center"/>
          </w:tcPr>
          <w:p w14:paraId="396F2463" w14:textId="77777777" w:rsidR="007C3E8F" w:rsidRDefault="00000000">
            <w:pPr>
              <w:spacing w:after="20"/>
            </w:pPr>
            <w:hyperlink r:id="rId27">
              <w:r>
                <w:rPr>
                  <w:b/>
                  <w:color w:val="0563C1"/>
                  <w:u w:val="single"/>
                </w:rPr>
                <w:t>OCI Monitoring — ingestion</w:t>
              </w:r>
            </w:hyperlink>
          </w:p>
        </w:tc>
        <w:tc>
          <w:tcPr>
            <w:tcW w:w="1845" w:type="dxa"/>
            <w:vAlign w:val="center"/>
          </w:tcPr>
          <w:p w14:paraId="77D3C560" w14:textId="77777777" w:rsidR="007C3E8F" w:rsidRDefault="00000000">
            <w:pPr>
              <w:spacing w:after="20"/>
            </w:pPr>
            <w:r>
              <w:rPr>
                <w:sz w:val="15"/>
              </w:rPr>
              <w:t>B90925</w:t>
            </w:r>
            <w:r>
              <w:rPr>
                <w:sz w:val="15"/>
              </w:rPr>
              <w:br/>
              <w:t>Million Datapoints</w:t>
            </w:r>
          </w:p>
        </w:tc>
        <w:tc>
          <w:tcPr>
            <w:tcW w:w="1549" w:type="dxa"/>
            <w:vAlign w:val="center"/>
          </w:tcPr>
          <w:p w14:paraId="1247E4CC" w14:textId="77777777" w:rsidR="007C3E8F" w:rsidRDefault="00000000">
            <w:pPr>
              <w:spacing w:after="20"/>
            </w:pPr>
            <w:r>
              <w:rPr>
                <w:sz w:val="15"/>
              </w:rPr>
              <w:t>0–500: $0</w:t>
            </w:r>
            <w:r>
              <w:rPr>
                <w:sz w:val="15"/>
              </w:rPr>
              <w:br/>
              <w:t>&gt;500: $0.0025 per million datapoints</w:t>
            </w:r>
          </w:p>
        </w:tc>
        <w:tc>
          <w:tcPr>
            <w:tcW w:w="4590" w:type="dxa"/>
            <w:vAlign w:val="center"/>
          </w:tcPr>
          <w:p w14:paraId="6B210F64" w14:textId="77777777" w:rsidR="007C3E8F" w:rsidRDefault="00000000" w:rsidP="0011374B">
            <w:pPr>
              <w:spacing w:after="20"/>
              <w:ind w:right="-21"/>
            </w:pPr>
            <w:r>
              <w:rPr>
                <w:sz w:val="15"/>
              </w:rPr>
              <w:t>Size from metric streams × dimensions × collection frequency. Tier bounds reproduce the pricing API.</w:t>
            </w:r>
          </w:p>
        </w:tc>
      </w:tr>
      <w:tr w:rsidR="007C3E8F" w14:paraId="7A0CA32A" w14:textId="77777777" w:rsidTr="0011374B">
        <w:tc>
          <w:tcPr>
            <w:tcW w:w="2251" w:type="dxa"/>
            <w:vAlign w:val="center"/>
          </w:tcPr>
          <w:p w14:paraId="52372084" w14:textId="77777777" w:rsidR="007C3E8F" w:rsidRDefault="00000000">
            <w:pPr>
              <w:spacing w:after="20"/>
            </w:pPr>
            <w:hyperlink r:id="rId28">
              <w:r>
                <w:rPr>
                  <w:b/>
                  <w:color w:val="0563C1"/>
                  <w:u w:val="single"/>
                </w:rPr>
                <w:t>OCI Monitoring — retrieval</w:t>
              </w:r>
            </w:hyperlink>
          </w:p>
        </w:tc>
        <w:tc>
          <w:tcPr>
            <w:tcW w:w="1845" w:type="dxa"/>
            <w:vAlign w:val="center"/>
          </w:tcPr>
          <w:p w14:paraId="27E75008" w14:textId="77777777" w:rsidR="007C3E8F" w:rsidRDefault="00000000">
            <w:pPr>
              <w:spacing w:after="20"/>
            </w:pPr>
            <w:r>
              <w:rPr>
                <w:sz w:val="15"/>
              </w:rPr>
              <w:t>B90926</w:t>
            </w:r>
            <w:r>
              <w:rPr>
                <w:sz w:val="15"/>
              </w:rPr>
              <w:br/>
              <w:t>Million Datapoints</w:t>
            </w:r>
          </w:p>
        </w:tc>
        <w:tc>
          <w:tcPr>
            <w:tcW w:w="1549" w:type="dxa"/>
            <w:vAlign w:val="center"/>
          </w:tcPr>
          <w:p w14:paraId="6FF601D8" w14:textId="77777777" w:rsidR="007C3E8F" w:rsidRDefault="00000000">
            <w:pPr>
              <w:spacing w:after="20"/>
            </w:pPr>
            <w:r>
              <w:rPr>
                <w:sz w:val="15"/>
              </w:rPr>
              <w:t>0–1,000: $0</w:t>
            </w:r>
            <w:r>
              <w:rPr>
                <w:sz w:val="15"/>
              </w:rPr>
              <w:br/>
              <w:t>&gt;1,000: $0.0015 per million datapoints</w:t>
            </w:r>
          </w:p>
        </w:tc>
        <w:tc>
          <w:tcPr>
            <w:tcW w:w="4590" w:type="dxa"/>
            <w:vAlign w:val="center"/>
          </w:tcPr>
          <w:p w14:paraId="4BB1AB7C" w14:textId="77777777" w:rsidR="007C3E8F" w:rsidRDefault="00000000" w:rsidP="0011374B">
            <w:pPr>
              <w:spacing w:after="20"/>
              <w:ind w:right="-874"/>
            </w:pPr>
            <w:r>
              <w:rPr>
                <w:sz w:val="15"/>
              </w:rPr>
              <w:t>Size dashboards, API queries, alarm evaluation and operator retrieval separately from ingestion.</w:t>
            </w:r>
          </w:p>
        </w:tc>
      </w:tr>
      <w:tr w:rsidR="007C3E8F" w14:paraId="77EA3D95" w14:textId="77777777" w:rsidTr="0011374B">
        <w:tc>
          <w:tcPr>
            <w:tcW w:w="2251" w:type="dxa"/>
            <w:vAlign w:val="center"/>
          </w:tcPr>
          <w:p w14:paraId="51DC6A68" w14:textId="77777777" w:rsidR="007C3E8F" w:rsidRDefault="00000000">
            <w:pPr>
              <w:spacing w:after="20"/>
            </w:pPr>
            <w:hyperlink r:id="rId29">
              <w:r>
                <w:rPr>
                  <w:b/>
                  <w:color w:val="0563C1"/>
                  <w:u w:val="single"/>
                </w:rPr>
                <w:t>OCI Logging — storage</w:t>
              </w:r>
            </w:hyperlink>
          </w:p>
        </w:tc>
        <w:tc>
          <w:tcPr>
            <w:tcW w:w="1845" w:type="dxa"/>
            <w:vAlign w:val="center"/>
          </w:tcPr>
          <w:p w14:paraId="0FEB040E" w14:textId="77777777" w:rsidR="007C3E8F" w:rsidRDefault="00000000">
            <w:pPr>
              <w:spacing w:after="20"/>
            </w:pPr>
            <w:r>
              <w:rPr>
                <w:sz w:val="15"/>
              </w:rPr>
              <w:t>B92593</w:t>
            </w:r>
            <w:r>
              <w:rPr>
                <w:sz w:val="15"/>
              </w:rPr>
              <w:br/>
              <w:t>Gigabyte Log Storage Per Month</w:t>
            </w:r>
          </w:p>
        </w:tc>
        <w:tc>
          <w:tcPr>
            <w:tcW w:w="1549" w:type="dxa"/>
            <w:vAlign w:val="center"/>
          </w:tcPr>
          <w:p w14:paraId="4607529F" w14:textId="77777777" w:rsidR="007C3E8F" w:rsidRDefault="00000000">
            <w:pPr>
              <w:spacing w:after="20"/>
            </w:pPr>
            <w:r>
              <w:rPr>
                <w:sz w:val="15"/>
              </w:rPr>
              <w:t>0–10 GB-month: $0</w:t>
            </w:r>
            <w:r>
              <w:rPr>
                <w:sz w:val="15"/>
              </w:rPr>
              <w:br/>
              <w:t>&gt;10: $0.05 per GB-month</w:t>
            </w:r>
          </w:p>
        </w:tc>
        <w:tc>
          <w:tcPr>
            <w:tcW w:w="4590" w:type="dxa"/>
            <w:vAlign w:val="center"/>
          </w:tcPr>
          <w:p w14:paraId="21F966D2" w14:textId="77777777" w:rsidR="007C3E8F" w:rsidRDefault="00000000">
            <w:pPr>
              <w:spacing w:after="20"/>
            </w:pPr>
            <w:r>
              <w:rPr>
                <w:sz w:val="15"/>
              </w:rPr>
              <w:t>Applies to OCI Logging searchable storage. Avoid duplicate routing and unapproved payloads.</w:t>
            </w:r>
          </w:p>
        </w:tc>
      </w:tr>
      <w:tr w:rsidR="007C3E8F" w14:paraId="48C96DC8" w14:textId="77777777" w:rsidTr="0011374B">
        <w:tc>
          <w:tcPr>
            <w:tcW w:w="2251" w:type="dxa"/>
            <w:vAlign w:val="center"/>
          </w:tcPr>
          <w:p w14:paraId="70497F47" w14:textId="77777777" w:rsidR="007C3E8F" w:rsidRDefault="00000000">
            <w:pPr>
              <w:spacing w:after="20"/>
            </w:pPr>
            <w:hyperlink r:id="rId30">
              <w:r>
                <w:rPr>
                  <w:b/>
                  <w:color w:val="0563C1"/>
                  <w:u w:val="single"/>
                </w:rPr>
                <w:t>OCI Log Analytics — active storage</w:t>
              </w:r>
            </w:hyperlink>
          </w:p>
        </w:tc>
        <w:tc>
          <w:tcPr>
            <w:tcW w:w="1845" w:type="dxa"/>
            <w:vAlign w:val="center"/>
          </w:tcPr>
          <w:p w14:paraId="4EA4B443" w14:textId="77777777" w:rsidR="007C3E8F" w:rsidRDefault="00000000">
            <w:pPr>
              <w:spacing w:after="20"/>
            </w:pPr>
            <w:r>
              <w:rPr>
                <w:sz w:val="15"/>
              </w:rPr>
              <w:t>B95634</w:t>
            </w:r>
            <w:r>
              <w:rPr>
                <w:sz w:val="15"/>
              </w:rPr>
              <w:br/>
              <w:t>Logging Analytics Storage Unit Per Month</w:t>
            </w:r>
          </w:p>
        </w:tc>
        <w:tc>
          <w:tcPr>
            <w:tcW w:w="1549" w:type="dxa"/>
            <w:vAlign w:val="center"/>
          </w:tcPr>
          <w:p w14:paraId="1FA456B8" w14:textId="77777777" w:rsidR="007C3E8F" w:rsidRDefault="00000000">
            <w:pPr>
              <w:spacing w:after="20"/>
            </w:pPr>
            <w:r>
              <w:rPr>
                <w:sz w:val="15"/>
              </w:rPr>
              <w:t>First 35 units: $372/unit-month</w:t>
            </w:r>
            <w:r>
              <w:rPr>
                <w:sz w:val="15"/>
              </w:rPr>
              <w:br/>
              <w:t>&gt;35–103: $260.40</w:t>
            </w:r>
            <w:r>
              <w:rPr>
                <w:sz w:val="15"/>
              </w:rPr>
              <w:br/>
              <w:t>&gt;103: $223.20</w:t>
            </w:r>
          </w:p>
        </w:tc>
        <w:tc>
          <w:tcPr>
            <w:tcW w:w="4590" w:type="dxa"/>
            <w:vAlign w:val="center"/>
          </w:tcPr>
          <w:p w14:paraId="7E9F854A" w14:textId="77777777" w:rsidR="007C3E8F" w:rsidRDefault="00000000">
            <w:pPr>
              <w:spacing w:after="20"/>
            </w:pPr>
            <w:r>
              <w:rPr>
                <w:sz w:val="15"/>
              </w:rPr>
              <w:t>API description states first 10 GB of log storage are free. Size selected analytical logs by active retention and filtering.</w:t>
            </w:r>
          </w:p>
        </w:tc>
      </w:tr>
      <w:tr w:rsidR="007C3E8F" w14:paraId="02323919" w14:textId="77777777" w:rsidTr="0011374B">
        <w:tc>
          <w:tcPr>
            <w:tcW w:w="2251" w:type="dxa"/>
            <w:vAlign w:val="center"/>
          </w:tcPr>
          <w:p w14:paraId="72855BE8" w14:textId="77777777" w:rsidR="007C3E8F" w:rsidRDefault="00000000">
            <w:pPr>
              <w:spacing w:after="20"/>
            </w:pPr>
            <w:hyperlink r:id="rId31">
              <w:r>
                <w:rPr>
                  <w:b/>
                  <w:color w:val="0563C1"/>
                  <w:u w:val="single"/>
                </w:rPr>
                <w:t>OCI Log Analytics — archival storage</w:t>
              </w:r>
            </w:hyperlink>
          </w:p>
        </w:tc>
        <w:tc>
          <w:tcPr>
            <w:tcW w:w="1845" w:type="dxa"/>
            <w:vAlign w:val="center"/>
          </w:tcPr>
          <w:p w14:paraId="0123D3B6" w14:textId="77777777" w:rsidR="007C3E8F" w:rsidRDefault="00000000">
            <w:pPr>
              <w:spacing w:after="20"/>
            </w:pPr>
            <w:r>
              <w:rPr>
                <w:sz w:val="15"/>
              </w:rPr>
              <w:t>B92809</w:t>
            </w:r>
            <w:r>
              <w:rPr>
                <w:sz w:val="15"/>
              </w:rPr>
              <w:br/>
              <w:t>Logging Analytics Storage Unit Per Hour</w:t>
            </w:r>
          </w:p>
        </w:tc>
        <w:tc>
          <w:tcPr>
            <w:tcW w:w="1549" w:type="dxa"/>
            <w:vAlign w:val="center"/>
          </w:tcPr>
          <w:p w14:paraId="567DAD54" w14:textId="77777777" w:rsidR="007C3E8F" w:rsidRDefault="00000000">
            <w:pPr>
              <w:spacing w:after="20"/>
            </w:pPr>
            <w:r>
              <w:rPr>
                <w:sz w:val="15"/>
              </w:rPr>
              <w:t>$0.02 per unit-hour</w:t>
            </w:r>
          </w:p>
        </w:tc>
        <w:tc>
          <w:tcPr>
            <w:tcW w:w="4590" w:type="dxa"/>
            <w:vAlign w:val="center"/>
          </w:tcPr>
          <w:p w14:paraId="2E6F62E8" w14:textId="77777777" w:rsidR="007C3E8F" w:rsidRDefault="00000000">
            <w:pPr>
              <w:spacing w:after="20"/>
            </w:pPr>
            <w:r>
              <w:rPr>
                <w:sz w:val="15"/>
              </w:rPr>
              <w:t>Use only for the approved archive tier and retention policy; retrieval and rehydration assumptions require validation.</w:t>
            </w:r>
          </w:p>
        </w:tc>
      </w:tr>
      <w:tr w:rsidR="007C3E8F" w14:paraId="36C50FFF" w14:textId="77777777" w:rsidTr="0011374B">
        <w:tc>
          <w:tcPr>
            <w:tcW w:w="2251" w:type="dxa"/>
            <w:vAlign w:val="center"/>
          </w:tcPr>
          <w:p w14:paraId="5BC52D40" w14:textId="77777777" w:rsidR="007C3E8F" w:rsidRDefault="00000000">
            <w:pPr>
              <w:spacing w:after="20"/>
            </w:pPr>
            <w:hyperlink r:id="rId32">
              <w:r>
                <w:rPr>
                  <w:b/>
                  <w:color w:val="0563C1"/>
                  <w:u w:val="single"/>
                </w:rPr>
                <w:t>OCI Application Performance Monitoring</w:t>
              </w:r>
            </w:hyperlink>
          </w:p>
        </w:tc>
        <w:tc>
          <w:tcPr>
            <w:tcW w:w="1845" w:type="dxa"/>
            <w:vAlign w:val="center"/>
          </w:tcPr>
          <w:p w14:paraId="3665E0CC" w14:textId="77777777" w:rsidR="007C3E8F" w:rsidRDefault="00000000">
            <w:pPr>
              <w:spacing w:after="20"/>
            </w:pPr>
            <w:r>
              <w:rPr>
                <w:sz w:val="15"/>
              </w:rPr>
              <w:t>Commercial presumption: B95634</w:t>
            </w:r>
            <w:r>
              <w:rPr>
                <w:sz w:val="15"/>
              </w:rPr>
              <w:br/>
              <w:t>300 GB active storage = 1 Log Analytics Active Storage Unit</w:t>
            </w:r>
          </w:p>
        </w:tc>
        <w:tc>
          <w:tcPr>
            <w:tcW w:w="1549" w:type="dxa"/>
            <w:vAlign w:val="center"/>
          </w:tcPr>
          <w:p w14:paraId="7D6DB5D7" w14:textId="77777777" w:rsidR="007C3E8F" w:rsidRDefault="00000000">
            <w:pPr>
              <w:spacing w:after="20"/>
            </w:pPr>
            <w:r>
              <w:rPr>
                <w:sz w:val="15"/>
              </w:rPr>
              <w:t>$372/month for the first assumed 300 GB unit (first-tier PAYG)</w:t>
            </w:r>
          </w:p>
        </w:tc>
        <w:tc>
          <w:tcPr>
            <w:tcW w:w="4590" w:type="dxa"/>
            <w:vAlign w:val="center"/>
          </w:tcPr>
          <w:p w14:paraId="74E60119" w14:textId="77777777" w:rsidR="007C3E8F" w:rsidRDefault="00000000">
            <w:pPr>
              <w:spacing w:after="20"/>
            </w:pPr>
            <w:r>
              <w:rPr>
                <w:sz w:val="15"/>
              </w:rPr>
              <w:t>Explicit proposal assumption, not a standalone APM SKU mapping returned by the current API. Confirm part number, unit conversion and rate in the final Oracle quote.</w:t>
            </w:r>
          </w:p>
        </w:tc>
      </w:tr>
      <w:tr w:rsidR="007C3E8F" w14:paraId="3A58BB4D" w14:textId="77777777" w:rsidTr="0011374B">
        <w:tc>
          <w:tcPr>
            <w:tcW w:w="2251" w:type="dxa"/>
            <w:vAlign w:val="center"/>
          </w:tcPr>
          <w:p w14:paraId="4103837A" w14:textId="77777777" w:rsidR="007C3E8F" w:rsidRDefault="00000000">
            <w:pPr>
              <w:spacing w:after="20"/>
            </w:pPr>
            <w:hyperlink r:id="rId33">
              <w:r>
                <w:rPr>
                  <w:b/>
                  <w:color w:val="0563C1"/>
                  <w:u w:val="single"/>
                </w:rPr>
                <w:t>Log Analytics Kubernetes Monitoring Solution</w:t>
              </w:r>
            </w:hyperlink>
          </w:p>
        </w:tc>
        <w:tc>
          <w:tcPr>
            <w:tcW w:w="1845" w:type="dxa"/>
            <w:vAlign w:val="center"/>
          </w:tcPr>
          <w:p w14:paraId="3ED7B0FE" w14:textId="77777777" w:rsidR="007C3E8F" w:rsidRDefault="00000000">
            <w:pPr>
              <w:spacing w:after="20"/>
            </w:pPr>
            <w:r>
              <w:rPr>
                <w:sz w:val="15"/>
              </w:rPr>
              <w:t>No standalone SKU in current API snapshot</w:t>
            </w:r>
          </w:p>
        </w:tc>
        <w:tc>
          <w:tcPr>
            <w:tcW w:w="1549" w:type="dxa"/>
            <w:vAlign w:val="center"/>
          </w:tcPr>
          <w:p w14:paraId="73ADD9A9" w14:textId="77777777" w:rsidR="007C3E8F" w:rsidRDefault="00000000">
            <w:pPr>
              <w:spacing w:after="20"/>
            </w:pPr>
            <w:r>
              <w:rPr>
                <w:sz w:val="15"/>
              </w:rPr>
              <w:t>No separate list-price line; consumes Log Analytics active/archive storage and related telemetry services</w:t>
            </w:r>
          </w:p>
        </w:tc>
        <w:tc>
          <w:tcPr>
            <w:tcW w:w="4590" w:type="dxa"/>
            <w:vAlign w:val="center"/>
          </w:tcPr>
          <w:p w14:paraId="6F841CFB" w14:textId="77777777" w:rsidR="007C3E8F" w:rsidRDefault="00000000">
            <w:pPr>
              <w:spacing w:after="20"/>
            </w:pPr>
            <w:r>
              <w:rPr>
                <w:sz w:val="15"/>
              </w:rPr>
              <w:t>One manual Helm/manifests deployment per customer-managed Kubernetes cluster. Size logs/object state, nodes, pods, namespaces and retention.</w:t>
            </w:r>
          </w:p>
        </w:tc>
      </w:tr>
      <w:tr w:rsidR="007C3E8F" w14:paraId="7544CE9D" w14:textId="77777777" w:rsidTr="0011374B">
        <w:tc>
          <w:tcPr>
            <w:tcW w:w="2251" w:type="dxa"/>
            <w:vAlign w:val="center"/>
          </w:tcPr>
          <w:p w14:paraId="79164506" w14:textId="77777777" w:rsidR="007C3E8F" w:rsidRDefault="00000000">
            <w:pPr>
              <w:spacing w:after="20"/>
            </w:pPr>
            <w:hyperlink r:id="rId34">
              <w:r>
                <w:rPr>
                  <w:b/>
                  <w:color w:val="0563C1"/>
                  <w:u w:val="single"/>
                </w:rPr>
                <w:t>OCI Management Agent and Management Gateway</w:t>
              </w:r>
            </w:hyperlink>
          </w:p>
        </w:tc>
        <w:tc>
          <w:tcPr>
            <w:tcW w:w="1845" w:type="dxa"/>
            <w:vAlign w:val="center"/>
          </w:tcPr>
          <w:p w14:paraId="6662DF07" w14:textId="77777777" w:rsidR="007C3E8F" w:rsidRDefault="00000000">
            <w:pPr>
              <w:spacing w:after="20"/>
            </w:pPr>
            <w:r>
              <w:rPr>
                <w:sz w:val="15"/>
              </w:rPr>
              <w:t>No standalone SKU in current API snapshot</w:t>
            </w:r>
          </w:p>
        </w:tc>
        <w:tc>
          <w:tcPr>
            <w:tcW w:w="1549" w:type="dxa"/>
            <w:vAlign w:val="center"/>
          </w:tcPr>
          <w:p w14:paraId="7A13064D" w14:textId="77777777" w:rsidR="007C3E8F" w:rsidRDefault="00000000">
            <w:pPr>
              <w:spacing w:after="20"/>
            </w:pPr>
            <w:r>
              <w:rPr>
                <w:sz w:val="15"/>
              </w:rPr>
              <w:t>No separate list-price line returned</w:t>
            </w:r>
          </w:p>
        </w:tc>
        <w:tc>
          <w:tcPr>
            <w:tcW w:w="4590" w:type="dxa"/>
            <w:vAlign w:val="center"/>
          </w:tcPr>
          <w:p w14:paraId="46E5B45B" w14:textId="77777777" w:rsidR="007C3E8F" w:rsidRDefault="00000000">
            <w:pPr>
              <w:spacing w:after="20"/>
            </w:pPr>
            <w:r>
              <w:rPr>
                <w:sz w:val="15"/>
              </w:rPr>
              <w:t>Required only where supported hybrid collection needs it; validate redundant gateways, proxy, certificates, resource footprint and lifecycle.</w:t>
            </w:r>
          </w:p>
        </w:tc>
      </w:tr>
      <w:tr w:rsidR="007C3E8F" w14:paraId="326E969A" w14:textId="77777777" w:rsidTr="0011374B">
        <w:tc>
          <w:tcPr>
            <w:tcW w:w="2251" w:type="dxa"/>
            <w:vAlign w:val="center"/>
          </w:tcPr>
          <w:p w14:paraId="6BB748C8" w14:textId="77777777" w:rsidR="007C3E8F" w:rsidRDefault="00000000">
            <w:pPr>
              <w:spacing w:after="20"/>
            </w:pPr>
            <w:hyperlink r:id="rId35">
              <w:r>
                <w:rPr>
                  <w:b/>
                  <w:color w:val="0563C1"/>
                  <w:u w:val="single"/>
                </w:rPr>
                <w:t>OCI Connector Hub</w:t>
              </w:r>
            </w:hyperlink>
          </w:p>
        </w:tc>
        <w:tc>
          <w:tcPr>
            <w:tcW w:w="1845" w:type="dxa"/>
            <w:vAlign w:val="center"/>
          </w:tcPr>
          <w:p w14:paraId="71700223" w14:textId="77777777" w:rsidR="007C3E8F" w:rsidRDefault="00000000">
            <w:pPr>
              <w:spacing w:after="20"/>
            </w:pPr>
            <w:r>
              <w:rPr>
                <w:sz w:val="15"/>
              </w:rPr>
              <w:t>No standalone SKU in current API snapshot</w:t>
            </w:r>
          </w:p>
        </w:tc>
        <w:tc>
          <w:tcPr>
            <w:tcW w:w="1549" w:type="dxa"/>
            <w:vAlign w:val="center"/>
          </w:tcPr>
          <w:p w14:paraId="710EDEB1" w14:textId="77777777" w:rsidR="007C3E8F" w:rsidRDefault="00000000">
            <w:pPr>
              <w:spacing w:after="20"/>
            </w:pPr>
            <w:r>
              <w:rPr>
                <w:sz w:val="15"/>
              </w:rPr>
              <w:t>No separate list-price line returned; destination services remain chargeable</w:t>
            </w:r>
          </w:p>
        </w:tc>
        <w:tc>
          <w:tcPr>
            <w:tcW w:w="4590" w:type="dxa"/>
            <w:vAlign w:val="center"/>
          </w:tcPr>
          <w:p w14:paraId="62820E61" w14:textId="77777777" w:rsidR="007C3E8F" w:rsidRDefault="00000000">
            <w:pPr>
              <w:spacing w:after="20"/>
            </w:pPr>
            <w:r>
              <w:rPr>
                <w:sz w:val="15"/>
              </w:rPr>
              <w:t>Size connectors by source/destination/residency route and validate retries, duplicates, route health and replay.</w:t>
            </w:r>
          </w:p>
        </w:tc>
      </w:tr>
      <w:tr w:rsidR="007C3E8F" w14:paraId="7B87B5BB" w14:textId="77777777" w:rsidTr="0011374B">
        <w:tc>
          <w:tcPr>
            <w:tcW w:w="2251" w:type="dxa"/>
            <w:vAlign w:val="center"/>
          </w:tcPr>
          <w:p w14:paraId="579452FB" w14:textId="77777777" w:rsidR="007C3E8F" w:rsidRDefault="00000000">
            <w:pPr>
              <w:spacing w:after="20"/>
            </w:pPr>
            <w:hyperlink r:id="rId36">
              <w:r>
                <w:rPr>
                  <w:b/>
                  <w:color w:val="0563C1"/>
                  <w:u w:val="single"/>
                </w:rPr>
                <w:t>OCI Notifications — HTTPS delivery</w:t>
              </w:r>
            </w:hyperlink>
          </w:p>
        </w:tc>
        <w:tc>
          <w:tcPr>
            <w:tcW w:w="1845" w:type="dxa"/>
            <w:vAlign w:val="center"/>
          </w:tcPr>
          <w:p w14:paraId="70405A7F" w14:textId="77777777" w:rsidR="007C3E8F" w:rsidRDefault="00000000">
            <w:pPr>
              <w:spacing w:after="20"/>
            </w:pPr>
            <w:r>
              <w:rPr>
                <w:sz w:val="15"/>
              </w:rPr>
              <w:t>B90940</w:t>
            </w:r>
            <w:r>
              <w:rPr>
                <w:sz w:val="15"/>
              </w:rPr>
              <w:br/>
              <w:t>Million Delivery Operations</w:t>
            </w:r>
          </w:p>
        </w:tc>
        <w:tc>
          <w:tcPr>
            <w:tcW w:w="1549" w:type="dxa"/>
            <w:vAlign w:val="center"/>
          </w:tcPr>
          <w:p w14:paraId="6FDCA8E1" w14:textId="77777777" w:rsidR="007C3E8F" w:rsidRDefault="00000000">
            <w:pPr>
              <w:spacing w:after="20"/>
            </w:pPr>
            <w:r>
              <w:rPr>
                <w:sz w:val="15"/>
              </w:rPr>
              <w:t>First 1 million: $0</w:t>
            </w:r>
            <w:r>
              <w:rPr>
                <w:sz w:val="15"/>
              </w:rPr>
              <w:br/>
              <w:t>&gt;1 million: $0.60 per million</w:t>
            </w:r>
          </w:p>
        </w:tc>
        <w:tc>
          <w:tcPr>
            <w:tcW w:w="4590" w:type="dxa"/>
            <w:vAlign w:val="center"/>
          </w:tcPr>
          <w:p w14:paraId="7F47AB68" w14:textId="77777777" w:rsidR="007C3E8F" w:rsidRDefault="00000000">
            <w:pPr>
              <w:spacing w:after="20"/>
            </w:pPr>
            <w:r>
              <w:rPr>
                <w:sz w:val="15"/>
              </w:rPr>
              <w:t>Used only for approved Observability alarm delivery endpoints; downstream incident processing is outside scope.</w:t>
            </w:r>
          </w:p>
        </w:tc>
      </w:tr>
      <w:tr w:rsidR="007C3E8F" w14:paraId="401B56F0" w14:textId="77777777" w:rsidTr="0011374B">
        <w:tc>
          <w:tcPr>
            <w:tcW w:w="2251" w:type="dxa"/>
            <w:vAlign w:val="center"/>
          </w:tcPr>
          <w:p w14:paraId="2053B801" w14:textId="77777777" w:rsidR="007C3E8F" w:rsidRDefault="00000000">
            <w:pPr>
              <w:spacing w:after="20"/>
            </w:pPr>
            <w:hyperlink r:id="rId37">
              <w:r>
                <w:rPr>
                  <w:b/>
                  <w:color w:val="0563C1"/>
                  <w:u w:val="single"/>
                </w:rPr>
                <w:t>OCI Notifications — email delivery</w:t>
              </w:r>
            </w:hyperlink>
          </w:p>
        </w:tc>
        <w:tc>
          <w:tcPr>
            <w:tcW w:w="1845" w:type="dxa"/>
            <w:vAlign w:val="center"/>
          </w:tcPr>
          <w:p w14:paraId="46C6B596" w14:textId="77777777" w:rsidR="007C3E8F" w:rsidRDefault="00000000">
            <w:pPr>
              <w:spacing w:after="20"/>
            </w:pPr>
            <w:r>
              <w:rPr>
                <w:sz w:val="15"/>
              </w:rPr>
              <w:t>B90941</w:t>
            </w:r>
            <w:r>
              <w:rPr>
                <w:sz w:val="15"/>
              </w:rPr>
              <w:br/>
              <w:t>1,000 Emails Sent</w:t>
            </w:r>
          </w:p>
        </w:tc>
        <w:tc>
          <w:tcPr>
            <w:tcW w:w="1549" w:type="dxa"/>
            <w:vAlign w:val="center"/>
          </w:tcPr>
          <w:p w14:paraId="5031104F" w14:textId="77777777" w:rsidR="007C3E8F" w:rsidRDefault="00000000">
            <w:pPr>
              <w:spacing w:after="20"/>
            </w:pPr>
            <w:r>
              <w:rPr>
                <w:sz w:val="15"/>
              </w:rPr>
              <w:t>First 1,000: $0</w:t>
            </w:r>
            <w:r>
              <w:rPr>
                <w:sz w:val="15"/>
              </w:rPr>
              <w:br/>
              <w:t>&gt;1,000: $0.02 per 1,000 emails</w:t>
            </w:r>
          </w:p>
        </w:tc>
        <w:tc>
          <w:tcPr>
            <w:tcW w:w="4590" w:type="dxa"/>
            <w:vAlign w:val="center"/>
          </w:tcPr>
          <w:p w14:paraId="054B9838" w14:textId="77777777" w:rsidR="007C3E8F" w:rsidRDefault="00000000">
            <w:pPr>
              <w:spacing w:after="20"/>
            </w:pPr>
            <w:r>
              <w:rPr>
                <w:sz w:val="15"/>
              </w:rPr>
              <w:t>Size approved operational subscriptions and suppression rules. SMS is not assumed.</w:t>
            </w:r>
          </w:p>
        </w:tc>
      </w:tr>
      <w:tr w:rsidR="007C3E8F" w14:paraId="35F1E688" w14:textId="77777777" w:rsidTr="0011374B">
        <w:tc>
          <w:tcPr>
            <w:tcW w:w="2251" w:type="dxa"/>
            <w:vAlign w:val="center"/>
          </w:tcPr>
          <w:p w14:paraId="73E310AC" w14:textId="77777777" w:rsidR="007C3E8F" w:rsidRDefault="00000000">
            <w:pPr>
              <w:spacing w:after="20"/>
            </w:pPr>
            <w:hyperlink r:id="rId38">
              <w:r>
                <w:rPr>
                  <w:b/>
                  <w:color w:val="0563C1"/>
                  <w:u w:val="single"/>
                </w:rPr>
                <w:t>LoganAI</w:t>
              </w:r>
            </w:hyperlink>
          </w:p>
        </w:tc>
        <w:tc>
          <w:tcPr>
            <w:tcW w:w="1845" w:type="dxa"/>
            <w:vAlign w:val="center"/>
          </w:tcPr>
          <w:p w14:paraId="69038E5E" w14:textId="77777777" w:rsidR="007C3E8F" w:rsidRDefault="00000000">
            <w:pPr>
              <w:spacing w:after="20"/>
            </w:pPr>
            <w:r>
              <w:rPr>
                <w:sz w:val="15"/>
              </w:rPr>
              <w:t>No standalone Observability SKU in current API snapshot</w:t>
            </w:r>
          </w:p>
        </w:tc>
        <w:tc>
          <w:tcPr>
            <w:tcW w:w="1549" w:type="dxa"/>
            <w:vAlign w:val="center"/>
          </w:tcPr>
          <w:p w14:paraId="48799DF7" w14:textId="77777777" w:rsidR="007C3E8F" w:rsidRDefault="00000000">
            <w:pPr>
              <w:spacing w:after="20"/>
            </w:pPr>
            <w:r>
              <w:rPr>
                <w:sz w:val="15"/>
              </w:rPr>
              <w:t xml:space="preserve">No separate list-price line returned; validate any applicable GenAI </w:t>
            </w:r>
            <w:r>
              <w:rPr>
                <w:sz w:val="15"/>
              </w:rPr>
              <w:lastRenderedPageBreak/>
              <w:t>consumption and service terms</w:t>
            </w:r>
          </w:p>
        </w:tc>
        <w:tc>
          <w:tcPr>
            <w:tcW w:w="4590" w:type="dxa"/>
            <w:vAlign w:val="center"/>
          </w:tcPr>
          <w:p w14:paraId="7CADE332" w14:textId="77777777" w:rsidR="007C3E8F" w:rsidRDefault="00000000">
            <w:pPr>
              <w:spacing w:after="20"/>
            </w:pPr>
            <w:r>
              <w:rPr>
                <w:sz w:val="15"/>
              </w:rPr>
              <w:lastRenderedPageBreak/>
              <w:t>Analyst-assistance capability only. A custom GenAI coordinator and its AI/API SKUs belong to the OCI AI Team and are excluded from this BOM.</w:t>
            </w:r>
          </w:p>
        </w:tc>
      </w:tr>
    </w:tbl>
    <w:p w14:paraId="1C25C281" w14:textId="77777777" w:rsidR="007C3E8F" w:rsidRDefault="00000000">
      <w:pPr>
        <w:pStyle w:val="Heading2"/>
      </w:pPr>
      <w:r>
        <w:rPr>
          <w:rFonts w:ascii="Arial" w:hAnsi="Arial"/>
          <w:sz w:val="18"/>
        </w:rPr>
        <w:t>Commercial and sizing assumptions</w:t>
      </w:r>
    </w:p>
    <w:p w14:paraId="6FA39332" w14:textId="77777777" w:rsidR="007C3E8F" w:rsidRDefault="00000000">
      <w:pPr>
        <w:pStyle w:val="Smallbullet"/>
      </w:pPr>
      <w:r>
        <w:rPr>
          <w:rFonts w:ascii="Arial" w:hAnsi="Arial"/>
          <w:sz w:val="18"/>
        </w:rPr>
        <w:t>APM commercial presumption: 1 × B95634 Log Analytics Active Storage Unit represents 300 GB of APM active storage. At the first public PAYG tier this is $372/month for the first assumed unit. Oracle must confirm the SKU/unit mapping in the final quote.</w:t>
      </w:r>
    </w:p>
    <w:p w14:paraId="7152D82D" w14:textId="77777777" w:rsidR="007C3E8F" w:rsidRDefault="00000000">
      <w:pPr>
        <w:pStyle w:val="Smallbullet"/>
      </w:pPr>
      <w:r>
        <w:rPr>
          <w:rFonts w:ascii="Arial" w:hAnsi="Arial"/>
          <w:sz w:val="18"/>
        </w:rPr>
        <w:t>Kubernetes is customer-managed rather than OKE. Budget manual Helm/manifests deployment, cluster-specific compatibility and access validation, agent/gateway placement, upgrades and rollback for every approved cluster.</w:t>
      </w:r>
    </w:p>
    <w:p w14:paraId="123C2FA9" w14:textId="77777777" w:rsidR="007C3E8F" w:rsidRDefault="00000000">
      <w:pPr>
        <w:pStyle w:val="Smallbullet"/>
      </w:pPr>
      <w:r>
        <w:rPr>
          <w:rFonts w:ascii="Arial" w:hAnsi="Arial"/>
          <w:sz w:val="18"/>
        </w:rPr>
        <w:t>No standalone SKU in the current API snapshot means only that no separate price line was returned; it does not promise that the component or its downstream consumption is free.</w:t>
      </w:r>
    </w:p>
    <w:p w14:paraId="29FD1CDE" w14:textId="71B39E6B" w:rsidR="007C3E8F" w:rsidRDefault="00000000">
      <w:pPr>
        <w:pStyle w:val="Heading2"/>
      </w:pPr>
      <w:r>
        <w:rPr>
          <w:rFonts w:ascii="Arial" w:hAnsi="Arial"/>
          <w:sz w:val="18"/>
        </w:rPr>
        <w:t>OCI Observability implementation</w:t>
      </w:r>
      <w:r w:rsidR="0011374B">
        <w:rPr>
          <w:rFonts w:ascii="Arial" w:hAnsi="Arial"/>
          <w:sz w:val="18"/>
        </w:rPr>
        <w:t xml:space="preserve"> examples (work packages)</w:t>
      </w:r>
    </w:p>
    <w:tbl>
      <w:tblPr>
        <w:tblStyle w:val="TableGrid"/>
        <w:tblW w:w="10325" w:type="dxa"/>
        <w:tblInd w:w="110" w:type="dxa"/>
        <w:tblLayout w:type="fixed"/>
        <w:tblLook w:val="04A0" w:firstRow="1" w:lastRow="0" w:firstColumn="1" w:lastColumn="0" w:noHBand="0" w:noVBand="1"/>
      </w:tblPr>
      <w:tblGrid>
        <w:gridCol w:w="1912"/>
        <w:gridCol w:w="4361"/>
        <w:gridCol w:w="4052"/>
      </w:tblGrid>
      <w:tr w:rsidR="007C3E8F" w14:paraId="59E3AD63" w14:textId="77777777" w:rsidTr="0011374B">
        <w:trPr>
          <w:cantSplit/>
          <w:tblHeader/>
        </w:trPr>
        <w:tc>
          <w:tcPr>
            <w:tcW w:w="1912" w:type="dxa"/>
            <w:shd w:val="clear" w:color="auto" w:fill="312D2A"/>
            <w:tcMar>
              <w:top w:w="90" w:type="dxa"/>
              <w:left w:w="110" w:type="dxa"/>
              <w:bottom w:w="90" w:type="dxa"/>
              <w:right w:w="110" w:type="dxa"/>
            </w:tcMar>
            <w:vAlign w:val="center"/>
          </w:tcPr>
          <w:p w14:paraId="6E494C82" w14:textId="77777777" w:rsidR="007C3E8F" w:rsidRDefault="00000000">
            <w:r>
              <w:rPr>
                <w:b/>
                <w:color w:val="FFFFFF"/>
                <w:sz w:val="16"/>
              </w:rPr>
              <w:t>Work package</w:t>
            </w:r>
          </w:p>
        </w:tc>
        <w:tc>
          <w:tcPr>
            <w:tcW w:w="4361" w:type="dxa"/>
            <w:shd w:val="clear" w:color="auto" w:fill="312D2A"/>
            <w:tcMar>
              <w:top w:w="90" w:type="dxa"/>
              <w:left w:w="110" w:type="dxa"/>
              <w:bottom w:w="90" w:type="dxa"/>
              <w:right w:w="110" w:type="dxa"/>
            </w:tcMar>
            <w:vAlign w:val="center"/>
          </w:tcPr>
          <w:p w14:paraId="0D090B98" w14:textId="77777777" w:rsidR="007C3E8F" w:rsidRDefault="00000000">
            <w:r>
              <w:rPr>
                <w:b/>
                <w:color w:val="FFFFFF"/>
                <w:sz w:val="16"/>
              </w:rPr>
              <w:t>Deliverable</w:t>
            </w:r>
          </w:p>
        </w:tc>
        <w:tc>
          <w:tcPr>
            <w:tcW w:w="4052" w:type="dxa"/>
            <w:shd w:val="clear" w:color="auto" w:fill="312D2A"/>
            <w:tcMar>
              <w:top w:w="90" w:type="dxa"/>
              <w:left w:w="110" w:type="dxa"/>
              <w:bottom w:w="90" w:type="dxa"/>
              <w:right w:w="110" w:type="dxa"/>
            </w:tcMar>
            <w:vAlign w:val="center"/>
          </w:tcPr>
          <w:p w14:paraId="2F0E7D24" w14:textId="77777777" w:rsidR="007C3E8F" w:rsidRDefault="00000000">
            <w:r>
              <w:rPr>
                <w:b/>
                <w:color w:val="FFFFFF"/>
                <w:sz w:val="16"/>
              </w:rPr>
              <w:t>Sizing / acceptance basis</w:t>
            </w:r>
          </w:p>
        </w:tc>
      </w:tr>
      <w:tr w:rsidR="007C3E8F" w14:paraId="7A7D5C7D" w14:textId="77777777" w:rsidTr="0011374B">
        <w:tc>
          <w:tcPr>
            <w:tcW w:w="1912" w:type="dxa"/>
            <w:vAlign w:val="center"/>
          </w:tcPr>
          <w:p w14:paraId="0E7F8A9B" w14:textId="77777777" w:rsidR="007C3E8F" w:rsidRDefault="00000000">
            <w:pPr>
              <w:spacing w:after="20"/>
            </w:pPr>
            <w:r>
              <w:rPr>
                <w:sz w:val="15"/>
              </w:rPr>
              <w:t>Discovery and sizing</w:t>
            </w:r>
          </w:p>
        </w:tc>
        <w:tc>
          <w:tcPr>
            <w:tcW w:w="4361" w:type="dxa"/>
            <w:vAlign w:val="center"/>
          </w:tcPr>
          <w:p w14:paraId="4DF51567" w14:textId="77777777" w:rsidR="007C3E8F" w:rsidRDefault="00000000">
            <w:pPr>
              <w:spacing w:after="20"/>
            </w:pPr>
            <w:r>
              <w:rPr>
                <w:sz w:val="15"/>
              </w:rPr>
              <w:t>Inventory approved logs, custom metrics, Kubernetes clusters, priority applications/APIs, agents/gateways, regions and retention/residency classes; validate the APM 300 GB-unit commercial presumption.</w:t>
            </w:r>
          </w:p>
        </w:tc>
        <w:tc>
          <w:tcPr>
            <w:tcW w:w="4052" w:type="dxa"/>
            <w:vAlign w:val="center"/>
          </w:tcPr>
          <w:p w14:paraId="4E42F9FE" w14:textId="77777777" w:rsidR="007C3E8F" w:rsidRDefault="00000000">
            <w:pPr>
              <w:spacing w:after="20"/>
            </w:pPr>
            <w:r>
              <w:rPr>
                <w:sz w:val="15"/>
              </w:rPr>
              <w:t>Measured ingestion, metric cardinality, spans, browser sessions, synthetics, clusters/nodes/pods, active/archive retention and Oracle quote confirmation.</w:t>
            </w:r>
          </w:p>
        </w:tc>
      </w:tr>
      <w:tr w:rsidR="007C3E8F" w14:paraId="425C9859" w14:textId="77777777" w:rsidTr="0011374B">
        <w:tc>
          <w:tcPr>
            <w:tcW w:w="1912" w:type="dxa"/>
            <w:vAlign w:val="center"/>
          </w:tcPr>
          <w:p w14:paraId="365211BC" w14:textId="77777777" w:rsidR="007C3E8F" w:rsidRDefault="00000000">
            <w:pPr>
              <w:spacing w:after="20"/>
            </w:pPr>
            <w:r>
              <w:rPr>
                <w:sz w:val="15"/>
              </w:rPr>
              <w:t>OCI Observability foundation</w:t>
            </w:r>
          </w:p>
        </w:tc>
        <w:tc>
          <w:tcPr>
            <w:tcW w:w="4361" w:type="dxa"/>
            <w:vAlign w:val="center"/>
          </w:tcPr>
          <w:p w14:paraId="057F298D" w14:textId="77777777" w:rsidR="007C3E8F" w:rsidRDefault="00000000">
            <w:pPr>
              <w:spacing w:after="20"/>
            </w:pPr>
            <w:r>
              <w:rPr>
                <w:sz w:val="15"/>
              </w:rPr>
              <w:t>Configure Monitoring, Logging, Log Analytics, Connector Hub, Notifications and monitor-the-monitoring controls using the approved cloud/security foundation.</w:t>
            </w:r>
          </w:p>
        </w:tc>
        <w:tc>
          <w:tcPr>
            <w:tcW w:w="4052" w:type="dxa"/>
            <w:vAlign w:val="center"/>
          </w:tcPr>
          <w:p w14:paraId="7A69A7F0" w14:textId="77777777" w:rsidR="007C3E8F" w:rsidRDefault="00000000">
            <w:pPr>
              <w:spacing w:after="20"/>
            </w:pPr>
            <w:r>
              <w:rPr>
                <w:sz w:val="15"/>
              </w:rPr>
              <w:t>Least privilege, data-class controls, route health, alarm ownership, non-production validation and rollback evidence.</w:t>
            </w:r>
          </w:p>
        </w:tc>
      </w:tr>
      <w:tr w:rsidR="007C3E8F" w14:paraId="7CE6B318" w14:textId="77777777" w:rsidTr="0011374B">
        <w:tc>
          <w:tcPr>
            <w:tcW w:w="1912" w:type="dxa"/>
            <w:vAlign w:val="center"/>
          </w:tcPr>
          <w:p w14:paraId="754D7967" w14:textId="77777777" w:rsidR="007C3E8F" w:rsidRDefault="00000000">
            <w:pPr>
              <w:spacing w:after="20"/>
            </w:pPr>
            <w:r>
              <w:rPr>
                <w:sz w:val="15"/>
              </w:rPr>
              <w:t>Manual Kubernetes monitoring</w:t>
            </w:r>
          </w:p>
        </w:tc>
        <w:tc>
          <w:tcPr>
            <w:tcW w:w="4361" w:type="dxa"/>
            <w:vAlign w:val="center"/>
          </w:tcPr>
          <w:p w14:paraId="383753E9" w14:textId="77777777" w:rsidR="007C3E8F" w:rsidRDefault="00000000">
            <w:pPr>
              <w:spacing w:after="20"/>
            </w:pPr>
            <w:r>
              <w:rPr>
                <w:sz w:val="15"/>
              </w:rPr>
              <w:t>Deploy Log Analytics Kubernetes Monitoring Solution manually with Helm/manifests; configure supported collection, parsers, cluster identity and dashboards.</w:t>
            </w:r>
          </w:p>
        </w:tc>
        <w:tc>
          <w:tcPr>
            <w:tcW w:w="4052" w:type="dxa"/>
            <w:vAlign w:val="center"/>
          </w:tcPr>
          <w:p w14:paraId="3D9AF646" w14:textId="77777777" w:rsidR="007C3E8F" w:rsidRDefault="00000000">
            <w:pPr>
              <w:spacing w:after="20"/>
            </w:pPr>
            <w:r>
              <w:rPr>
                <w:sz w:val="15"/>
              </w:rPr>
              <w:t>Supported K8s version, RBAC, namespace scope, private egress/proxy, certificates, agent/gateway HA, resource limits, upgrade and rollback tests.</w:t>
            </w:r>
          </w:p>
        </w:tc>
      </w:tr>
      <w:tr w:rsidR="007C3E8F" w14:paraId="5CCB1338" w14:textId="77777777" w:rsidTr="0011374B">
        <w:tc>
          <w:tcPr>
            <w:tcW w:w="1912" w:type="dxa"/>
            <w:vAlign w:val="center"/>
          </w:tcPr>
          <w:p w14:paraId="39718D7D" w14:textId="77777777" w:rsidR="007C3E8F" w:rsidRDefault="00000000">
            <w:pPr>
              <w:spacing w:after="20"/>
            </w:pPr>
            <w:r>
              <w:rPr>
                <w:sz w:val="15"/>
              </w:rPr>
              <w:t>APM and OpenTelemetry</w:t>
            </w:r>
          </w:p>
        </w:tc>
        <w:tc>
          <w:tcPr>
            <w:tcW w:w="4361" w:type="dxa"/>
            <w:vAlign w:val="center"/>
          </w:tcPr>
          <w:p w14:paraId="544DD24B" w14:textId="77777777" w:rsidR="007C3E8F" w:rsidRDefault="00000000">
            <w:pPr>
              <w:spacing w:after="20"/>
            </w:pPr>
            <w:r>
              <w:rPr>
                <w:sz w:val="15"/>
              </w:rPr>
              <w:t>Instrument priority applications/APIs and journeys; configure APM domains, service names, trace propagation, approved attributes, synthetics and SLO alarms.</w:t>
            </w:r>
          </w:p>
        </w:tc>
        <w:tc>
          <w:tcPr>
            <w:tcW w:w="4052" w:type="dxa"/>
            <w:vAlign w:val="center"/>
          </w:tcPr>
          <w:p w14:paraId="488977F0" w14:textId="77777777" w:rsidR="007C3E8F" w:rsidRDefault="00000000">
            <w:pPr>
              <w:spacing w:after="20"/>
            </w:pPr>
            <w:r>
              <w:rPr>
                <w:sz w:val="15"/>
              </w:rPr>
              <w:t>Trace continuity, sampling, sensitive-data controls, topology correctness, synthetic success/failure and 300 GB active-storage sizing assumption.</w:t>
            </w:r>
          </w:p>
        </w:tc>
      </w:tr>
      <w:tr w:rsidR="007C3E8F" w14:paraId="3CA394B5" w14:textId="77777777" w:rsidTr="0011374B">
        <w:tc>
          <w:tcPr>
            <w:tcW w:w="1912" w:type="dxa"/>
            <w:vAlign w:val="center"/>
          </w:tcPr>
          <w:p w14:paraId="75AD2DCC" w14:textId="77777777" w:rsidR="007C3E8F" w:rsidRDefault="00000000">
            <w:pPr>
              <w:spacing w:after="20"/>
            </w:pPr>
            <w:r>
              <w:rPr>
                <w:sz w:val="15"/>
              </w:rPr>
              <w:t>Log Analytics content</w:t>
            </w:r>
          </w:p>
        </w:tc>
        <w:tc>
          <w:tcPr>
            <w:tcW w:w="4361" w:type="dxa"/>
            <w:vAlign w:val="center"/>
          </w:tcPr>
          <w:p w14:paraId="0FC2DEE0" w14:textId="77777777" w:rsidR="007C3E8F" w:rsidRDefault="00000000">
            <w:pPr>
              <w:spacing w:after="20"/>
            </w:pPr>
            <w:r>
              <w:rPr>
                <w:sz w:val="15"/>
              </w:rPr>
              <w:t>Create and lifecycle-manage supported sources, parsers, enrichment, labels, dashboards, scheduled analytics, LoganAI workflows and evidence queries.</w:t>
            </w:r>
          </w:p>
        </w:tc>
        <w:tc>
          <w:tcPr>
            <w:tcW w:w="4052" w:type="dxa"/>
            <w:vAlign w:val="center"/>
          </w:tcPr>
          <w:p w14:paraId="41ED0347" w14:textId="77777777" w:rsidR="007C3E8F" w:rsidRDefault="00000000">
            <w:pPr>
              <w:spacing w:after="20"/>
            </w:pPr>
            <w:r>
              <w:rPr>
                <w:sz w:val="15"/>
              </w:rPr>
              <w:t>Parsing accuracy, completeness/latency, false-positive review, access isolation and human validation.</w:t>
            </w:r>
          </w:p>
        </w:tc>
      </w:tr>
      <w:tr w:rsidR="007C3E8F" w14:paraId="0E8EAC54" w14:textId="77777777" w:rsidTr="0011374B">
        <w:tc>
          <w:tcPr>
            <w:tcW w:w="1912" w:type="dxa"/>
            <w:vAlign w:val="center"/>
          </w:tcPr>
          <w:p w14:paraId="6A8CBC64" w14:textId="77777777" w:rsidR="007C3E8F" w:rsidRDefault="00000000">
            <w:pPr>
              <w:spacing w:after="20"/>
            </w:pPr>
            <w:r>
              <w:rPr>
                <w:sz w:val="15"/>
              </w:rPr>
              <w:t>PoV, resilience and handover</w:t>
            </w:r>
          </w:p>
        </w:tc>
        <w:tc>
          <w:tcPr>
            <w:tcW w:w="4361" w:type="dxa"/>
            <w:vAlign w:val="center"/>
          </w:tcPr>
          <w:p w14:paraId="342443F6" w14:textId="77777777" w:rsidR="007C3E8F" w:rsidRDefault="00000000">
            <w:pPr>
              <w:spacing w:after="20"/>
            </w:pPr>
            <w:r>
              <w:rPr>
                <w:sz w:val="15"/>
              </w:rPr>
              <w:t>Run load, failure, replay, agent/gateway outage, route, alert-delivery, data-residency and restore tests; provide runbooks, training and support handover.</w:t>
            </w:r>
          </w:p>
        </w:tc>
        <w:tc>
          <w:tcPr>
            <w:tcW w:w="4052" w:type="dxa"/>
            <w:vAlign w:val="center"/>
          </w:tcPr>
          <w:p w14:paraId="6E5002F7" w14:textId="77777777" w:rsidR="007C3E8F" w:rsidRDefault="00000000">
            <w:pPr>
              <w:spacing w:after="20"/>
            </w:pPr>
            <w:r>
              <w:rPr>
                <w:sz w:val="15"/>
              </w:rPr>
              <w:t>Signed acceptance metrics. Product teams accept access, instrumentation and remediation obligations for their own platforms.</w:t>
            </w:r>
          </w:p>
        </w:tc>
      </w:tr>
    </w:tbl>
    <w:p w14:paraId="1275C9E4" w14:textId="77777777" w:rsidR="00743633" w:rsidRDefault="00000000">
      <w:pPr>
        <w:pStyle w:val="Heading1"/>
      </w:pPr>
      <w:r>
        <w:rPr>
          <w:rFonts w:ascii="Arial" w:hAnsi="Arial"/>
          <w:sz w:val="18"/>
        </w:rPr>
        <w:t>8. Implementation documentation and supporting references</w:t>
      </w:r>
    </w:p>
    <w:p w14:paraId="4BCEEC38" w14:textId="77777777" w:rsidR="007C3E8F" w:rsidRDefault="00000000">
      <w:pPr>
        <w:pStyle w:val="ListBullet"/>
      </w:pPr>
      <w:hyperlink r:id="rId39">
        <w:r>
          <w:rPr>
            <w:color w:val="0563C1"/>
            <w:u w:val="single"/>
          </w:rPr>
          <w:t>Manual Kubernetes Monitoring Solution deployment and validation</w:t>
        </w:r>
      </w:hyperlink>
    </w:p>
    <w:p w14:paraId="5C49099E" w14:textId="77777777" w:rsidR="007C3E8F" w:rsidRDefault="00000000">
      <w:pPr>
        <w:pStyle w:val="ListBullet"/>
      </w:pPr>
      <w:hyperlink r:id="rId40">
        <w:r>
          <w:rPr>
            <w:color w:val="0563C1"/>
            <w:u w:val="single"/>
          </w:rPr>
          <w:t>OCI APM implementation and instrumentation documentation</w:t>
        </w:r>
      </w:hyperlink>
    </w:p>
    <w:p w14:paraId="7902D41A" w14:textId="77777777" w:rsidR="007C3E8F" w:rsidRDefault="00000000">
      <w:pPr>
        <w:pStyle w:val="ListBullet"/>
      </w:pPr>
      <w:hyperlink r:id="rId41">
        <w:r>
          <w:rPr>
            <w:color w:val="0563C1"/>
            <w:u w:val="single"/>
          </w:rPr>
          <w:t>Management Agent and Management Gateway installation/operations</w:t>
        </w:r>
      </w:hyperlink>
    </w:p>
    <w:p w14:paraId="7C8FE440" w14:textId="77777777" w:rsidR="007C3E8F" w:rsidRDefault="00000000">
      <w:pPr>
        <w:pStyle w:val="ListBullet"/>
      </w:pPr>
      <w:hyperlink r:id="rId42">
        <w:r>
          <w:rPr>
            <w:color w:val="0563C1"/>
            <w:u w:val="single"/>
          </w:rPr>
          <w:t>Log Analytics service implementation documentation</w:t>
        </w:r>
      </w:hyperlink>
    </w:p>
    <w:p w14:paraId="3734605D" w14:textId="77777777" w:rsidR="007C3E8F" w:rsidRDefault="00000000">
      <w:pPr>
        <w:pStyle w:val="ListBullet"/>
      </w:pPr>
      <w:hyperlink r:id="rId43">
        <w:r>
          <w:rPr>
            <w:color w:val="0563C1"/>
            <w:u w:val="single"/>
          </w:rPr>
          <w:t>LoganAI usage and prerequisites</w:t>
        </w:r>
      </w:hyperlink>
    </w:p>
    <w:p w14:paraId="6F61A606" w14:textId="77777777" w:rsidR="007C3E8F" w:rsidRDefault="00000000">
      <w:pPr>
        <w:pStyle w:val="ListBullet"/>
      </w:pPr>
      <w:hyperlink r:id="rId44">
        <w:r>
          <w:rPr>
            <w:color w:val="0563C1"/>
            <w:u w:val="single"/>
          </w:rPr>
          <w:t>OCI Monitoring alarms, metrics and queries</w:t>
        </w:r>
      </w:hyperlink>
    </w:p>
    <w:p w14:paraId="102B3702" w14:textId="77777777" w:rsidR="007C3E8F" w:rsidRDefault="00000000">
      <w:pPr>
        <w:pStyle w:val="ListBullet"/>
      </w:pPr>
      <w:hyperlink r:id="rId45">
        <w:r>
          <w:rPr>
            <w:color w:val="0563C1"/>
            <w:u w:val="single"/>
          </w:rPr>
          <w:t>OCI Logging configuration and log management</w:t>
        </w:r>
      </w:hyperlink>
    </w:p>
    <w:p w14:paraId="64EA00BF" w14:textId="77777777" w:rsidR="007C3E8F" w:rsidRDefault="00000000">
      <w:pPr>
        <w:pStyle w:val="ListBullet"/>
      </w:pPr>
      <w:hyperlink r:id="rId46">
        <w:r>
          <w:rPr>
            <w:color w:val="0563C1"/>
            <w:u w:val="single"/>
          </w:rPr>
          <w:t>OCI Connector Hub service-connector implementation</w:t>
        </w:r>
      </w:hyperlink>
    </w:p>
    <w:p w14:paraId="002B81FF" w14:textId="77777777" w:rsidR="007C3E8F" w:rsidRDefault="00000000">
      <w:pPr>
        <w:pStyle w:val="ListBullet"/>
      </w:pPr>
      <w:hyperlink r:id="rId47">
        <w:r>
          <w:rPr>
            <w:color w:val="0563C1"/>
            <w:u w:val="single"/>
          </w:rPr>
          <w:t>OCI Notifications topics and subscriptions</w:t>
        </w:r>
      </w:hyperlink>
    </w:p>
    <w:p w14:paraId="2026C89D" w14:textId="77777777" w:rsidR="007C3E8F" w:rsidRDefault="00000000">
      <w:pPr>
        <w:pStyle w:val="ListBullet"/>
      </w:pPr>
      <w:hyperlink r:id="rId48" w:anchor="accessing_list_pricing">
        <w:r>
          <w:rPr>
            <w:color w:val="0563C1"/>
            <w:u w:val="single"/>
          </w:rPr>
          <w:t>Oracle List Pricing API access and field/tier semantics</w:t>
        </w:r>
      </w:hyperlink>
    </w:p>
    <w:p w14:paraId="0AEAF2A0" w14:textId="77777777" w:rsidR="007C3E8F" w:rsidRDefault="00000000">
      <w:pPr>
        <w:pStyle w:val="ListBullet"/>
      </w:pPr>
      <w:hyperlink r:id="rId49">
        <w:r>
          <w:rPr>
            <w:color w:val="0563C1"/>
            <w:u w:val="single"/>
          </w:rPr>
          <w:t>Oracle public List Pricing API endpoint</w:t>
        </w:r>
      </w:hyperlink>
    </w:p>
    <w:p w14:paraId="726A9FD7" w14:textId="77777777" w:rsidR="007C3E8F" w:rsidRDefault="00000000">
      <w:pPr>
        <w:pStyle w:val="ListBullet"/>
      </w:pPr>
      <w:hyperlink r:id="rId50">
        <w:r>
          <w:rPr>
            <w:color w:val="0563C1"/>
            <w:u w:val="single"/>
          </w:rPr>
          <w:t>Oracle Cloud Cost Estimator</w:t>
        </w:r>
      </w:hyperlink>
    </w:p>
    <w:p w14:paraId="7F82F263" w14:textId="77777777" w:rsidR="00BA4521" w:rsidRPr="007E586A" w:rsidRDefault="00BA4521" w:rsidP="007E586A">
      <w:pPr>
        <w:pStyle w:val="Connectwithuslastpage"/>
      </w:pPr>
      <w:r w:rsidRPr="007E586A">
        <w:lastRenderedPageBreak/>
        <w:t>Connect with us</w:t>
      </w:r>
    </w:p>
    <w:p w14:paraId="5D99C6C2" w14:textId="77777777" w:rsidR="00BA4521" w:rsidRPr="00374647" w:rsidRDefault="00BA4521" w:rsidP="00BA4521">
      <w:pPr>
        <w:pStyle w:val="Copyrightcontact"/>
      </w:pPr>
      <w:r w:rsidRPr="00374647">
        <w:t>Call +</w:t>
      </w:r>
      <w:proofErr w:type="gramStart"/>
      <w:r w:rsidRPr="00374647">
        <w:rPr>
          <w:b/>
          <w:bCs/>
        </w:rPr>
        <w:t>1.800.ORACLE</w:t>
      </w:r>
      <w:proofErr w:type="gramEnd"/>
      <w:r w:rsidRPr="00374647">
        <w:rPr>
          <w:b/>
          <w:bCs/>
        </w:rPr>
        <w:t>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14:paraId="6F6AF7FC" w14:textId="77777777" w:rsidR="00BA4521" w:rsidRPr="00374647" w:rsidRDefault="00BA4521" w:rsidP="00BA4521">
      <w:pPr>
        <w:pStyle w:val="CopyrightsocialURL"/>
      </w:pPr>
      <w:r w:rsidRPr="00374647">
        <w:tab/>
        <w:t>blogs.oracle.com</w:t>
      </w:r>
      <w:r w:rsidRPr="00374647">
        <w:tab/>
        <w:t>facebook.com/oracle</w:t>
      </w:r>
      <w:r w:rsidRPr="00374647">
        <w:tab/>
        <w:t>twitter.com/oracle</w:t>
      </w:r>
    </w:p>
    <w:sdt>
      <w:sdtPr>
        <w:id w:val="-404232257"/>
        <w:lock w:val="sdtContentLocked"/>
        <w:placeholder>
          <w:docPart w:val="C11326846643463C9B13912AA0C543F3"/>
        </w:placeholder>
      </w:sdtPr>
      <w:sdtEndPr>
        <w:rPr>
          <w:color w:val="2C5967"/>
          <w:u w:val="single"/>
        </w:rPr>
      </w:sdtEndPr>
      <w:sdtContent>
        <w:p w14:paraId="75B873E2" w14:textId="7777777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11374B">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4042902D" w14:textId="77777777"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37760E">
      <w:headerReference w:type="default" r:id="rId51"/>
      <w:footerReference w:type="default" r:id="rId52"/>
      <w:headerReference w:type="first" r:id="rId53"/>
      <w:footerReference w:type="first" r:id="rId54"/>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1CB75" w14:textId="77777777" w:rsidR="00810154" w:rsidRDefault="00810154" w:rsidP="00FD7E8E">
      <w:pPr>
        <w:spacing w:after="0" w:line="240" w:lineRule="auto"/>
      </w:pPr>
      <w:r>
        <w:separator/>
      </w:r>
    </w:p>
  </w:endnote>
  <w:endnote w:type="continuationSeparator" w:id="0">
    <w:p w14:paraId="6C32676B" w14:textId="77777777" w:rsidR="00810154" w:rsidRDefault="00810154"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Tab">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w:panose1 w:val="020B0503020204020204"/>
    <w:charset w:val="00"/>
    <w:family w:val="swiss"/>
    <w:pitch w:val="variable"/>
    <w:sig w:usb0="A10006EF" w:usb1="400060FB" w:usb2="00000000" w:usb3="00000000" w:csb0="0000001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B9CC" w14:textId="77777777" w:rsidR="00D354EE" w:rsidRDefault="00D354EE">
    <w:pPr>
      <w:pStyle w:val="Footer"/>
    </w:pPr>
    <w:r>
      <w:rPr>
        <w:noProof/>
        <w14:numSpacing w14:val="default"/>
      </w:rPr>
      <mc:AlternateContent>
        <mc:Choice Requires="wps">
          <w:drawing>
            <wp:anchor distT="0" distB="0" distL="0" distR="0" simplePos="0" relativeHeight="251688960" behindDoc="0" locked="0" layoutInCell="1" allowOverlap="1" wp14:anchorId="0C1ECB52" wp14:editId="54EB5157">
              <wp:simplePos x="635" y="635"/>
              <wp:positionH relativeFrom="page">
                <wp:align>left</wp:align>
              </wp:positionH>
              <wp:positionV relativeFrom="page">
                <wp:align>bottom</wp:align>
              </wp:positionV>
              <wp:extent cx="2940685" cy="368300"/>
              <wp:effectExtent l="0" t="0" r="5715" b="0"/>
              <wp:wrapNone/>
              <wp:docPr id="728127791" name="Text Box 9"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1ECB52" id="_x0000_t202" coordsize="21600,21600" o:spt="202" path="m,l,21600r21600,l21600,xe">
              <v:stroke joinstyle="miter"/>
              <v:path gradientshapeok="t" o:connecttype="rect"/>
            </v:shapetype>
            <v:shape id="Text Box 9" o:spid="_x0000_s1028" type="#_x0000_t202" alt="Confidential - Oracle Restricted \Employees Only" style="position:absolute;margin-left:0;margin-top:0;width:231.55pt;height:29pt;z-index:2516889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" filled="f" stroked="f">
              <v:textbox style="mso-fit-shape-to-text:t" inset="20pt,0,0,15pt">
                <w:txbxContent>
                  <w:p w14:paraId="7F220E1A"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9A357" w14:textId="77777777" w:rsidR="00743633" w:rsidRDefault="007436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AE259D" w14:textId="77777777" w:rsidR="00D354EE" w:rsidRDefault="00D354EE">
    <w:pPr>
      <w:pStyle w:val="Footer"/>
    </w:pPr>
    <w:r>
      <w:rPr>
        <w:noProof/>
        <w14:numSpacing w14:val="default"/>
      </w:rPr>
      <mc:AlternateContent>
        <mc:Choice Requires="wps">
          <w:drawing>
            <wp:anchor distT="0" distB="0" distL="0" distR="0" simplePos="0" relativeHeight="251687936" behindDoc="0" locked="0" layoutInCell="1" allowOverlap="1" wp14:anchorId="018B9B97" wp14:editId="6933DF47">
              <wp:simplePos x="635" y="635"/>
              <wp:positionH relativeFrom="page">
                <wp:align>left</wp:align>
              </wp:positionH>
              <wp:positionV relativeFrom="page">
                <wp:align>bottom</wp:align>
              </wp:positionV>
              <wp:extent cx="2940685" cy="368300"/>
              <wp:effectExtent l="0" t="0" r="5715" b="0"/>
              <wp:wrapNone/>
              <wp:docPr id="1543388404" name="Text Box 8"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8B9B97" id="_x0000_t202" coordsize="21600,21600" o:spt="202" path="m,l,21600r21600,l21600,xe">
              <v:stroke joinstyle="miter"/>
              <v:path gradientshapeok="t" o:connecttype="rect"/>
            </v:shapetype>
            <v:shape id="Text Box 8" o:spid="_x0000_s1030" type="#_x0000_t202" alt="Confidential - Oracle Restricted \Employees Only" style="position:absolute;margin-left:0;margin-top:0;width:231.55pt;height:29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CnCZykVAgAAIgQAAA4AAAAAAAAAAAAAAAAALgIAAGRycy9lMm9Eb2MueG1sUEsBAi0AFAAGAAgA&#13;&#10;AAAhADaFapfeAAAACQEAAA8AAAAAAAAAAAAAAAAAbwQAAGRycy9kb3ducmV2LnhtbFBLBQYAAAAA&#13;&#10;BAAEAPMAAAB6BQAAAAA=&#13;&#10;" filled="f" stroked="f">
              <v:textbox style="mso-fit-shape-to-text:t" inset="20pt,0,0,15pt">
                <w:txbxContent>
                  <w:p w14:paraId="33378C0E"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6E4CE7" w14:textId="77777777" w:rsidR="00B142E7" w:rsidRPr="00B71DD7" w:rsidRDefault="00D354EE" w:rsidP="0019626E">
    <w:pPr>
      <w:pStyle w:val="Footer"/>
      <w:rPr>
        <w:b/>
        <w:lang w:val="en-GB"/>
      </w:rPr>
    </w:pPr>
    <w:r>
      <w:fldChar w:fldCharType="begin"/>
    </w:r>
    <w:r>
      <w:instrText xml:space="preserve"> PAGE </w:instrText>
    </w:r>
    <w:r>
      <w:fldChar w:fldCharType="separate"/>
    </w:r>
    <w:r>
      <w:t>1</w:t>
    </w:r>
    <w:r>
      <w:fldChar w:fldCharType="end"/>
    </w:r>
    <w:r>
      <w:tab/>
      <w:t xml:space="preserve">AXIAN OCI Observability &amp; Management RFP </w:t>
    </w:r>
    <w:proofErr w:type="gramStart"/>
    <w:r>
      <w:t>Answers  /</w:t>
    </w:r>
    <w:proofErr w:type="gramEnd"/>
    <w:r>
      <w:t xml:space="preserve">  Version 1.4</w:t>
    </w:r>
  </w:p>
  <w:p w14:paraId="28890C1E" w14:textId="77777777" w:rsidR="00B142E7" w:rsidRPr="00B71DD7" w:rsidRDefault="00B142E7" w:rsidP="0019626E">
    <w:pPr>
      <w:pStyle w:val="Footerline26pt"/>
      <w:rPr>
        <w:lang w:val="en-GB"/>
      </w:rPr>
    </w:pPr>
    <w:r w:rsidRPr="00B71DD7">
      <w:rPr>
        <w:lang w:val="en-GB"/>
      </w:rPr>
      <w:tab/>
      <w:t xml:space="preserve">Copyright © </w:t>
    </w:r>
    <w:r w:rsidR="00D354EE">
      <w:rPr>
        <w:noProof/>
        <w:lang w:val="en-GB"/>
      </w:rPr>
      <w:t>2026</w:t>
    </w:r>
    <w:r w:rsidRPr="00B71DD7">
      <w:rPr>
        <w:lang w:val="en-GB"/>
      </w:rPr>
      <w:t xml:space="preserve">, Oracle and/or its </w:t>
    </w:r>
    <w:proofErr w:type="gramStart"/>
    <w:r w:rsidRPr="00B71DD7">
      <w:rPr>
        <w:lang w:val="en-GB"/>
      </w:rPr>
      <w:t>affiliates  /</w:t>
    </w:r>
    <w:proofErr w:type="gramEnd"/>
    <w:r w:rsidRPr="00B71DD7">
      <w:rPr>
        <w:lang w:val="en-GB"/>
      </w:rPr>
      <w:t xml:space="preserve">  </w:t>
    </w:r>
    <w:r w:rsidR="00D354EE">
      <w:rPr>
        <w:noProof/>
        <w:lang w:val="en-GB"/>
      </w:rPr>
      <w:t>Confidential – Oracle 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5AAE71" w14:textId="77777777" w:rsidR="00FD7E8E" w:rsidRDefault="00D354EE">
    <w:pPr>
      <w:pStyle w:val="Footer"/>
    </w:pPr>
    <w:r>
      <w:rPr>
        <w:noProof/>
        <w14:numSpacing w14:val="default"/>
      </w:rPr>
      <mc:AlternateContent>
        <mc:Choice Requires="wps">
          <w:drawing>
            <wp:anchor distT="0" distB="0" distL="0" distR="0" simplePos="0" relativeHeight="251691008" behindDoc="0" locked="0" layoutInCell="1" allowOverlap="1" wp14:anchorId="1C39EA51" wp14:editId="5076D570">
              <wp:simplePos x="635" y="635"/>
              <wp:positionH relativeFrom="page">
                <wp:align>left</wp:align>
              </wp:positionH>
              <wp:positionV relativeFrom="page">
                <wp:align>bottom</wp:align>
              </wp:positionV>
              <wp:extent cx="2940685" cy="368300"/>
              <wp:effectExtent l="0" t="0" r="5715" b="0"/>
              <wp:wrapNone/>
              <wp:docPr id="1809966648" name="Text Box 11"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39EA51" id="_x0000_t202" coordsize="21600,21600" o:spt="202" path="m,l,21600r21600,l21600,xe">
              <v:stroke joinstyle="miter"/>
              <v:path gradientshapeok="t" o:connecttype="rect"/>
            </v:shapetype>
            <v:shape id="Text Box 11" o:spid="_x0000_s1033" type="#_x0000_t202" alt="Confidential - Oracle Restricted \Employees Only" style="position:absolute;margin-left:0;margin-top:0;width:231.55pt;height:29pt;z-index:2516910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" filled="f" stroked="f">
              <v:textbox style="mso-fit-shape-to-text:t" inset="20pt,0,0,15pt">
                <w:txbxContent>
                  <w:p w14:paraId="12B51C4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7D3272" w14:textId="77777777" w:rsidR="00810154" w:rsidRDefault="00810154" w:rsidP="00FD7E8E">
      <w:pPr>
        <w:spacing w:after="0" w:line="240" w:lineRule="auto"/>
      </w:pPr>
      <w:r>
        <w:separator/>
      </w:r>
    </w:p>
  </w:footnote>
  <w:footnote w:type="continuationSeparator" w:id="0">
    <w:p w14:paraId="7F6492C2" w14:textId="77777777" w:rsidR="00810154" w:rsidRDefault="00810154"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9066D" w14:textId="77777777" w:rsidR="00D354EE" w:rsidRDefault="00D354EE">
    <w:pPr>
      <w:pStyle w:val="Header"/>
    </w:pPr>
    <w:r>
      <w:rPr>
        <w:noProof/>
        <w14:numSpacing w14:val="default"/>
      </w:rPr>
      <mc:AlternateContent>
        <mc:Choice Requires="wps">
          <w:drawing>
            <wp:anchor distT="0" distB="0" distL="0" distR="0" simplePos="0" relativeHeight="251683840" behindDoc="0" locked="0" layoutInCell="1" allowOverlap="1" wp14:anchorId="5A42D92D" wp14:editId="062E4AAA">
              <wp:simplePos x="635" y="635"/>
              <wp:positionH relativeFrom="page">
                <wp:align>right</wp:align>
              </wp:positionH>
              <wp:positionV relativeFrom="page">
                <wp:align>top</wp:align>
              </wp:positionV>
              <wp:extent cx="2940685" cy="368300"/>
              <wp:effectExtent l="0" t="0" r="5715" b="0"/>
              <wp:wrapNone/>
              <wp:docPr id="1482504629"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42D92D" id="_x0000_t202" coordsize="21600,21600" o:spt="202" path="m,l,21600r21600,l21600,xe">
              <v:stroke joinstyle="miter"/>
              <v:path gradientshapeok="t" o:connecttype="rect"/>
            </v:shapetype>
            <v:shape id="Text Box 4" o:spid="_x0000_s1026" type="#_x0000_t202" alt="Confidential - Oracle Restricted \Employees Only" style="position:absolute;margin-left:0;margin-top:0;width:231.55pt;height:29pt;z-index:2516838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" filled="f" stroked="f">
              <v:textbox style="mso-fit-shape-to-text:t" inset="20pt,15pt,0,0">
                <w:txbxContent>
                  <w:p w14:paraId="0508C42B"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9DDBA" w14:textId="77777777" w:rsidR="00950F82" w:rsidRDefault="00D354EE">
    <w:pPr>
      <w:pStyle w:val="Header"/>
    </w:pPr>
    <w:r>
      <w:rPr>
        <w:noProof/>
        <w14:numSpacing w14:val="default"/>
      </w:rPr>
      <mc:AlternateContent>
        <mc:Choice Requires="wps">
          <w:drawing>
            <wp:anchor distT="0" distB="0" distL="0" distR="0" simplePos="0" relativeHeight="251684864" behindDoc="0" locked="0" layoutInCell="1" allowOverlap="1" wp14:anchorId="24B59775" wp14:editId="27997661">
              <wp:simplePos x="635" y="635"/>
              <wp:positionH relativeFrom="page">
                <wp:align>right</wp:align>
              </wp:positionH>
              <wp:positionV relativeFrom="page">
                <wp:align>top</wp:align>
              </wp:positionV>
              <wp:extent cx="2940685" cy="368300"/>
              <wp:effectExtent l="0" t="0" r="5715" b="0"/>
              <wp:wrapNone/>
              <wp:docPr id="1022198155"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4B59775"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9pt;z-index:2516848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" filled="f" stroked="f">
              <v:textbox style="mso-fit-shape-to-text:t" inset="20pt,15pt,0,0">
                <w:txbxContent>
                  <w:p w14:paraId="700AB1E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v:textbox>
              <w10:wrap anchorx="page" anchory="page"/>
            </v:shape>
          </w:pict>
        </mc:Fallback>
      </mc:AlternateContent>
    </w:r>
    <w:r w:rsidR="005240D2">
      <w:rPr>
        <w:noProof/>
        <w14:numSpacing w14:val="default"/>
      </w:rPr>
      <w:drawing>
        <wp:anchor distT="0" distB="0" distL="114300" distR="114300" simplePos="0" relativeHeight="251681792" behindDoc="0" locked="0" layoutInCell="1" allowOverlap="1" wp14:anchorId="2851FBEB" wp14:editId="51EF2C74">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6" name="Picture 6" descr="Image: item1.xml">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7AE3199D" wp14:editId="17C3032B">
          <wp:extent cx="941832" cy="123105"/>
          <wp:effectExtent l="0" t="0" r="0" b="0"/>
          <wp:docPr id="2" name="Picture 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3486B" w14:textId="77777777" w:rsidR="00BA4521" w:rsidRDefault="00D354EE" w:rsidP="00176836">
    <w:pPr>
      <w:pStyle w:val="Header"/>
      <w:spacing w:after="0"/>
    </w:pPr>
    <w:r>
      <w:rPr>
        <w:noProof/>
        <w14:numSpacing w14:val="default"/>
      </w:rPr>
      <mc:AlternateContent>
        <mc:Choice Requires="wps">
          <w:drawing>
            <wp:anchor distT="0" distB="0" distL="0" distR="0" simplePos="0" relativeHeight="251682816" behindDoc="0" locked="0" layoutInCell="1" allowOverlap="1" wp14:anchorId="133714E4" wp14:editId="11EB259B">
              <wp:simplePos x="635" y="635"/>
              <wp:positionH relativeFrom="page">
                <wp:align>right</wp:align>
              </wp:positionH>
              <wp:positionV relativeFrom="page">
                <wp:align>top</wp:align>
              </wp:positionV>
              <wp:extent cx="2940685" cy="368300"/>
              <wp:effectExtent l="0" t="0" r="5715" b="0"/>
              <wp:wrapNone/>
              <wp:docPr id="209647397"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3714E4" id="_x0000_t202" coordsize="21600,21600" o:spt="202" path="m,l,21600r21600,l21600,xe">
              <v:stroke joinstyle="miter"/>
              <v:path gradientshapeok="t" o:connecttype="rect"/>
            </v:shapetype>
            <v:shape id="Text Box 3" o:spid="_x0000_s1029" type="#_x0000_t202" alt="Confidential - Oracle Restricted \Employees Only" style="position:absolute;margin-left:0;margin-top:0;width:231.55pt;height:29pt;z-index:2516828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lCQFA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" filled="f" stroked="f">
              <v:textbox style="mso-fit-shape-to-text:t" inset="20pt,15pt,0,0">
                <w:txbxContent>
                  <w:p w14:paraId="5726A5D5"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v:textbox>
              <w10:wrap anchorx="page" anchory="page"/>
            </v:shape>
          </w:pict>
        </mc:Fallback>
      </mc:AlternateContent>
    </w:r>
    <w:r w:rsidR="008B45C4">
      <w:rPr>
        <w:noProof/>
        <w14:numSpacing w14:val="default"/>
      </w:rPr>
      <mc:AlternateContent>
        <mc:Choice Requires="wps">
          <w:drawing>
            <wp:anchor distT="0" distB="0" distL="114300" distR="114300" simplePos="0" relativeHeight="251665408" behindDoc="1" locked="0" layoutInCell="1" allowOverlap="1" wp14:anchorId="0C4C0804" wp14:editId="5BDC3860">
              <wp:simplePos x="0" y="0"/>
              <wp:positionH relativeFrom="column">
                <wp:posOffset>3007995</wp:posOffset>
              </wp:positionH>
              <wp:positionV relativeFrom="paragraph">
                <wp:posOffset>-685800</wp:posOffset>
              </wp:positionV>
              <wp:extent cx="7772400" cy="10058400"/>
              <wp:effectExtent l="0" t="0" r="0" b="0"/>
              <wp:wrapNone/>
              <wp:docPr id="17" name="Rectangle 17"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A50E8"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2A6B9A2F" wp14:editId="7D06D8B5">
          <wp:extent cx="1759544" cy="229988"/>
          <wp:effectExtent l="0" t="0" r="0" b="0"/>
          <wp:docPr id="10" name="Picture 10"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480CA" w14:textId="77777777" w:rsidR="00CB4C56" w:rsidRDefault="00D354EE">
    <w:pPr>
      <w:pStyle w:val="Header"/>
    </w:pPr>
    <w:r>
      <w:rPr>
        <w:noProof/>
        <w14:numSpacing w14:val="default"/>
      </w:rPr>
      <mc:AlternateContent>
        <mc:Choice Requires="wps">
          <w:drawing>
            <wp:anchor distT="0" distB="0" distL="0" distR="0" simplePos="0" relativeHeight="251686912" behindDoc="0" locked="0" layoutInCell="1" allowOverlap="1" wp14:anchorId="2301978D" wp14:editId="70D4B2BA">
              <wp:simplePos x="0" y="0"/>
              <wp:positionH relativeFrom="page">
                <wp:align>right</wp:align>
              </wp:positionH>
              <wp:positionV relativeFrom="page">
                <wp:align>top</wp:align>
              </wp:positionV>
              <wp:extent cx="2940685" cy="368300"/>
              <wp:effectExtent l="0" t="0" r="5715" b="0"/>
              <wp:wrapNone/>
              <wp:docPr id="1234579667" name="Text Box 7"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01978D" id="_x0000_t202" coordsize="21600,21600" o:spt="202" path="m,l,21600r21600,l21600,xe">
              <v:stroke joinstyle="miter"/>
              <v:path gradientshapeok="t" o:connecttype="rect"/>
            </v:shapetype>
            <v:shape id="Text Box 7" o:spid="_x0000_s1031" type="#_x0000_t202" alt="Confidential - Oracle Restricted \Employees Only" style="position:absolute;margin-left:0;margin-top:0;width:231.55pt;height:29pt;z-index:2516869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rcV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T4f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BHircVFQIAACIEAAAOAAAAAAAAAAAAAAAAAC4CAABkcnMvZTJvRG9jLnhtbFBLAQItABQABgAI&#13;&#10;AAAAIQCTG4yC3wAAAAkBAAAPAAAAAAAAAAAAAAAAAG8EAABkcnMvZG93bnJldi54bWxQSwUGAAAA&#13;&#10;AAQABADzAAAAewUAAAAA&#13;&#10;" filled="f" stroked="f">
              <v:textbox style="mso-fit-shape-to-text:t" inset="20pt,15pt,0,0">
                <w:txbxContent>
                  <w:p w14:paraId="535564D9"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v:textbox>
              <w10:wrap anchorx="page" anchory="page"/>
            </v:shape>
          </w:pict>
        </mc:Fallback>
      </mc:AlternateContent>
    </w:r>
    <w:r w:rsidR="00D169B4">
      <w:rPr>
        <w:noProof/>
        <w14:numSpacing w14:val="default"/>
      </w:rPr>
      <w:drawing>
        <wp:inline distT="0" distB="0" distL="0" distR="0" wp14:anchorId="1BFC92BB" wp14:editId="4395D6E4">
          <wp:extent cx="786384" cy="102787"/>
          <wp:effectExtent l="0" t="0" r="0" b="0"/>
          <wp:docPr id="4" name="Picture 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B1958" w14:textId="77777777" w:rsidR="00FD7E8E" w:rsidRDefault="00D354EE" w:rsidP="00176836">
    <w:pPr>
      <w:pStyle w:val="Header"/>
      <w:spacing w:after="0"/>
    </w:pPr>
    <w:r>
      <w:rPr>
        <w:noProof/>
        <w14:numSpacing w14:val="default"/>
      </w:rPr>
      <mc:AlternateContent>
        <mc:Choice Requires="wps">
          <w:drawing>
            <wp:anchor distT="0" distB="0" distL="0" distR="0" simplePos="0" relativeHeight="251685888" behindDoc="0" locked="0" layoutInCell="1" allowOverlap="1" wp14:anchorId="0F355B9E" wp14:editId="315F807F">
              <wp:simplePos x="635" y="635"/>
              <wp:positionH relativeFrom="page">
                <wp:align>right</wp:align>
              </wp:positionH>
              <wp:positionV relativeFrom="page">
                <wp:align>top</wp:align>
              </wp:positionV>
              <wp:extent cx="2940685" cy="368300"/>
              <wp:effectExtent l="0" t="0" r="5715" b="0"/>
              <wp:wrapNone/>
              <wp:docPr id="6946595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300"/>
                      </a:xfrm>
                      <a:prstGeom prst="rect">
                        <a:avLst/>
                      </a:prstGeom>
                      <a:noFill/>
                      <a:ln>
                        <a:noFill/>
                      </a:ln>
                    </wps:spPr>
                    <wps:txbx>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355B9E" id="_x0000_t202" coordsize="21600,21600" o:spt="202" path="m,l,21600r21600,l21600,xe">
              <v:stroke joinstyle="miter"/>
              <v:path gradientshapeok="t" o:connecttype="rect"/>
            </v:shapetype>
            <v:shape id="Text Box 6" o:spid="_x0000_s1032" type="#_x0000_t202" alt="Confidential - Oracle Restricted \Employees Only" style="position:absolute;margin-left:0;margin-top:0;width:231.55pt;height:29pt;z-index:2516858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" filled="f" stroked="f">
              <v:textbox style="mso-fit-shape-to-text:t" inset="20pt,15pt,0,0">
                <w:txbxContent>
                  <w:p w14:paraId="4F2F9738" w14:textId="77777777" w:rsidR="00D354EE" w:rsidRPr="00D354EE" w:rsidRDefault="00D354EE" w:rsidP="00D354EE">
                    <w:pPr>
                      <w:spacing w:after="0"/>
                      <w:rPr>
                        <w:rFonts w:ascii="Aptos" w:eastAsia="Aptos" w:hAnsi="Aptos" w:cs="Aptos"/>
                        <w:noProof/>
                        <w:color w:val="000000"/>
                        <w:sz w:val="20"/>
                        <w:szCs w:val="20"/>
                      </w:rPr>
                    </w:pPr>
                    <w:r w:rsidRPr="00D354EE">
                      <w:rPr>
                        <w:rFonts w:ascii="Aptos" w:eastAsia="Aptos" w:hAnsi="Aptos" w:cs="Aptos"/>
                        <w:noProof/>
                        <w:color w:val="000000"/>
                        <w:sz w:val="20"/>
                        <w:szCs w:val="20"/>
                      </w:rPr>
                      <w:t>Confidential - Oracle Restricted | Employees Only</w:t>
                    </w:r>
                  </w:p>
                </w:txbxContent>
              </v:textbox>
              <w10:wrap anchorx="page" anchory="page"/>
            </v:shape>
          </w:pict>
        </mc:Fallback>
      </mc:AlternateContent>
    </w:r>
    <w:r w:rsidR="00FD7E8E">
      <w:rPr>
        <w:noProof/>
        <w14:numSpacing w14:val="default"/>
      </w:rPr>
      <w:drawing>
        <wp:inline distT="0" distB="0" distL="0" distR="0" wp14:anchorId="7DD0895E" wp14:editId="4432D25C">
          <wp:extent cx="1759544" cy="229988"/>
          <wp:effectExtent l="0" t="0" r="0" b="0"/>
          <wp:docPr id="8" name="Picture 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sidR="00FD7E8E">
      <w:rPr>
        <w:noProof/>
        <w14:numSpacing w14:val="default"/>
      </w:rPr>
      <w:drawing>
        <wp:anchor distT="0" distB="0" distL="114300" distR="114300" simplePos="0" relativeHeight="251662336" behindDoc="0" locked="1" layoutInCell="1" allowOverlap="1" wp14:anchorId="6CBCECF5" wp14:editId="26DB7588">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9" name="Picture 9" descr="Ima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sidR="00FD7E8E">
      <w:rPr>
        <w:noProof/>
        <w14:numSpacing w14:val="default"/>
      </w:rPr>
      <mc:AlternateContent>
        <mc:Choice Requires="wps">
          <w:drawing>
            <wp:anchor distT="0" distB="0" distL="114300" distR="114300" simplePos="0" relativeHeight="251660288" behindDoc="1" locked="0" layoutInCell="1" allowOverlap="1" wp14:anchorId="4C38A611" wp14:editId="3447B4D7">
              <wp:simplePos x="0" y="0"/>
              <wp:positionH relativeFrom="column">
                <wp:posOffset>-459105</wp:posOffset>
              </wp:positionH>
              <wp:positionV relativeFrom="paragraph">
                <wp:posOffset>-685800</wp:posOffset>
              </wp:positionV>
              <wp:extent cx="7772400" cy="10058400"/>
              <wp:effectExtent l="0" t="0" r="0" b="0"/>
              <wp:wrapNone/>
              <wp:docPr id="51" name="Rectangle 51" descr="Imag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E62E8"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4"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17"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8"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9"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0"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3"/>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6"/>
  </w:num>
  <w:num w:numId="17" w16cid:durableId="948510490">
    <w:abstractNumId w:val="13"/>
  </w:num>
  <w:num w:numId="18" w16cid:durableId="1710572050">
    <w:abstractNumId w:val="18"/>
  </w:num>
  <w:num w:numId="19" w16cid:durableId="1713991367">
    <w:abstractNumId w:val="20"/>
  </w:num>
  <w:num w:numId="20" w16cid:durableId="160396652">
    <w:abstractNumId w:val="17"/>
  </w:num>
  <w:num w:numId="21" w16cid:durableId="832141224">
    <w:abstractNumId w:val="14"/>
  </w:num>
  <w:num w:numId="22" w16cid:durableId="1019890927">
    <w:abstractNumId w:val="21"/>
  </w:num>
  <w:num w:numId="23" w16cid:durableId="1049066874">
    <w:abstractNumId w:val="15"/>
  </w:num>
  <w:num w:numId="24" w16cid:durableId="219637458">
    <w:abstractNumId w:val="19"/>
  </w:num>
  <w:num w:numId="25" w16cid:durableId="118256779">
    <w:abstractNumId w:val="16"/>
  </w:num>
  <w:num w:numId="26" w16cid:durableId="1031108127">
    <w:abstractNumId w:val="19"/>
  </w:num>
  <w:num w:numId="27" w16cid:durableId="1740208270">
    <w:abstractNumId w:val="13"/>
  </w:num>
  <w:num w:numId="28" w16cid:durableId="894973221">
    <w:abstractNumId w:val="13"/>
  </w:num>
  <w:num w:numId="29" w16cid:durableId="492718575">
    <w:abstractNumId w:val="18"/>
  </w:num>
  <w:num w:numId="30" w16cid:durableId="455757384">
    <w:abstractNumId w:val="20"/>
  </w:num>
  <w:num w:numId="31" w16cid:durableId="1468891015">
    <w:abstractNumId w:val="17"/>
  </w:num>
  <w:num w:numId="32" w16cid:durableId="916791674">
    <w:abstractNumId w:val="14"/>
  </w:num>
  <w:num w:numId="33" w16cid:durableId="1866670728">
    <w:abstractNumId w:val="14"/>
  </w:num>
  <w:num w:numId="34" w16cid:durableId="1674259663">
    <w:abstractNumId w:val="21"/>
  </w:num>
  <w:num w:numId="35" w16cid:durableId="924195013">
    <w:abstractNumId w:val="19"/>
  </w:num>
  <w:num w:numId="36" w16cid:durableId="23216860">
    <w:abstractNumId w:val="15"/>
  </w:num>
  <w:num w:numId="37" w16cid:durableId="958758826">
    <w:abstractNumId w:val="19"/>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removePersonalInformation/>
  <w:removeDateAndTime/>
  <w:displayBackgroundShape/>
  <w:proofState w:spelling="clean" w:grammar="clean"/>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632"/>
    <w:rsid w:val="00007556"/>
    <w:rsid w:val="000110BF"/>
    <w:rsid w:val="00014373"/>
    <w:rsid w:val="0002195F"/>
    <w:rsid w:val="000229A0"/>
    <w:rsid w:val="00052FF2"/>
    <w:rsid w:val="00072882"/>
    <w:rsid w:val="00077536"/>
    <w:rsid w:val="00083116"/>
    <w:rsid w:val="00087EA3"/>
    <w:rsid w:val="000937F8"/>
    <w:rsid w:val="00096A17"/>
    <w:rsid w:val="000B4CD2"/>
    <w:rsid w:val="000C591D"/>
    <w:rsid w:val="000D4A55"/>
    <w:rsid w:val="000E109E"/>
    <w:rsid w:val="000E6EF9"/>
    <w:rsid w:val="000F125C"/>
    <w:rsid w:val="000F21D5"/>
    <w:rsid w:val="000F5AD1"/>
    <w:rsid w:val="00103852"/>
    <w:rsid w:val="00107D99"/>
    <w:rsid w:val="0011374B"/>
    <w:rsid w:val="00127129"/>
    <w:rsid w:val="001309B8"/>
    <w:rsid w:val="001327E2"/>
    <w:rsid w:val="00133AAB"/>
    <w:rsid w:val="00136D38"/>
    <w:rsid w:val="00157F21"/>
    <w:rsid w:val="00166835"/>
    <w:rsid w:val="00184DF1"/>
    <w:rsid w:val="00193A11"/>
    <w:rsid w:val="00196A8E"/>
    <w:rsid w:val="001B29AC"/>
    <w:rsid w:val="001B6D09"/>
    <w:rsid w:val="001C2E20"/>
    <w:rsid w:val="001D0FF8"/>
    <w:rsid w:val="001D1331"/>
    <w:rsid w:val="001D36BA"/>
    <w:rsid w:val="001D5880"/>
    <w:rsid w:val="001E694A"/>
    <w:rsid w:val="001F4250"/>
    <w:rsid w:val="001F6553"/>
    <w:rsid w:val="0020210E"/>
    <w:rsid w:val="002055C5"/>
    <w:rsid w:val="00210226"/>
    <w:rsid w:val="002110CD"/>
    <w:rsid w:val="0021247A"/>
    <w:rsid w:val="002148B1"/>
    <w:rsid w:val="00214D31"/>
    <w:rsid w:val="002319F6"/>
    <w:rsid w:val="00262B68"/>
    <w:rsid w:val="00267632"/>
    <w:rsid w:val="002752F7"/>
    <w:rsid w:val="00276AE9"/>
    <w:rsid w:val="00281F62"/>
    <w:rsid w:val="00282C1F"/>
    <w:rsid w:val="0028542C"/>
    <w:rsid w:val="002862B3"/>
    <w:rsid w:val="00286615"/>
    <w:rsid w:val="002927BB"/>
    <w:rsid w:val="002A1DB2"/>
    <w:rsid w:val="002A1FB8"/>
    <w:rsid w:val="002B3CC5"/>
    <w:rsid w:val="002B49D5"/>
    <w:rsid w:val="002C3110"/>
    <w:rsid w:val="002C549D"/>
    <w:rsid w:val="002C702C"/>
    <w:rsid w:val="002D7C48"/>
    <w:rsid w:val="002E0086"/>
    <w:rsid w:val="002E335F"/>
    <w:rsid w:val="00300ADA"/>
    <w:rsid w:val="00305C36"/>
    <w:rsid w:val="0032169B"/>
    <w:rsid w:val="00332E6F"/>
    <w:rsid w:val="00336F6B"/>
    <w:rsid w:val="0033755E"/>
    <w:rsid w:val="003405AD"/>
    <w:rsid w:val="003426B0"/>
    <w:rsid w:val="00366652"/>
    <w:rsid w:val="0037760E"/>
    <w:rsid w:val="003A241C"/>
    <w:rsid w:val="003C5F6D"/>
    <w:rsid w:val="003D14C9"/>
    <w:rsid w:val="003D314D"/>
    <w:rsid w:val="003D719D"/>
    <w:rsid w:val="00401CE2"/>
    <w:rsid w:val="004164B3"/>
    <w:rsid w:val="00422D87"/>
    <w:rsid w:val="0043382D"/>
    <w:rsid w:val="004378B2"/>
    <w:rsid w:val="004520D7"/>
    <w:rsid w:val="00467D2F"/>
    <w:rsid w:val="00470D93"/>
    <w:rsid w:val="00485F82"/>
    <w:rsid w:val="00497325"/>
    <w:rsid w:val="004A2948"/>
    <w:rsid w:val="004C0965"/>
    <w:rsid w:val="004D1B86"/>
    <w:rsid w:val="004D54ED"/>
    <w:rsid w:val="004E7CAA"/>
    <w:rsid w:val="004F0FD1"/>
    <w:rsid w:val="004F5001"/>
    <w:rsid w:val="004F6AB9"/>
    <w:rsid w:val="00502458"/>
    <w:rsid w:val="00503540"/>
    <w:rsid w:val="005074F5"/>
    <w:rsid w:val="00507E0B"/>
    <w:rsid w:val="00512A22"/>
    <w:rsid w:val="0052231F"/>
    <w:rsid w:val="005240D2"/>
    <w:rsid w:val="00535373"/>
    <w:rsid w:val="00560D0D"/>
    <w:rsid w:val="005617A1"/>
    <w:rsid w:val="005813C7"/>
    <w:rsid w:val="00593CF7"/>
    <w:rsid w:val="005A0F74"/>
    <w:rsid w:val="005B1838"/>
    <w:rsid w:val="005C1255"/>
    <w:rsid w:val="005D55AE"/>
    <w:rsid w:val="005E25D7"/>
    <w:rsid w:val="006018A1"/>
    <w:rsid w:val="0060361E"/>
    <w:rsid w:val="006056F2"/>
    <w:rsid w:val="00611325"/>
    <w:rsid w:val="00621BC3"/>
    <w:rsid w:val="00641336"/>
    <w:rsid w:val="00643CC0"/>
    <w:rsid w:val="00654DA5"/>
    <w:rsid w:val="00681A58"/>
    <w:rsid w:val="00693327"/>
    <w:rsid w:val="006A6555"/>
    <w:rsid w:val="006B005F"/>
    <w:rsid w:val="006B17D3"/>
    <w:rsid w:val="006B6995"/>
    <w:rsid w:val="006C705C"/>
    <w:rsid w:val="006D2620"/>
    <w:rsid w:val="006F193D"/>
    <w:rsid w:val="006F25D1"/>
    <w:rsid w:val="00704C4C"/>
    <w:rsid w:val="00714B31"/>
    <w:rsid w:val="007205DC"/>
    <w:rsid w:val="0073126C"/>
    <w:rsid w:val="00732DF7"/>
    <w:rsid w:val="007413CF"/>
    <w:rsid w:val="00742A1E"/>
    <w:rsid w:val="00743633"/>
    <w:rsid w:val="00772F0F"/>
    <w:rsid w:val="00783EC1"/>
    <w:rsid w:val="00786F8D"/>
    <w:rsid w:val="007901B2"/>
    <w:rsid w:val="007A4F11"/>
    <w:rsid w:val="007C3E8F"/>
    <w:rsid w:val="007C5325"/>
    <w:rsid w:val="007C665C"/>
    <w:rsid w:val="007D576D"/>
    <w:rsid w:val="007E586A"/>
    <w:rsid w:val="007E7BD3"/>
    <w:rsid w:val="00800A46"/>
    <w:rsid w:val="00804E2A"/>
    <w:rsid w:val="00810154"/>
    <w:rsid w:val="0082612F"/>
    <w:rsid w:val="00830C2D"/>
    <w:rsid w:val="00845DFB"/>
    <w:rsid w:val="00863B7E"/>
    <w:rsid w:val="00882A9A"/>
    <w:rsid w:val="00885250"/>
    <w:rsid w:val="00887EEB"/>
    <w:rsid w:val="00890A2C"/>
    <w:rsid w:val="00893A5E"/>
    <w:rsid w:val="008B45C4"/>
    <w:rsid w:val="008B5EFA"/>
    <w:rsid w:val="008B6724"/>
    <w:rsid w:val="008B7232"/>
    <w:rsid w:val="008C562D"/>
    <w:rsid w:val="008C6334"/>
    <w:rsid w:val="008D56F5"/>
    <w:rsid w:val="008E0FD1"/>
    <w:rsid w:val="008E76A0"/>
    <w:rsid w:val="008F3240"/>
    <w:rsid w:val="008F608E"/>
    <w:rsid w:val="009026AD"/>
    <w:rsid w:val="00904326"/>
    <w:rsid w:val="00912ACE"/>
    <w:rsid w:val="00921496"/>
    <w:rsid w:val="00950F82"/>
    <w:rsid w:val="00955E01"/>
    <w:rsid w:val="009674E3"/>
    <w:rsid w:val="00976291"/>
    <w:rsid w:val="009A4090"/>
    <w:rsid w:val="009E5261"/>
    <w:rsid w:val="009F2299"/>
    <w:rsid w:val="009F39E2"/>
    <w:rsid w:val="009F3F22"/>
    <w:rsid w:val="009F6C7E"/>
    <w:rsid w:val="00A301A4"/>
    <w:rsid w:val="00A45601"/>
    <w:rsid w:val="00A52674"/>
    <w:rsid w:val="00A6042A"/>
    <w:rsid w:val="00A614F6"/>
    <w:rsid w:val="00A6165D"/>
    <w:rsid w:val="00A63B84"/>
    <w:rsid w:val="00A6528F"/>
    <w:rsid w:val="00A67D13"/>
    <w:rsid w:val="00AA6E92"/>
    <w:rsid w:val="00AB445A"/>
    <w:rsid w:val="00AB66E6"/>
    <w:rsid w:val="00AC4154"/>
    <w:rsid w:val="00AD0CF0"/>
    <w:rsid w:val="00AD201A"/>
    <w:rsid w:val="00AD4165"/>
    <w:rsid w:val="00AE733D"/>
    <w:rsid w:val="00AE7EF7"/>
    <w:rsid w:val="00AF5725"/>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E28E8"/>
    <w:rsid w:val="00BE5680"/>
    <w:rsid w:val="00C16475"/>
    <w:rsid w:val="00C36AFF"/>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354EE"/>
    <w:rsid w:val="00D40469"/>
    <w:rsid w:val="00D433C6"/>
    <w:rsid w:val="00D709D3"/>
    <w:rsid w:val="00D76731"/>
    <w:rsid w:val="00D9314E"/>
    <w:rsid w:val="00DA021E"/>
    <w:rsid w:val="00DB0D6F"/>
    <w:rsid w:val="00DD006C"/>
    <w:rsid w:val="00DD15B5"/>
    <w:rsid w:val="00DD4DD0"/>
    <w:rsid w:val="00DE14AA"/>
    <w:rsid w:val="00DE485C"/>
    <w:rsid w:val="00DE4CE3"/>
    <w:rsid w:val="00DE6D5C"/>
    <w:rsid w:val="00DF42BC"/>
    <w:rsid w:val="00E01289"/>
    <w:rsid w:val="00E20643"/>
    <w:rsid w:val="00E260ED"/>
    <w:rsid w:val="00E439C3"/>
    <w:rsid w:val="00E507D0"/>
    <w:rsid w:val="00E61354"/>
    <w:rsid w:val="00E727B6"/>
    <w:rsid w:val="00E77DD1"/>
    <w:rsid w:val="00E8040D"/>
    <w:rsid w:val="00E81318"/>
    <w:rsid w:val="00E8516B"/>
    <w:rsid w:val="00EA284F"/>
    <w:rsid w:val="00EB07F6"/>
    <w:rsid w:val="00ED36D3"/>
    <w:rsid w:val="00ED7FD1"/>
    <w:rsid w:val="00EE7801"/>
    <w:rsid w:val="00F17ABA"/>
    <w:rsid w:val="00F23CFC"/>
    <w:rsid w:val="00F32F09"/>
    <w:rsid w:val="00F33C5B"/>
    <w:rsid w:val="00F431A3"/>
    <w:rsid w:val="00F56A46"/>
    <w:rsid w:val="00F6133C"/>
    <w:rsid w:val="00F6455D"/>
    <w:rsid w:val="00F95AA2"/>
    <w:rsid w:val="00F9731D"/>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221B"/>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420B0C"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420B0C"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485050"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48505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2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37"/>
      </w:numPr>
      <w:pBdr>
        <w:top w:val="single" w:sz="36" w:space="9" w:color="auto"/>
        <w:left w:val="single" w:sz="36" w:space="9" w:color="auto"/>
        <w:bottom w:val="single" w:sz="36" w:space="9" w:color="auto"/>
        <w:right w:val="single" w:sz="36" w:space="9" w:color="auto"/>
      </w:pBdr>
      <w:shd w:val="clear" w:color="auto" w:fill="2A2F2F"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customStyle="1" w:styleId="CaptionChar">
    <w:name w:val="Caption Char"/>
    <w:basedOn w:val="DefaultParagraphFont"/>
    <w:link w:val="Caption"/>
    <w:uiPriority w:val="99"/>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2A2F2F"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F0CC71"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customStyle="1" w:styleId="Normalbullet">
    <w:name w:val="Normal bullet"/>
    <w:basedOn w:val="Normal"/>
    <w:uiPriority w:val="2"/>
    <w:qFormat/>
    <w:rsid w:val="007A4F11"/>
    <w:pPr>
      <w:numPr>
        <w:numId w:val="28"/>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29"/>
      </w:numPr>
    </w:pPr>
  </w:style>
  <w:style w:type="paragraph" w:customStyle="1" w:styleId="Normaloutline2">
    <w:name w:val="Normal outline 2"/>
    <w:basedOn w:val="Normal"/>
    <w:uiPriority w:val="99"/>
    <w:rsid w:val="00DE6D5C"/>
    <w:pPr>
      <w:numPr>
        <w:ilvl w:val="1"/>
        <w:numId w:val="29"/>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30"/>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31"/>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33"/>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34"/>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420B0C"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420B0C"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798787" w:themeColor="text1" w:themeTint="99"/>
        <w:bottom w:val="single" w:sz="2" w:space="0" w:color="798787" w:themeColor="text1" w:themeTint="99"/>
        <w:insideH w:val="single" w:sz="2" w:space="0" w:color="798787" w:themeColor="text1" w:themeTint="99"/>
        <w:insideV w:val="single" w:sz="2" w:space="0" w:color="798787" w:themeColor="text1" w:themeTint="99"/>
      </w:tblBorders>
    </w:tblPr>
    <w:tblStylePr w:type="firstRow">
      <w:rPr>
        <w:b/>
        <w:bCs/>
      </w:rPr>
      <w:tblPr/>
      <w:tcPr>
        <w:tcBorders>
          <w:top w:val="nil"/>
          <w:bottom w:val="single" w:sz="12" w:space="0" w:color="798787" w:themeColor="text1" w:themeTint="99"/>
          <w:insideH w:val="nil"/>
          <w:insideV w:val="nil"/>
        </w:tcBorders>
        <w:shd w:val="clear" w:color="auto" w:fill="FFFFFF" w:themeFill="background1"/>
      </w:tcPr>
    </w:tblStylePr>
    <w:tblStylePr w:type="lastRow">
      <w:rPr>
        <w:b/>
        <w:bCs/>
      </w:rPr>
      <w:tblPr/>
      <w:tcPr>
        <w:tcBorders>
          <w:top w:val="double" w:sz="2" w:space="0" w:color="79878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7D7" w:themeFill="text1" w:themeFillTint="33"/>
      </w:tcPr>
    </w:tblStylePr>
    <w:tblStylePr w:type="band1Horz">
      <w:tblPr/>
      <w:tcPr>
        <w:shd w:val="clear" w:color="auto" w:fill="D2D7D7"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4F7D7B" w:themeColor="accent3"/>
        <w:left w:val="single" w:sz="8" w:space="0" w:color="4F7D7B" w:themeColor="accent3"/>
        <w:bottom w:val="single" w:sz="8" w:space="0" w:color="4F7D7B" w:themeColor="accent3"/>
        <w:right w:val="single" w:sz="8" w:space="0" w:color="4F7D7B" w:themeColor="accent3"/>
      </w:tblBorders>
    </w:tblPr>
    <w:tblStylePr w:type="firstRow">
      <w:pPr>
        <w:spacing w:before="0" w:after="0" w:line="240" w:lineRule="auto"/>
      </w:pPr>
      <w:rPr>
        <w:b/>
        <w:bCs/>
        <w:color w:val="FFFFFF" w:themeColor="background1"/>
      </w:rPr>
      <w:tblPr/>
      <w:tcPr>
        <w:shd w:val="clear" w:color="auto" w:fill="4F7D7B" w:themeFill="accent3"/>
      </w:tcPr>
    </w:tblStylePr>
    <w:tblStylePr w:type="lastRow">
      <w:pPr>
        <w:spacing w:before="0" w:after="0" w:line="240" w:lineRule="auto"/>
      </w:pPr>
      <w:rPr>
        <w:b/>
        <w:bCs/>
      </w:rPr>
      <w:tblPr/>
      <w:tcPr>
        <w:tcBorders>
          <w:top w:val="double" w:sz="6" w:space="0" w:color="4F7D7B" w:themeColor="accent3"/>
          <w:left w:val="single" w:sz="8" w:space="0" w:color="4F7D7B" w:themeColor="accent3"/>
          <w:bottom w:val="single" w:sz="8" w:space="0" w:color="4F7D7B" w:themeColor="accent3"/>
          <w:right w:val="single" w:sz="8" w:space="0" w:color="4F7D7B" w:themeColor="accent3"/>
        </w:tcBorders>
      </w:tcPr>
    </w:tblStylePr>
    <w:tblStylePr w:type="firstCol">
      <w:rPr>
        <w:b/>
        <w:bCs/>
      </w:rPr>
    </w:tblStylePr>
    <w:tblStylePr w:type="lastCol">
      <w:rPr>
        <w:b/>
        <w:bCs/>
      </w:rPr>
    </w:tblStylePr>
    <w:tblStylePr w:type="band1Vert">
      <w:tblPr/>
      <w:tcPr>
        <w:tcBorders>
          <w:top w:val="single" w:sz="8" w:space="0" w:color="4F7D7B" w:themeColor="accent3"/>
          <w:left w:val="single" w:sz="8" w:space="0" w:color="4F7D7B" w:themeColor="accent3"/>
          <w:bottom w:val="single" w:sz="8" w:space="0" w:color="4F7D7B" w:themeColor="accent3"/>
          <w:right w:val="single" w:sz="8" w:space="0" w:color="4F7D7B" w:themeColor="accent3"/>
        </w:tcBorders>
      </w:tcPr>
    </w:tblStylePr>
    <w:tblStylePr w:type="band1Horz">
      <w:tblPr/>
      <w:tcPr>
        <w:tcBorders>
          <w:top w:val="single" w:sz="8" w:space="0" w:color="4F7D7B" w:themeColor="accent3"/>
          <w:left w:val="single" w:sz="8" w:space="0" w:color="4F7D7B" w:themeColor="accent3"/>
          <w:bottom w:val="single" w:sz="8" w:space="0" w:color="4F7D7B" w:themeColor="accent3"/>
          <w:right w:val="single" w:sz="8" w:space="0" w:color="4F7D7B" w:themeColor="accent3"/>
        </w:tcBorders>
      </w:tcPr>
    </w:tblStylePr>
  </w:style>
  <w:style w:type="table" w:styleId="ListTable3-Accent1">
    <w:name w:val="List Table 3 Accent 1"/>
    <w:basedOn w:val="ListTable3"/>
    <w:uiPriority w:val="48"/>
    <w:rsid w:val="00DE6D5C"/>
    <w:tblPr>
      <w:tblBorders>
        <w:top w:val="single" w:sz="4" w:space="0" w:color="85161A" w:themeColor="accent1"/>
        <w:left w:val="single" w:sz="4" w:space="0" w:color="85161A" w:themeColor="accent1"/>
        <w:bottom w:val="single" w:sz="4" w:space="0" w:color="85161A" w:themeColor="accent1"/>
        <w:right w:val="single" w:sz="4" w:space="0" w:color="85161A" w:themeColor="accent1"/>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85161A" w:themeFill="accent1"/>
        <w:noWrap/>
      </w:tcPr>
    </w:tblStylePr>
    <w:tblStylePr w:type="lastRow">
      <w:rPr>
        <w:b/>
        <w:bCs/>
      </w:rPr>
      <w:tblPr/>
      <w:tcPr>
        <w:tcBorders>
          <w:top w:val="double" w:sz="4" w:space="0" w:color="85161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161A" w:themeColor="accent1"/>
          <w:right w:val="single" w:sz="4" w:space="0" w:color="85161A" w:themeColor="accent1"/>
        </w:tcBorders>
      </w:tcPr>
    </w:tblStylePr>
    <w:tblStylePr w:type="band1Horz">
      <w:tblPr/>
      <w:tcPr>
        <w:tcBorders>
          <w:top w:val="single" w:sz="4" w:space="0" w:color="85161A" w:themeColor="accent1"/>
          <w:bottom w:val="single" w:sz="4" w:space="0" w:color="85161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161A" w:themeColor="accent1"/>
          <w:left w:val="nil"/>
        </w:tcBorders>
      </w:tcPr>
    </w:tblStylePr>
    <w:tblStylePr w:type="swCell">
      <w:tblPr/>
      <w:tcPr>
        <w:tcBorders>
          <w:top w:val="double" w:sz="4" w:space="0" w:color="85161A" w:themeColor="accent1"/>
          <w:right w:val="nil"/>
        </w:tcBorders>
      </w:tcPr>
    </w:tblStylePr>
  </w:style>
  <w:style w:type="paragraph" w:customStyle="1" w:styleId="Referencequoteindentblack">
    <w:name w:val="Reference quote indent black"/>
    <w:basedOn w:val="Referencequoteindent"/>
    <w:qFormat/>
    <w:rsid w:val="007A4F11"/>
    <w:rPr>
      <w:color w:val="2A2F2F" w:themeColor="text1"/>
    </w:rPr>
  </w:style>
  <w:style w:type="table" w:styleId="ListTable3-Accent2">
    <w:name w:val="List Table 3 Accent 2"/>
    <w:basedOn w:val="ListTable3"/>
    <w:uiPriority w:val="48"/>
    <w:rsid w:val="00DE6D5C"/>
    <w:tblPr>
      <w:tblBorders>
        <w:top w:val="single" w:sz="4" w:space="0" w:color="1F59A3" w:themeColor="accent2"/>
        <w:left w:val="single" w:sz="4" w:space="0" w:color="1F59A3" w:themeColor="accent2"/>
        <w:bottom w:val="single" w:sz="4" w:space="0" w:color="1F59A3" w:themeColor="accent2"/>
        <w:right w:val="single" w:sz="4" w:space="0" w:color="1F59A3"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1F59A3" w:themeFill="accent2"/>
      </w:tcPr>
    </w:tblStylePr>
    <w:tblStylePr w:type="lastRow">
      <w:rPr>
        <w:b/>
        <w:bCs/>
      </w:rPr>
      <w:tblPr/>
      <w:tcPr>
        <w:tcBorders>
          <w:top w:val="double" w:sz="4" w:space="0" w:color="1F5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59A3" w:themeColor="accent2"/>
          <w:right w:val="single" w:sz="4" w:space="0" w:color="1F59A3" w:themeColor="accent2"/>
        </w:tcBorders>
      </w:tcPr>
    </w:tblStylePr>
    <w:tblStylePr w:type="band1Horz">
      <w:tblPr/>
      <w:tcPr>
        <w:tcBorders>
          <w:top w:val="single" w:sz="4" w:space="0" w:color="1F59A3" w:themeColor="accent2"/>
          <w:bottom w:val="single" w:sz="4" w:space="0" w:color="1F5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59A3" w:themeColor="accent2"/>
          <w:left w:val="nil"/>
        </w:tcBorders>
      </w:tcPr>
    </w:tblStylePr>
    <w:tblStylePr w:type="swCell">
      <w:tblPr/>
      <w:tcPr>
        <w:tcBorders>
          <w:top w:val="double" w:sz="4" w:space="0" w:color="1F59A3" w:themeColor="accent2"/>
          <w:right w:val="nil"/>
        </w:tcBorders>
      </w:tcPr>
    </w:tblStylePr>
  </w:style>
  <w:style w:type="table" w:styleId="ListTable3-Accent3">
    <w:name w:val="List Table 3 Accent 3"/>
    <w:basedOn w:val="ListTable3"/>
    <w:uiPriority w:val="48"/>
    <w:rsid w:val="00DE6D5C"/>
    <w:tblPr>
      <w:tblBorders>
        <w:top w:val="single" w:sz="4" w:space="0" w:color="4F7D7B" w:themeColor="accent3"/>
        <w:left w:val="single" w:sz="4" w:space="0" w:color="4F7D7B" w:themeColor="accent3"/>
        <w:bottom w:val="single" w:sz="4" w:space="0" w:color="4F7D7B" w:themeColor="accent3"/>
        <w:right w:val="single" w:sz="4" w:space="0" w:color="4F7D7B" w:themeColor="accent3"/>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4F7D7B" w:themeFill="accent3"/>
      </w:tcPr>
    </w:tblStylePr>
    <w:tblStylePr w:type="lastRow">
      <w:rPr>
        <w:b/>
        <w:bCs/>
      </w:rPr>
      <w:tblPr/>
      <w:tcPr>
        <w:tcBorders>
          <w:top w:val="double" w:sz="4" w:space="0" w:color="4F7D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7D7B" w:themeColor="accent3"/>
          <w:right w:val="single" w:sz="4" w:space="0" w:color="4F7D7B" w:themeColor="accent3"/>
        </w:tcBorders>
      </w:tcPr>
    </w:tblStylePr>
    <w:tblStylePr w:type="band1Horz">
      <w:tblPr/>
      <w:tcPr>
        <w:tcBorders>
          <w:top w:val="single" w:sz="4" w:space="0" w:color="4F7D7B" w:themeColor="accent3"/>
          <w:bottom w:val="single" w:sz="4" w:space="0" w:color="4F7D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7D7B" w:themeColor="accent3"/>
          <w:left w:val="nil"/>
        </w:tcBorders>
      </w:tcPr>
    </w:tblStylePr>
    <w:tblStylePr w:type="swCell">
      <w:tblPr/>
      <w:tcPr>
        <w:tcBorders>
          <w:top w:val="double" w:sz="4" w:space="0" w:color="4F7D7B" w:themeColor="accent3"/>
          <w:right w:val="nil"/>
        </w:tcBorders>
      </w:tcPr>
    </w:tblStylePr>
  </w:style>
  <w:style w:type="table" w:styleId="ListTable3-Accent4">
    <w:name w:val="List Table 3 Accent 4"/>
    <w:basedOn w:val="ListTable3"/>
    <w:uiPriority w:val="48"/>
    <w:rsid w:val="00DE6D5C"/>
    <w:tblPr>
      <w:tblBorders>
        <w:top w:val="single" w:sz="4" w:space="0" w:color="DEB068" w:themeColor="accent4"/>
        <w:left w:val="single" w:sz="4" w:space="0" w:color="DEB068" w:themeColor="accent4"/>
        <w:bottom w:val="single" w:sz="4" w:space="0" w:color="DEB068" w:themeColor="accent4"/>
        <w:right w:val="single" w:sz="4" w:space="0" w:color="DEB068"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DEB068" w:themeFill="accent4"/>
      </w:tcPr>
    </w:tblStylePr>
    <w:tblStylePr w:type="lastRow">
      <w:rPr>
        <w:b/>
        <w:bCs/>
      </w:rPr>
      <w:tblPr/>
      <w:tcPr>
        <w:tcBorders>
          <w:top w:val="double" w:sz="4" w:space="0" w:color="DEB06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068" w:themeColor="accent4"/>
          <w:right w:val="single" w:sz="4" w:space="0" w:color="DEB068" w:themeColor="accent4"/>
        </w:tcBorders>
      </w:tcPr>
    </w:tblStylePr>
    <w:tblStylePr w:type="band1Horz">
      <w:tblPr/>
      <w:tcPr>
        <w:tcBorders>
          <w:top w:val="single" w:sz="4" w:space="0" w:color="DEB068" w:themeColor="accent4"/>
          <w:bottom w:val="single" w:sz="4" w:space="0" w:color="DEB06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068" w:themeColor="accent4"/>
          <w:left w:val="nil"/>
        </w:tcBorders>
      </w:tcPr>
    </w:tblStylePr>
    <w:tblStylePr w:type="swCell">
      <w:tblPr/>
      <w:tcPr>
        <w:tcBorders>
          <w:top w:val="double" w:sz="4" w:space="0" w:color="DEB068" w:themeColor="accent4"/>
          <w:right w:val="nil"/>
        </w:tcBorders>
      </w:tcPr>
    </w:tblStylePr>
  </w:style>
  <w:style w:type="table" w:styleId="ListTable3-Accent5">
    <w:name w:val="List Table 3 Accent 5"/>
    <w:basedOn w:val="ListTable3"/>
    <w:uiPriority w:val="48"/>
    <w:rsid w:val="00DE6D5C"/>
    <w:tblPr>
      <w:tblBorders>
        <w:top w:val="single" w:sz="4" w:space="0" w:color="B6D6E1" w:themeColor="accent5"/>
        <w:left w:val="single" w:sz="4" w:space="0" w:color="B6D6E1" w:themeColor="accent5"/>
        <w:bottom w:val="single" w:sz="4" w:space="0" w:color="B6D6E1" w:themeColor="accent5"/>
        <w:right w:val="single" w:sz="4" w:space="0" w:color="B6D6E1" w:themeColor="accent5"/>
      </w:tblBorders>
    </w:tblPr>
    <w:tblStylePr w:type="firstRow">
      <w:pPr>
        <w:wordWrap/>
        <w:spacing w:beforeLines="0" w:before="120" w:beforeAutospacing="0" w:afterLines="0" w:after="120" w:afterAutospacing="0"/>
      </w:pPr>
      <w:rPr>
        <w:b/>
        <w:bCs/>
        <w:color w:val="2A2F2F" w:themeColor="text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B6D6E1" w:themeFill="accent5"/>
      </w:tcPr>
    </w:tblStylePr>
    <w:tblStylePr w:type="lastRow">
      <w:rPr>
        <w:b/>
        <w:bCs/>
      </w:rPr>
      <w:tblPr/>
      <w:tcPr>
        <w:tcBorders>
          <w:top w:val="double" w:sz="4" w:space="0" w:color="B6D6E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6D6E1" w:themeColor="accent5"/>
          <w:right w:val="single" w:sz="4" w:space="0" w:color="B6D6E1" w:themeColor="accent5"/>
        </w:tcBorders>
      </w:tcPr>
    </w:tblStylePr>
    <w:tblStylePr w:type="band1Horz">
      <w:tblPr/>
      <w:tcPr>
        <w:tcBorders>
          <w:top w:val="single" w:sz="4" w:space="0" w:color="B6D6E1" w:themeColor="accent5"/>
          <w:bottom w:val="single" w:sz="4" w:space="0" w:color="B6D6E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6D6E1" w:themeColor="accent5"/>
          <w:left w:val="nil"/>
        </w:tcBorders>
      </w:tcPr>
    </w:tblStylePr>
    <w:tblStylePr w:type="swCell">
      <w:tblPr/>
      <w:tcPr>
        <w:tcBorders>
          <w:top w:val="double" w:sz="4" w:space="0" w:color="B6D6E1" w:themeColor="accent5"/>
          <w:right w:val="nil"/>
        </w:tcBorders>
      </w:tcPr>
    </w:tblStylePr>
  </w:style>
  <w:style w:type="table" w:styleId="ListTable3-Accent6">
    <w:name w:val="List Table 3 Accent 6"/>
    <w:basedOn w:val="ListTable3"/>
    <w:uiPriority w:val="48"/>
    <w:rsid w:val="00DE6D5C"/>
    <w:tblPr>
      <w:tblBorders>
        <w:top w:val="single" w:sz="4" w:space="0" w:color="C6CFEB" w:themeColor="accent6"/>
        <w:left w:val="single" w:sz="4" w:space="0" w:color="C6CFEB" w:themeColor="accent6"/>
        <w:bottom w:val="single" w:sz="4" w:space="0" w:color="C6CFEB" w:themeColor="accent6"/>
        <w:right w:val="single" w:sz="4" w:space="0" w:color="C6CFEB"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C6CFEB" w:themeFill="accent6"/>
      </w:tcPr>
    </w:tblStylePr>
    <w:tblStylePr w:type="lastRow">
      <w:rPr>
        <w:b/>
        <w:bCs/>
      </w:rPr>
      <w:tblPr/>
      <w:tcPr>
        <w:tcBorders>
          <w:top w:val="double" w:sz="4" w:space="0" w:color="C6CFE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CFEB" w:themeColor="accent6"/>
          <w:right w:val="single" w:sz="4" w:space="0" w:color="C6CFEB" w:themeColor="accent6"/>
        </w:tcBorders>
      </w:tcPr>
    </w:tblStylePr>
    <w:tblStylePr w:type="band1Horz">
      <w:tblPr/>
      <w:tcPr>
        <w:tcBorders>
          <w:top w:val="single" w:sz="4" w:space="0" w:color="C6CFEB" w:themeColor="accent6"/>
          <w:bottom w:val="single" w:sz="4" w:space="0" w:color="C6CFE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CFEB" w:themeColor="accent6"/>
          <w:left w:val="nil"/>
        </w:tcBorders>
      </w:tcPr>
    </w:tblStylePr>
    <w:tblStylePr w:type="swCell">
      <w:tblPr/>
      <w:tcPr>
        <w:tcBorders>
          <w:top w:val="double" w:sz="4" w:space="0" w:color="C6CFEB"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2A2F2F" w:themeColor="text1"/>
        <w:left w:val="single" w:sz="4" w:space="0" w:color="2A2F2F" w:themeColor="text1"/>
        <w:bottom w:val="single" w:sz="4" w:space="0" w:color="2A2F2F" w:themeColor="text1"/>
        <w:right w:val="single" w:sz="4" w:space="0" w:color="2A2F2F"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2A2F2F" w:themeColor="text1"/>
          <w:left w:val="single" w:sz="4" w:space="0" w:color="2A2F2F" w:themeColor="text1"/>
          <w:bottom w:val="single" w:sz="4" w:space="0" w:color="2A2F2F" w:themeColor="text1"/>
          <w:right w:val="single" w:sz="4" w:space="0" w:color="2A2F2F" w:themeColor="text1"/>
          <w:insideH w:val="nil"/>
          <w:insideV w:val="single" w:sz="4" w:space="0" w:color="FFFFFF" w:themeColor="background1"/>
          <w:tl2br w:val="nil"/>
          <w:tr2bl w:val="nil"/>
        </w:tcBorders>
        <w:shd w:val="clear" w:color="auto" w:fill="2A2F2F" w:themeFill="text1"/>
      </w:tcPr>
    </w:tblStylePr>
    <w:tblStylePr w:type="lastRow">
      <w:rPr>
        <w:b/>
        <w:bCs/>
      </w:rPr>
      <w:tblPr/>
      <w:tcPr>
        <w:tcBorders>
          <w:top w:val="double" w:sz="4" w:space="0" w:color="2A2F2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A2F2F" w:themeColor="text1"/>
          <w:right w:val="single" w:sz="4" w:space="0" w:color="2A2F2F" w:themeColor="text1"/>
        </w:tcBorders>
      </w:tcPr>
    </w:tblStylePr>
    <w:tblStylePr w:type="band1Horz">
      <w:tblPr/>
      <w:tcPr>
        <w:tcBorders>
          <w:top w:val="single" w:sz="4" w:space="0" w:color="2A2F2F" w:themeColor="text1"/>
          <w:bottom w:val="single" w:sz="4" w:space="0" w:color="2A2F2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A2F2F" w:themeColor="text1"/>
          <w:left w:val="nil"/>
        </w:tcBorders>
      </w:tcPr>
    </w:tblStylePr>
    <w:tblStylePr w:type="swCell">
      <w:tblPr/>
      <w:tcPr>
        <w:tcBorders>
          <w:top w:val="double" w:sz="4" w:space="0" w:color="2A2F2F"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485050"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485050"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85161A" w:themeColor="accent1"/>
        <w:left w:val="single" w:sz="2" w:space="10" w:color="85161A" w:themeColor="accent1"/>
        <w:bottom w:val="single" w:sz="2" w:space="10" w:color="85161A" w:themeColor="accent1"/>
        <w:right w:val="single" w:sz="2" w:space="10" w:color="85161A" w:themeColor="accent1"/>
      </w:pBdr>
      <w:spacing w:after="200" w:line="276" w:lineRule="auto"/>
      <w:ind w:left="1152" w:right="1152"/>
    </w:pPr>
    <w:rPr>
      <w:rFonts w:eastAsiaTheme="minorEastAsia"/>
      <w:i/>
      <w:iCs/>
      <w:color w:val="85161A" w:themeColor="accent1"/>
    </w:rPr>
  </w:style>
  <w:style w:type="paragraph" w:styleId="BodyText">
    <w:name w:val="Body Text"/>
    <w:basedOn w:val="Normal"/>
    <w:link w:val="BodyTextChar"/>
    <w:uiPriority w:val="99"/>
    <w:semiHidden/>
    <w:unhideWhenUsed/>
    <w:rsid w:val="00DE6D5C"/>
  </w:style>
  <w:style w:type="character" w:customStyle="1" w:styleId="BodyTextChar">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customStyle="1" w:styleId="BodyTextIndentChar">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E8EBF7" w:themeColor="accent6" w:themeTint="66"/>
        <w:left w:val="single" w:sz="4" w:space="0" w:color="E8EBF7" w:themeColor="accent6" w:themeTint="66"/>
        <w:bottom w:val="single" w:sz="4" w:space="0" w:color="E8EBF7" w:themeColor="accent6" w:themeTint="66"/>
        <w:right w:val="single" w:sz="4" w:space="0" w:color="E8EBF7" w:themeColor="accent6" w:themeTint="66"/>
        <w:insideH w:val="single" w:sz="4" w:space="0" w:color="E8EBF7" w:themeColor="accent6" w:themeTint="66"/>
        <w:insideV w:val="single" w:sz="4" w:space="0" w:color="E8EBF7" w:themeColor="accent6" w:themeTint="66"/>
      </w:tblBorders>
    </w:tblPr>
    <w:tblStylePr w:type="firstRow">
      <w:rPr>
        <w:b/>
        <w:bCs/>
      </w:rPr>
      <w:tblPr/>
      <w:tcPr>
        <w:tcBorders>
          <w:bottom w:val="single" w:sz="12" w:space="0" w:color="DCE2F3" w:themeColor="accent6" w:themeTint="99"/>
        </w:tcBorders>
      </w:tcPr>
    </w:tblStylePr>
    <w:tblStylePr w:type="lastRow">
      <w:rPr>
        <w:b/>
        <w:bCs/>
      </w:rPr>
      <w:tblPr/>
      <w:tcPr>
        <w:tcBorders>
          <w:top w:val="double" w:sz="2" w:space="0" w:color="DCE2F3"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85161A" w:themeColor="accent1"/>
      </w:pBdr>
      <w:spacing w:before="200" w:after="280" w:line="276" w:lineRule="auto"/>
      <w:ind w:left="936" w:right="936"/>
    </w:pPr>
    <w:rPr>
      <w:rFonts w:eastAsiaTheme="minorEastAsia"/>
      <w:b/>
      <w:bCs/>
      <w:i/>
      <w:iCs/>
      <w:color w:val="85161A"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85161A" w:themeColor="accent1"/>
      <w14:numSpacing w14:val="tabular"/>
    </w:rPr>
  </w:style>
  <w:style w:type="character" w:styleId="IntenseReference">
    <w:name w:val="Intense Reference"/>
    <w:uiPriority w:val="99"/>
    <w:semiHidden/>
    <w:rsid w:val="00DE6D5C"/>
    <w:rPr>
      <w:b/>
      <w:bCs/>
      <w:smallCaps/>
      <w:color w:val="1F59A3"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2A2F2F" w:themeColor="text1"/>
        <w:left w:val="single" w:sz="8" w:space="0" w:color="2A2F2F" w:themeColor="text1"/>
        <w:bottom w:val="single" w:sz="8" w:space="0" w:color="2A2F2F" w:themeColor="text1"/>
        <w:right w:val="single" w:sz="8" w:space="0" w:color="2A2F2F" w:themeColor="text1"/>
      </w:tblBorders>
    </w:tblPr>
    <w:tblStylePr w:type="firstRow">
      <w:pPr>
        <w:spacing w:before="0" w:after="0" w:line="240" w:lineRule="auto"/>
      </w:pPr>
      <w:rPr>
        <w:b/>
        <w:bCs/>
        <w:color w:val="FFFFFF" w:themeColor="background1"/>
      </w:rPr>
      <w:tblPr/>
      <w:tcPr>
        <w:shd w:val="clear" w:color="auto" w:fill="2A2F2F" w:themeFill="text1"/>
      </w:tcPr>
    </w:tblStylePr>
    <w:tblStylePr w:type="lastRow">
      <w:pPr>
        <w:spacing w:before="0" w:after="0" w:line="240" w:lineRule="auto"/>
      </w:pPr>
      <w:rPr>
        <w:b/>
        <w:bCs/>
      </w:rPr>
      <w:tblPr/>
      <w:tcPr>
        <w:tcBorders>
          <w:top w:val="double" w:sz="6" w:space="0" w:color="2A2F2F" w:themeColor="text1"/>
          <w:left w:val="single" w:sz="8" w:space="0" w:color="2A2F2F" w:themeColor="text1"/>
          <w:bottom w:val="single" w:sz="8" w:space="0" w:color="2A2F2F" w:themeColor="text1"/>
          <w:right w:val="single" w:sz="8" w:space="0" w:color="2A2F2F" w:themeColor="text1"/>
        </w:tcBorders>
      </w:tcPr>
    </w:tblStylePr>
    <w:tblStylePr w:type="firstCol">
      <w:rPr>
        <w:b/>
        <w:bCs/>
      </w:rPr>
    </w:tblStylePr>
    <w:tblStylePr w:type="lastCol">
      <w:rPr>
        <w:b/>
        <w:bCs/>
      </w:rPr>
    </w:tblStylePr>
    <w:tblStylePr w:type="band1Vert">
      <w:tblPr/>
      <w:tcPr>
        <w:tcBorders>
          <w:top w:val="single" w:sz="8" w:space="0" w:color="2A2F2F" w:themeColor="text1"/>
          <w:left w:val="single" w:sz="8" w:space="0" w:color="2A2F2F" w:themeColor="text1"/>
          <w:bottom w:val="single" w:sz="8" w:space="0" w:color="2A2F2F" w:themeColor="text1"/>
          <w:right w:val="single" w:sz="8" w:space="0" w:color="2A2F2F" w:themeColor="text1"/>
        </w:tcBorders>
      </w:tcPr>
    </w:tblStylePr>
    <w:tblStylePr w:type="band1Horz">
      <w:tblPr/>
      <w:tcPr>
        <w:tcBorders>
          <w:top w:val="single" w:sz="8" w:space="0" w:color="2A2F2F" w:themeColor="text1"/>
          <w:left w:val="single" w:sz="8" w:space="0" w:color="2A2F2F" w:themeColor="text1"/>
          <w:bottom w:val="single" w:sz="8" w:space="0" w:color="2A2F2F" w:themeColor="text1"/>
          <w:right w:val="single" w:sz="8" w:space="0" w:color="2A2F2F"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customStyle="1" w:styleId="ListContinue5Indents">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uiPriority w:val="99"/>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909B9B" w:themeColor="text1" w:themeTint="7F"/>
    </w:rPr>
  </w:style>
  <w:style w:type="character" w:styleId="SubtleReference">
    <w:name w:val="Subtle Reference"/>
    <w:uiPriority w:val="99"/>
    <w:rsid w:val="00DE6D5C"/>
    <w:rPr>
      <w:smallCaps/>
      <w:color w:val="1F59A3" w:themeColor="accent2"/>
      <w:u w:val="single"/>
    </w:rPr>
  </w:style>
  <w:style w:type="numbering" w:customStyle="1" w:styleId="Tablenumbersmall">
    <w:name w:val="Table number small"/>
    <w:uiPriority w:val="99"/>
    <w:rsid w:val="00DE6D5C"/>
    <w:pPr>
      <w:numPr>
        <w:numId w:val="14"/>
      </w:numPr>
    </w:pPr>
  </w:style>
  <w:style w:type="numbering" w:customStyle="1" w:styleId="Tablenumberingsmall">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36"/>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docs.oracle.com/en-us/iaas/Content/Monitoring/home.htm" TargetMode="External"/><Relationship Id="rId26" Type="http://schemas.openxmlformats.org/officeDocument/2006/relationships/hyperlink" Target="https://docs.oracle.com/en-us/iaas/Content/Notification/home.htm" TargetMode="External"/><Relationship Id="rId39" Type="http://schemas.openxmlformats.org/officeDocument/2006/relationships/hyperlink" Target="https://docs.oracle.com/en-us/iaas/log-analytics/doc/kubernetes-solution.html" TargetMode="External"/><Relationship Id="rId21" Type="http://schemas.openxmlformats.org/officeDocument/2006/relationships/hyperlink" Target="https://docs.oracle.com/en-us/iaas/log-analytics/home.htm" TargetMode="External"/><Relationship Id="rId34" Type="http://schemas.openxmlformats.org/officeDocument/2006/relationships/hyperlink" Target="https://docs.oracle.com/en-us/iaas/management-agents/home.htm" TargetMode="External"/><Relationship Id="rId42" Type="http://schemas.openxmlformats.org/officeDocument/2006/relationships/hyperlink" Target="https://docs.oracle.com/en-us/iaas/log-analytics/home.htm" TargetMode="External"/><Relationship Id="rId47" Type="http://schemas.openxmlformats.org/officeDocument/2006/relationships/hyperlink" Target="https://docs.oracle.com/en-us/iaas/Content/Notification/home.htm" TargetMode="External"/><Relationship Id="rId50" Type="http://schemas.openxmlformats.org/officeDocument/2006/relationships/hyperlink" Target="https://www.oracle.com/cloud/costestimator.html"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docs.oracle.com/en-us/iaas/Content/Logging/home.htm" TargetMode="External"/><Relationship Id="rId11" Type="http://schemas.openxmlformats.org/officeDocument/2006/relationships/endnotes" Target="endnotes.xml"/><Relationship Id="rId24" Type="http://schemas.openxmlformats.org/officeDocument/2006/relationships/hyperlink" Target="https://docs.oracle.com/en-us/iaas/application-performance-monitoring/home.htm" TargetMode="External"/><Relationship Id="rId32" Type="http://schemas.openxmlformats.org/officeDocument/2006/relationships/hyperlink" Target="https://docs.oracle.com/en-us/iaas/application-performance-monitoring/home.htm" TargetMode="External"/><Relationship Id="rId37" Type="http://schemas.openxmlformats.org/officeDocument/2006/relationships/hyperlink" Target="https://docs.oracle.com/en-us/iaas/Content/Notification/home.htm" TargetMode="External"/><Relationship Id="rId40" Type="http://schemas.openxmlformats.org/officeDocument/2006/relationships/hyperlink" Target="https://docs.oracle.com/en-us/iaas/application-performance-monitoring/home.htm" TargetMode="External"/><Relationship Id="rId45" Type="http://schemas.openxmlformats.org/officeDocument/2006/relationships/hyperlink" Target="https://docs.oracle.com/en-us/iaas/Content/Logging/home.htm" TargetMode="External"/><Relationship Id="rId53" Type="http://schemas.openxmlformats.org/officeDocument/2006/relationships/header" Target="header5.xml"/><Relationship Id="rId5" Type="http://schemas.openxmlformats.org/officeDocument/2006/relationships/customXml" Target="../customXml/item5.xml"/><Relationship Id="rId19" Type="http://schemas.openxmlformats.org/officeDocument/2006/relationships/hyperlink" Target="https://docs.oracle.com/en-us/iaas/Content/Logging/home.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ocs.oracle.com/en-us/iaas/log-analytics/doc/kubernetes-solution.html" TargetMode="External"/><Relationship Id="rId27" Type="http://schemas.openxmlformats.org/officeDocument/2006/relationships/hyperlink" Target="https://docs.oracle.com/en-us/iaas/Content/Monitoring/home.htm" TargetMode="External"/><Relationship Id="rId30" Type="http://schemas.openxmlformats.org/officeDocument/2006/relationships/hyperlink" Target="https://docs.oracle.com/en-us/iaas/log-analytics/home.htm" TargetMode="External"/><Relationship Id="rId35" Type="http://schemas.openxmlformats.org/officeDocument/2006/relationships/hyperlink" Target="https://docs.oracle.com/en-us/iaas/Content/connector-hub/overview.htm" TargetMode="External"/><Relationship Id="rId43" Type="http://schemas.openxmlformats.org/officeDocument/2006/relationships/hyperlink" Target="https://docs.oracle.com/en-us/iaas/log-analytics/doc/use-loganai.html" TargetMode="External"/><Relationship Id="rId48" Type="http://schemas.openxmlformats.org/officeDocument/2006/relationships/hyperlink" Target="https://docs.oracle.com/en-us/iaas/Content/Billing/Tasks/signingup_topic-Estimating_Costs.htm" TargetMode="External"/><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ocs.oracle.com/en-us/iaas/management-agents/home.htm" TargetMode="External"/><Relationship Id="rId33" Type="http://schemas.openxmlformats.org/officeDocument/2006/relationships/hyperlink" Target="https://docs.oracle.com/en-us/iaas/log-analytics/doc/kubernetes-solution.html" TargetMode="External"/><Relationship Id="rId38" Type="http://schemas.openxmlformats.org/officeDocument/2006/relationships/hyperlink" Target="https://docs.oracle.com/en-us/iaas/log-analytics/doc/use-loganai.html" TargetMode="External"/><Relationship Id="rId46" Type="http://schemas.openxmlformats.org/officeDocument/2006/relationships/hyperlink" Target="https://docs.oracle.com/en-us/iaas/Content/connector-hub/overview.htm" TargetMode="External"/><Relationship Id="rId20" Type="http://schemas.openxmlformats.org/officeDocument/2006/relationships/hyperlink" Target="https://docs.oracle.com/en-us/iaas/Content/connector-hub/overview.htm" TargetMode="External"/><Relationship Id="rId41" Type="http://schemas.openxmlformats.org/officeDocument/2006/relationships/hyperlink" Target="https://docs.oracle.com/en-us/iaas/management-agents/home.htm"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cs.oracle.com/en-us/iaas/log-analytics/doc/use-loganai.html" TargetMode="External"/><Relationship Id="rId28" Type="http://schemas.openxmlformats.org/officeDocument/2006/relationships/hyperlink" Target="https://docs.oracle.com/en-us/iaas/Content/Monitoring/home.htm" TargetMode="External"/><Relationship Id="rId36" Type="http://schemas.openxmlformats.org/officeDocument/2006/relationships/hyperlink" Target="https://docs.oracle.com/en-us/iaas/Content/Notification/home.htm" TargetMode="External"/><Relationship Id="rId49" Type="http://schemas.openxmlformats.org/officeDocument/2006/relationships/hyperlink" Target="https://apexapps.oracle.com/pls/apex/cetools/api/v1/products/" TargetMode="Externa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docs.oracle.com/en-us/iaas/log-analytics/home.htm" TargetMode="External"/><Relationship Id="rId44" Type="http://schemas.openxmlformats.org/officeDocument/2006/relationships/hyperlink" Target="https://docs.oracle.com/en-us/iaas/Content/Monitoring/home.htm" TargetMode="External"/><Relationship Id="rId52" Type="http://schemas.openxmlformats.org/officeDocument/2006/relationships/footer" Target="footer4.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C11326846643463C9B13912AA0C543F3"/>
        <w:category>
          <w:name w:val="General"/>
          <w:gallery w:val="placeholder"/>
        </w:category>
        <w:types>
          <w:type w:val="bbPlcHdr"/>
        </w:types>
        <w:behaviors>
          <w:behavior w:val="content"/>
        </w:behaviors>
        <w:guid w:val="{C5E1B03D-6DE5-4155-B73E-EA0BDFD8CBA2}"/>
      </w:docPartPr>
      <w:docPartBody>
        <w:p w:rsidR="00B56B56" w:rsidRDefault="00000000">
          <w:pPr>
            <w:pStyle w:val="C11326846643463C9B13912AA0C543F3"/>
          </w:pPr>
          <w:r w:rsidRPr="00CF1C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Tab">
    <w:panose1 w:val="020B0503020204020204"/>
    <w:charset w:val="00"/>
    <w:family w:val="swiss"/>
    <w:pitch w:val="variable"/>
    <w:sig w:usb0="A10006EF" w:usb1="400060FB" w:usb2="00000000" w:usb3="00000000" w:csb0="0000001F" w:csb1="00000000"/>
  </w:font>
  <w:font w:name="Wingdings 2">
    <w:panose1 w:val="050201020105070707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w:panose1 w:val="020B0503020204020204"/>
    <w:charset w:val="00"/>
    <w:family w:val="swiss"/>
    <w:pitch w:val="variable"/>
    <w:sig w:usb0="A10006EF" w:usb1="400060FB" w:usb2="00000000" w:usb3="00000000" w:csb0="0000001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C80994"/>
    <w:multiLevelType w:val="multilevel"/>
    <w:tmpl w:val="227E8A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E24692"/>
    <w:multiLevelType w:val="multilevel"/>
    <w:tmpl w:val="CC58F232"/>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 w15:restartNumberingAfterBreak="0">
    <w:nsid w:val="48A07469"/>
    <w:multiLevelType w:val="hybridMultilevel"/>
    <w:tmpl w:val="3C04CB9C"/>
    <w:lvl w:ilvl="0" w:tplc="C25E055E">
      <w:start w:val="1"/>
      <w:numFmt w:val="bullet"/>
      <w:lvlText w:val=""/>
      <w:lvlJc w:val="left"/>
      <w:pPr>
        <w:ind w:left="1224" w:hanging="360"/>
      </w:pPr>
      <w:rPr>
        <w:rFonts w:ascii="Wingdings" w:hAnsi="Wingdings" w:hint="default"/>
        <w:b/>
        <w:bCs/>
        <w:color w:val="auto"/>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 w15:restartNumberingAfterBreak="0">
    <w:nsid w:val="591706EC"/>
    <w:multiLevelType w:val="hybridMultilevel"/>
    <w:tmpl w:val="E904FDA2"/>
    <w:lvl w:ilvl="0" w:tplc="F56CB890">
      <w:start w:val="1"/>
      <w:numFmt w:val="bullet"/>
      <w:lvlText w:val=""/>
      <w:lvlJc w:val="left"/>
      <w:pPr>
        <w:ind w:left="864" w:hanging="360"/>
      </w:pPr>
      <w:rPr>
        <w:rFonts w:ascii="Wingdings" w:hAnsi="Wingdings" w:hint="default"/>
        <w:b/>
        <w:bCs/>
        <w:color w:val="auto"/>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4" w15:restartNumberingAfterBreak="0">
    <w:nsid w:val="5B2018FF"/>
    <w:multiLevelType w:val="multilevel"/>
    <w:tmpl w:val="042664F0"/>
    <w:lvl w:ilvl="0">
      <w:start w:val="1"/>
      <w:numFmt w:val="decimal"/>
      <w:lvlText w:val="%1."/>
      <w:lvlJc w:val="left"/>
      <w:pPr>
        <w:ind w:left="360" w:hanging="360"/>
      </w:pPr>
      <w:rPr>
        <w:rFonts w:hint="default"/>
        <w:sz w:val="1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5" w15:restartNumberingAfterBreak="0">
    <w:nsid w:val="76F27912"/>
    <w:multiLevelType w:val="multilevel"/>
    <w:tmpl w:val="EF260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6765727">
    <w:abstractNumId w:val="3"/>
  </w:num>
  <w:num w:numId="2" w16cid:durableId="147984193">
    <w:abstractNumId w:val="2"/>
  </w:num>
  <w:num w:numId="3" w16cid:durableId="1301157694">
    <w:abstractNumId w:val="0"/>
  </w:num>
  <w:num w:numId="4" w16cid:durableId="20410065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3214116">
    <w:abstractNumId w:val="4"/>
  </w:num>
  <w:num w:numId="6" w16cid:durableId="2132363516">
    <w:abstractNumId w:val="1"/>
  </w:num>
  <w:num w:numId="7" w16cid:durableId="1619992103">
    <w:abstractNumId w:val="5"/>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0D"/>
    <w:rsid w:val="00196F03"/>
    <w:rsid w:val="001E3C0D"/>
    <w:rsid w:val="00206DD2"/>
    <w:rsid w:val="00246830"/>
    <w:rsid w:val="00252A05"/>
    <w:rsid w:val="00261515"/>
    <w:rsid w:val="002A74D0"/>
    <w:rsid w:val="002C61B4"/>
    <w:rsid w:val="002D24DC"/>
    <w:rsid w:val="002E5A8B"/>
    <w:rsid w:val="00381E2D"/>
    <w:rsid w:val="00397810"/>
    <w:rsid w:val="003E10A3"/>
    <w:rsid w:val="00496AF1"/>
    <w:rsid w:val="004D1B26"/>
    <w:rsid w:val="004D68DD"/>
    <w:rsid w:val="004E7818"/>
    <w:rsid w:val="004F0FD1"/>
    <w:rsid w:val="00596AE8"/>
    <w:rsid w:val="005B1928"/>
    <w:rsid w:val="005E349D"/>
    <w:rsid w:val="0061307A"/>
    <w:rsid w:val="006E0B75"/>
    <w:rsid w:val="006E7173"/>
    <w:rsid w:val="006F031B"/>
    <w:rsid w:val="00720A67"/>
    <w:rsid w:val="0073626F"/>
    <w:rsid w:val="00845933"/>
    <w:rsid w:val="0085513F"/>
    <w:rsid w:val="008A0638"/>
    <w:rsid w:val="008B0107"/>
    <w:rsid w:val="008E20F8"/>
    <w:rsid w:val="008F608E"/>
    <w:rsid w:val="00904326"/>
    <w:rsid w:val="00954E3C"/>
    <w:rsid w:val="00985B5D"/>
    <w:rsid w:val="009C1210"/>
    <w:rsid w:val="00A05118"/>
    <w:rsid w:val="00A406FC"/>
    <w:rsid w:val="00A52307"/>
    <w:rsid w:val="00A631EA"/>
    <w:rsid w:val="00B56B56"/>
    <w:rsid w:val="00C14309"/>
    <w:rsid w:val="00C35585"/>
    <w:rsid w:val="00C917E3"/>
    <w:rsid w:val="00CB1FD7"/>
    <w:rsid w:val="00CD2CB5"/>
    <w:rsid w:val="00D870D7"/>
    <w:rsid w:val="00DD779A"/>
    <w:rsid w:val="00E377F9"/>
    <w:rsid w:val="00E5672F"/>
    <w:rsid w:val="00E77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81E2D"/>
    <w:rPr>
      <w:color w:val="AE562C"/>
    </w:rPr>
  </w:style>
  <w:style w:type="paragraph" w:customStyle="1" w:styleId="C11326846643463C9B13912AA0C543F3">
    <w:name w:val="C11326846643463C9B13912AA0C543F3"/>
  </w:style>
  <w:style w:type="paragraph" w:styleId="Footer">
    <w:name w:val="footer"/>
    <w:basedOn w:val="Normal"/>
    <w:link w:val="FooterChar"/>
    <w:uiPriority w:val="99"/>
    <w:semiHidden/>
    <w:unhideWhenUsed/>
    <w:rsid w:val="00B56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56B56"/>
  </w:style>
  <w:style w:type="paragraph" w:styleId="FootnoteText">
    <w:name w:val="footnote text"/>
    <w:basedOn w:val="Normal"/>
    <w:link w:val="FootnoteTextChar"/>
    <w:uiPriority w:val="99"/>
    <w:rsid w:val="00B56B56"/>
    <w:pPr>
      <w:spacing w:after="0" w:line="240" w:lineRule="auto"/>
    </w:pPr>
    <w:rPr>
      <w:sz w:val="14"/>
      <w:szCs w:val="20"/>
      <w14:numSpacing w14:val="tabular"/>
    </w:rPr>
  </w:style>
  <w:style w:type="character" w:customStyle="1" w:styleId="FootnoteTextChar">
    <w:name w:val="Footnote Text Char"/>
    <w:basedOn w:val="DefaultParagraphFont"/>
    <w:link w:val="FootnoteText"/>
    <w:uiPriority w:val="99"/>
    <w:rsid w:val="00B56B56"/>
    <w:rPr>
      <w:sz w:val="14"/>
      <w:szCs w:val="20"/>
      <w14:numSpacing w14:val="tabul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racle Accessible Tech OCI DB_Pine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Pine 10: Light fill_Black text">
      <a:srgbClr val="F3FCF7"/>
    </a:custClr>
    <a:custClr name="Pine 20: Light fill_Black text">
      <a:srgbClr val="E9F9EE"/>
    </a:custClr>
    <a:custClr name="Pine 30: Light fill_Black text">
      <a:srgbClr val="E0F5E7"/>
    </a:custClr>
    <a:custClr name="text Pine 40: Light fill_Black text">
      <a:srgbClr val="CBE9D6"/>
    </a:custClr>
    <a:custClr name="Pine 50: Light fill_Black text">
      <a:srgbClr val="B7D9C2"/>
    </a:custClr>
    <a:custClr name="Pine 60: Light fill_Black text">
      <a:srgbClr val="99C2A6"/>
    </a:custClr>
    <a:custClr name="Pine 70: Light fill_Black text">
      <a:srgbClr val="86B596"/>
    </a:custClr>
    <a:custClr name="Pine 80: Light fill_Black text">
      <a:srgbClr val="74A683"/>
    </a:custClr>
    <a:custClr name="Pine 90: Light fill_Black text">
      <a:srgbClr val="5C9260"/>
    </a:custClr>
    <a:custClr name="Pine 100: Dark fill_White text">
      <a:srgbClr val="40825C"/>
    </a:custClr>
    <a:custClr name="Pine 110: Dark fill_White text">
      <a:srgbClr val="467553"/>
    </a:custClr>
    <a:custClr name="Pine 120: Dark fill_White text">
      <a:srgbClr val="3F6B4B"/>
    </a:custClr>
    <a:custClr name="Pine 130: Dark fill_White text">
      <a:srgbClr val="3A6145"/>
    </a:custClr>
    <a:custClr name="Pine 140: Dark fill_White text">
      <a:srgbClr val="33553C"/>
    </a:custClr>
    <a:custClr name="Pine 150: Dark fill_White text">
      <a:srgbClr val="2C4A35"/>
    </a:custClr>
    <a:custClr name="Pine 160: Dark fill_White text">
      <a:srgbClr val="253D2C"/>
    </a:custClr>
    <a:custClr name="Pine 170: Dark fill_White text">
      <a:srgbClr val="1E3224"/>
    </a:custClr>
    <a:custClr name="Pine 180: Dark fill_White text">
      <a:srgbClr val="132318"/>
    </a:custClr>
    <a:custClr name="Pine 190: Dark fill_White text">
      <a:srgbClr val="0D170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b7a8bc4-d0b7-4a32-a3af-8e1f6549293e" xsi:nil="true"/>
    <IncludeInSearch xmlns="f085ca05-1a56-417b-bcef-25b3bd9988f8">true</IncludeInSearch>
    <lcf76f155ced4ddcb4097134ff3c332f xmlns="1bc670c8-2630-4dd0-931d-25b41b564648">
      <Terms xmlns="http://schemas.microsoft.com/office/infopath/2007/PartnerControls"/>
    </lcf76f155ced4ddcb4097134ff3c332f>
    <Thumbnail xmlns="1bc670c8-2630-4dd0-931d-25b41b564648" xsi:nil="true"/>
    <TaxKeywordTaxHTField xmlns="2b7a8bc4-d0b7-4a32-a3af-8e1f6549293e">
      <Terms xmlns="http://schemas.microsoft.com/office/infopath/2007/PartnerControls"/>
    </TaxKeywordTaxHTField>
    <_DCDateCreated xmlns="http://schemas.microsoft.com/sharepoint/v3/fields" xsi:nil="true"/>
    <OraBlockAccess xmlns="f085ca05-1a56-417b-bcef-25b3bd9988f8">false</OraBlockAcc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4b6b08d2-6182-4197-8221-8710a9404ce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E5D7528BEE081C48AB2BF47AAE69A77F" ma:contentTypeVersion="22" ma:contentTypeDescription="Create a new document." ma:contentTypeScope="" ma:versionID="ace2f88e31cdf09bbbbc26674d4ef70c">
  <xsd:schema xmlns:xsd="http://www.w3.org/2001/XMLSchema" xmlns:xs="http://www.w3.org/2001/XMLSchema" xmlns:p="http://schemas.microsoft.com/office/2006/metadata/properties" xmlns:ns2="f085ca05-1a56-417b-bcef-25b3bd9988f8" xmlns:ns3="1bc670c8-2630-4dd0-931d-25b41b564648" xmlns:ns4="2b7a8bc4-d0b7-4a32-a3af-8e1f6549293e" xmlns:ns5="http://schemas.microsoft.com/sharepoint/v3/fields" targetNamespace="http://schemas.microsoft.com/office/2006/metadata/properties" ma:root="true" ma:fieldsID="405ed48e9bacd6044f8efb471fa6bb72" ns2:_="" ns3:_="" ns4:_="" ns5:_="">
    <xsd:import namespace="f085ca05-1a56-417b-bcef-25b3bd9988f8"/>
    <xsd:import namespace="1bc670c8-2630-4dd0-931d-25b41b564648"/>
    <xsd:import namespace="2b7a8bc4-d0b7-4a32-a3af-8e1f6549293e"/>
    <xsd:import namespace="http://schemas.microsoft.com/sharepoint/v3/fields"/>
    <xsd:element name="properties">
      <xsd:complexType>
        <xsd:sequence>
          <xsd:element name="documentManagement">
            <xsd:complexType>
              <xsd:all>
                <xsd:element ref="ns2:IncludeInSearch" minOccurs="0"/>
                <xsd:element ref="ns2:OraBlockAccess"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Thumbnail" minOccurs="0"/>
                <xsd:element ref="ns3:MediaServiceLocation" minOccurs="0"/>
                <xsd:element ref="ns3:MediaLengthInSeconds" minOccurs="0"/>
                <xsd:element ref="ns5:_DCDateCreated" minOccurs="0"/>
                <xsd:element ref="ns4: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element name="OraBlockAccess" ma:index="9" nillable="true" ma:displayName="Block Access (ReadOnly)" ma:default="0" ma:description="Property to enable DLP blocking" ma:indexed="true" ma:internalName="OraBlockAccess"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bc670c8-2630-4dd0-931d-25b41b56464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Thumbnail" ma:index="20" nillable="true" ma:displayName="Thumbnail" ma:format="Thumbnail" ma:internalName="Thumbnail">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b7a8bc4-d0b7-4a32-a3af-8e1f654929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9fa82ee-7dd4-437d-a0e5-b11209771bf3}" ma:internalName="TaxCatchAll" ma:showField="CatchAllData" ma:web="2b7a8bc4-d0b7-4a32-a3af-8e1f6549293e">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4b6b08d2-6182-4197-8221-8710a9404ced"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6"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3D08F974-56E4-450E-8A3B-66F7EC8E057C}">
  <ds:schemaRefs>
    <ds:schemaRef ds:uri="http://schemas.microsoft.com/office/2006/metadata/properties"/>
    <ds:schemaRef ds:uri="http://schemas.microsoft.com/office/infopath/2007/PartnerControls"/>
    <ds:schemaRef ds:uri="2b7a8bc4-d0b7-4a32-a3af-8e1f6549293e"/>
    <ds:schemaRef ds:uri="f085ca05-1a56-417b-bcef-25b3bd9988f8"/>
    <ds:schemaRef ds:uri="1bc670c8-2630-4dd0-931d-25b41b564648"/>
    <ds:schemaRef ds:uri="http://schemas.microsoft.com/sharepoint/v3/fields"/>
  </ds:schemaRefs>
</ds:datastoreItem>
</file>

<file path=customXml/itemProps3.xml><?xml version="1.0" encoding="utf-8"?>
<ds:datastoreItem xmlns:ds="http://schemas.openxmlformats.org/officeDocument/2006/customXml" ds:itemID="{2BD138B9-7A29-4EA8-BC11-74016C521C97}">
  <ds:schemaRefs>
    <ds:schemaRef ds:uri="http://schemas.microsoft.com/sharepoint/v3/contenttype/forms"/>
  </ds:schemaRefs>
</ds:datastoreItem>
</file>

<file path=customXml/itemProps4.xml><?xml version="1.0" encoding="utf-8"?>
<ds:datastoreItem xmlns:ds="http://schemas.openxmlformats.org/officeDocument/2006/customXml" ds:itemID="{2B56821B-EB34-4B83-91A2-97F15DCB6642}">
  <ds:schemaRefs>
    <ds:schemaRef ds:uri="Microsoft.SharePoint.Taxonomy.ContentTypeSync"/>
  </ds:schemaRefs>
</ds:datastoreItem>
</file>

<file path=customXml/itemProps5.xml><?xml version="1.0" encoding="utf-8"?>
<ds:datastoreItem xmlns:ds="http://schemas.openxmlformats.org/officeDocument/2006/customXml" ds:itemID="{1CED5B20-3A94-474C-B908-E179A7112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1bc670c8-2630-4dd0-931d-25b41b564648"/>
    <ds:schemaRef ds:uri="2b7a8bc4-d0b7-4a32-a3af-8e1f6549293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5394</Words>
  <Characters>30749</Characters>
  <Application>Microsoft Office Word</Application>
  <DocSecurity>0</DocSecurity>
  <Lines>256</Lines>
  <Paragraphs>72</Paragraphs>
  <ScaleCrop>false</ScaleCrop>
  <Company/>
  <LinksUpToDate>false</LinksUpToDate>
  <CharactersWithSpaces>36071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AXIAN OCI Observability RFP Answers</dc:title>
  <dc:subject>Scoped OCI Observability response and pricing BOM</dc:subject>
  <dc:creator/>
  <cp:keywords>OCI Observability and Management; Log Analytics; APM; Monitoring; Kubernetes; AXIAN</cp:keywords>
  <dc:description>Version 1.4 — customer-managed Kubernetes and OCI Observability-only BOM</dc:description>
  <cp:lastModifiedBy/>
  <cp:revision>1</cp:revision>
  <dcterms:created xsi:type="dcterms:W3CDTF">2023-03-01T19:19:00Z</dcterms:created>
  <dcterms:modified xsi:type="dcterms:W3CDTF">2026-08-03T16:25:00Z</dcterms:modified>
  <cp:category>Oracle Technical Marketing</cp:category>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0x010100E5D7528BEE081C48AB2BF47AAE69A77F</vt:lpwstr>
  </property>
  <property fmtid="{D5CDD505-2E9C-101B-9397-08002B2CF9AE}" pid="3" name="TaxKeyword">
    <vt:lpwstr/>
  </property>
  <property fmtid="{D5CDD505-2E9C-101B-9397-08002B2CF9AE}" pid="4" name="ClassificationContentMarkingHeaderShapeIds">
    <vt:lpwstr>c7ef725,585d39b5,3ced818b,423f767,499630d3</vt:lpwstr>
  </property>
  <property fmtid="{D5CDD505-2E9C-101B-9397-08002B2CF9AE}" pid="5" name="ClassificationContentMarkingHeaderFontProps">
    <vt:lpwstr>#000000,10,Aptos</vt:lpwstr>
  </property>
  <property fmtid="{D5CDD505-2E9C-101B-9397-08002B2CF9AE}" pid="6" name="ClassificationContentMarkingHeaderText">
    <vt:lpwstr>Confidential - Oracle Restricted \Employees Only</vt:lpwstr>
  </property>
  <property fmtid="{D5CDD505-2E9C-101B-9397-08002B2CF9AE}" pid="7" name="ClassificationContentMarkingFooterShapeIds">
    <vt:lpwstr>5bfe3cf4,2b66592f,5bb95bb1,6be1e638,49e5cd9</vt:lpwstr>
  </property>
  <property fmtid="{D5CDD505-2E9C-101B-9397-08002B2CF9AE}" pid="8" name="ClassificationContentMarkingFooterFontProps">
    <vt:lpwstr>#000000,10,Aptos</vt:lpwstr>
  </property>
  <property fmtid="{D5CDD505-2E9C-101B-9397-08002B2CF9AE}" pid="9" name="ClassificationContentMarkingFooterText">
    <vt:lpwstr>Confidential - Oracle Restricted \Employees Only</vt:lpwstr>
  </property>
</Properties>
</file>