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A20A" w14:textId="77777777" w:rsidR="00593CF7" w:rsidRPr="00CA4DC7" w:rsidRDefault="00000000" w:rsidP="009F3F22">
      <w:pPr>
        <w:pStyle w:val="Title"/>
        <w:spacing w:before="4400"/>
      </w:pPr>
      <w:bookmarkStart w:id="0" w:name="_Toc121661929"/>
      <w:bookmarkStart w:id="1" w:name="_Toc43061727"/>
      <w:bookmarkStart w:id="2" w:name="_Toc43061814"/>
      <w:bookmarkStart w:id="3" w:name="_Toc43061895"/>
      <w:bookmarkStart w:id="4" w:name="_Toc45560996"/>
      <w:bookmarkStart w:id="5" w:name="_Toc46238071"/>
      <w:bookmarkStart w:id="6" w:name="_Toc51521498"/>
      <w:r>
        <w:t>AXIAN OCI Observability &amp; Management RFP Answers</w:t>
      </w:r>
    </w:p>
    <w:p w14:paraId="4E561713" w14:textId="77777777" w:rsidR="00593CF7" w:rsidRPr="00CA4DC7" w:rsidRDefault="00000000" w:rsidP="00593CF7">
      <w:pPr>
        <w:pStyle w:val="Subtitle"/>
      </w:pPr>
      <w:r>
        <w:t>Scoped response extract</w:t>
      </w:r>
      <w:r>
        <w:br/>
        <w:t>OCI Observability &amp; Management services only</w:t>
      </w:r>
    </w:p>
    <w:p w14:paraId="57C00BA4" w14:textId="77777777" w:rsidR="00593CF7" w:rsidRPr="00CA4DC7" w:rsidRDefault="00214D31" w:rsidP="00593CF7">
      <w:pPr>
        <w:pStyle w:val="CoverdateandInfo"/>
      </w:pPr>
      <w:proofErr w:type="gramStart"/>
      <w:r>
        <w:t>August, 2026, Version 1.3</w:t>
      </w:r>
      <w:proofErr w:type="gramEnd"/>
      <w:r/>
    </w:p>
    <w:p w14:paraId="7D8B8750" w14:textId="77777777" w:rsidR="00593CF7" w:rsidRPr="00CA4DC7" w:rsidRDefault="00593CF7" w:rsidP="00593CF7">
      <w:pPr>
        <w:pStyle w:val="CoverdateandInfo"/>
      </w:pPr>
      <w:r>
        <w:t>Copyright © 2026, Oracle and/or its affiliates</w:t>
      </w:r>
    </w:p>
    <w:p w14:paraId="6CD3081D" w14:textId="77777777" w:rsidR="00593CF7" w:rsidRPr="00CA4DC7" w:rsidRDefault="00000000" w:rsidP="00593CF7">
      <w:pPr>
        <w:pStyle w:val="Coverdropdown"/>
      </w:pPr>
      <w:r>
        <w:t>Confidential – Oracle Restricted</w:t>
      </w:r>
    </w:p>
    <w:p w14:paraId="76EB2AB5" w14:textId="77777777" w:rsidR="00BA4521" w:rsidRDefault="00BA4521" w:rsidP="00BA4521">
      <w:pPr>
        <w:pStyle w:val="CoverdateandInfo"/>
      </w:pPr>
    </w:p>
    <w:p w14:paraId="36D24A6E" w14:textId="77777777" w:rsidR="00BA4521" w:rsidRPr="00374647" w:rsidRDefault="00BA4521" w:rsidP="00BA4521">
      <w:pPr>
        <w:pStyle w:val="CoverdateandInfo"/>
        <w:sectPr w:rsidR="00BA4521" w:rsidRPr="00374647" w:rsidSect="008B45C4">
          <w:headerReference w:type="even" r:id="rId12"/>
          <w:headerReference w:type="default" r:id="rId13"/>
          <w:footerReference w:type="even" r:id="rId14"/>
          <w:footerReference w:type="default" r:id="rId15"/>
          <w:headerReference w:type="first" r:id="rId16"/>
          <w:footerReference w:type="first" r:id="rId17"/>
          <w:pgSz w:w="12240" w:h="15840" w:code="1"/>
          <w:pgMar w:top="2880" w:right="720" w:bottom="1080" w:left="720" w:header="1080" w:footer="648" w:gutter="0"/>
          <w:cols w:space="720"/>
          <w:docGrid w:linePitch="360"/>
        </w:sectPr>
      </w:pPr>
    </w:p>
    <w:p w14:paraId="3C7E2E5C" w14:textId="77777777" w:rsidR="008F3240" w:rsidRPr="00535373" w:rsidRDefault="008F3240" w:rsidP="00535373">
      <w:pPr>
        <w:pStyle w:val="Heading1noTOC"/>
      </w:pPr>
      <w:bookmarkStart w:id="7" w:name="_Hlk128150743"/>
      <w:bookmarkStart w:id="8" w:name="_Toc46238006"/>
      <w:bookmarkStart w:id="9" w:name="_Toc52522162"/>
      <w:bookmarkStart w:id="10" w:name="_Toc127182436"/>
      <w:r w:rsidRPr="00535373">
        <w:lastRenderedPageBreak/>
        <w:t>Purpose statement</w:t>
      </w:r>
    </w:p>
    <w:p w14:paraId="4FC55570" w14:textId="77777777" w:rsidR="00467D2F" w:rsidRPr="00593CF7" w:rsidRDefault="00467D2F" w:rsidP="00467D2F">
      <w:r>
        <w:t>This document extracts only the RFP answers related to OCI Observability &amp; Management services and their direct operating boundaries. It keeps Oracle Communications Unified Assurance, Oracle Enterprise Manager and ServiceNow only where needed to explain how OCI telemetry, database management, OKE monitoring, analytical AI and the proposed dedicated incident agent fit the architecture.</w:t>
      </w:r>
    </w:p>
    <w:bookmarkEnd w:id="7"/>
    <w:p w14:paraId="606B979B" w14:textId="77777777" w:rsidR="008F3240" w:rsidRPr="00535373" w:rsidRDefault="008F3240" w:rsidP="00535373">
      <w:pPr>
        <w:pStyle w:val="Heading1noTOC"/>
      </w:pPr>
      <w:r w:rsidRPr="00535373">
        <w:t>Disclaimer</w:t>
      </w:r>
    </w:p>
    <w:bookmarkEnd w:id="8"/>
    <w:bookmarkEnd w:id="9"/>
    <w:bookmarkEnd w:id="10"/>
    <w:p w14:paraId="1AA4010F" w14:textId="77777777" w:rsidR="00007556" w:rsidRDefault="00007556" w:rsidP="00007556">
      <w:r>
        <w:t xml:space="preserve">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w:t>
      </w:r>
      <w:proofErr w:type="gramStart"/>
      <w:r>
        <w:t>agreement</w:t>
      </w:r>
      <w:proofErr w:type="gramEnd"/>
      <w:r>
        <w:t xml:space="preserve"> nor can it be incorporated into any contractual agreement with Oracle or its subsidiaries or affiliates.</w:t>
      </w:r>
    </w:p>
    <w:p w14:paraId="20C95792"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67313B94" w14:textId="77777777" w:rsidR="006F25D1" w:rsidRDefault="006F25D1" w:rsidP="00007556">
      <w:r>
        <w:br w:type="page"/>
      </w:r>
    </w:p>
    <w:p w14:paraId="66C777CD" w14:textId="77777777" w:rsidR="00743633" w:rsidRDefault="00000000">
      <w:pPr>
        <w:pStyle w:val="Heading1noTOC"/>
      </w:pPr>
      <w:r>
        <w:lastRenderedPageBreak/>
        <w:t>Contents</w:t>
      </w:r>
    </w:p>
    <w:p w14:paraId="0D4BE7EA" w14:textId="77777777" w:rsidR="00743633" w:rsidRDefault="00000000">
      <w:r>
        <w:rPr>
          <w:sz w:val="20"/>
        </w:rPr>
        <w:t>1. Executive summary</w:t>
      </w:r>
    </w:p>
    <w:p w14:paraId="340CB9D3" w14:textId="77777777" w:rsidR="00512A22" w:rsidRDefault="00000000">
      <w:pPr>
        <w:pStyle w:val="Heading1"/>
      </w:pPr>
      <w:r>
        <w:t>Latest customer answers incorporated — 31 July 2026</w:t>
      </w:r>
    </w:p>
    <w:p w14:paraId="6741A7DF" w14:textId="77777777" w:rsidR="00512A22" w:rsidRDefault="00000000">
      <w:r>
        <w:t>The following confirmed inputs supersede earlier generic assumptions. Conflicting values are retained as ranges and unanswered fields remain discovery/PoV gates; they are not converted into unsupported production or commercial commitments.</w:t>
      </w:r>
    </w:p>
    <w:tbl>
      <w:tblPr>
        <w:tblStyle w:val="TableGrid"/>
        <w:tblW w:w="0" w:type="auto"/>
        <w:tblLook w:val="04A0" w:firstRow="1" w:lastRow="0" w:firstColumn="1" w:lastColumn="0" w:noHBand="0" w:noVBand="1"/>
      </w:tblPr>
      <w:tblGrid>
        <w:gridCol w:w="2880"/>
        <w:gridCol w:w="2880"/>
        <w:gridCol w:w="2880"/>
      </w:tblGrid>
      <w:tr w:rsidR="00512A22" w14:paraId="27618BF8" w14:textId="77777777">
        <w:tc>
          <w:tcPr>
            <w:tcW w:w="2880" w:type="dxa"/>
            <w:shd w:val="clear" w:color="auto" w:fill="312D2A"/>
          </w:tcPr>
          <w:p w14:paraId="5CD1F625" w14:textId="77777777" w:rsidR="00512A22" w:rsidRDefault="00000000">
            <w:r>
              <w:rPr>
                <w:rFonts w:ascii="Aptos" w:hAnsi="Aptos"/>
                <w:b/>
                <w:color w:val="FFFFFF"/>
                <w:sz w:val="16"/>
              </w:rPr>
              <w:t>Input</w:t>
            </w:r>
          </w:p>
        </w:tc>
        <w:tc>
          <w:tcPr>
            <w:tcW w:w="2880" w:type="dxa"/>
            <w:shd w:val="clear" w:color="auto" w:fill="312D2A"/>
          </w:tcPr>
          <w:p w14:paraId="7DDCC500" w14:textId="77777777" w:rsidR="00512A22" w:rsidRDefault="00000000">
            <w:r>
              <w:rPr>
                <w:rFonts w:ascii="Aptos" w:hAnsi="Aptos"/>
                <w:b/>
                <w:color w:val="FFFFFF"/>
                <w:sz w:val="16"/>
              </w:rPr>
              <w:t>Latest answer</w:t>
            </w:r>
          </w:p>
        </w:tc>
        <w:tc>
          <w:tcPr>
            <w:tcW w:w="2880" w:type="dxa"/>
            <w:shd w:val="clear" w:color="auto" w:fill="312D2A"/>
          </w:tcPr>
          <w:p w14:paraId="197E8FDB" w14:textId="77777777" w:rsidR="00512A22" w:rsidRDefault="00000000">
            <w:r>
              <w:rPr>
                <w:rFonts w:ascii="Aptos" w:hAnsi="Aptos"/>
                <w:b/>
                <w:color w:val="FFFFFF"/>
                <w:sz w:val="16"/>
              </w:rPr>
              <w:t>Solution consequence</w:t>
            </w:r>
          </w:p>
        </w:tc>
      </w:tr>
      <w:tr w:rsidR="00512A22" w14:paraId="3EF2B533" w14:textId="77777777">
        <w:tc>
          <w:tcPr>
            <w:tcW w:w="2880" w:type="dxa"/>
            <w:shd w:val="clear" w:color="auto" w:fill="FFFFFF"/>
          </w:tcPr>
          <w:p w14:paraId="6443608A" w14:textId="77777777" w:rsidR="00512A22" w:rsidRDefault="00000000">
            <w:r>
              <w:rPr>
                <w:rFonts w:ascii="Aptos" w:hAnsi="Aptos"/>
                <w:color w:val="312D2A"/>
                <w:sz w:val="16"/>
              </w:rPr>
              <w:t>Deployment / delivery</w:t>
            </w:r>
          </w:p>
        </w:tc>
        <w:tc>
          <w:tcPr>
            <w:tcW w:w="2880" w:type="dxa"/>
            <w:shd w:val="clear" w:color="auto" w:fill="FFFFFF"/>
          </w:tcPr>
          <w:p w14:paraId="07DB77DC" w14:textId="77777777" w:rsidR="00512A22" w:rsidRDefault="00000000">
            <w:r>
              <w:rPr>
                <w:rFonts w:ascii="Aptos" w:hAnsi="Aptos"/>
                <w:color w:val="312D2A"/>
                <w:sz w:val="16"/>
              </w:rPr>
              <w:t>Production plus non-production on demand; internal-cloud/hybrid preferred; restricted/air-gapped sites required; three-month target; Senegal is the indicated pilot candidate.</w:t>
            </w:r>
          </w:p>
        </w:tc>
        <w:tc>
          <w:tcPr>
            <w:tcW w:w="2880" w:type="dxa"/>
            <w:shd w:val="clear" w:color="auto" w:fill="FFFFFF"/>
          </w:tcPr>
          <w:p w14:paraId="0991F1B7" w14:textId="77777777" w:rsidR="00512A22" w:rsidRDefault="00000000">
            <w:r>
              <w:rPr>
                <w:rFonts w:ascii="Aptos" w:hAnsi="Aptos"/>
                <w:color w:val="312D2A"/>
                <w:sz w:val="16"/>
              </w:rPr>
              <w:t>Use a bounded Phase 1 and onboarding factory. Validate each OPCO connectivity and residency pattern.</w:t>
            </w:r>
          </w:p>
        </w:tc>
      </w:tr>
      <w:tr w:rsidR="00512A22" w14:paraId="1246AEB2" w14:textId="77777777">
        <w:tc>
          <w:tcPr>
            <w:tcW w:w="2880" w:type="dxa"/>
            <w:shd w:val="clear" w:color="auto" w:fill="F3F2F1"/>
          </w:tcPr>
          <w:p w14:paraId="001E3674" w14:textId="77777777" w:rsidR="00512A22" w:rsidRDefault="00000000">
            <w:r>
              <w:rPr>
                <w:rFonts w:ascii="Aptos" w:hAnsi="Aptos"/>
                <w:color w:val="312D2A"/>
                <w:sz w:val="16"/>
              </w:rPr>
              <w:t>Footprint</w:t>
            </w:r>
          </w:p>
        </w:tc>
        <w:tc>
          <w:tcPr>
            <w:tcW w:w="2880" w:type="dxa"/>
            <w:shd w:val="clear" w:color="auto" w:fill="F3F2F1"/>
          </w:tcPr>
          <w:p w14:paraId="221BBA36" w14:textId="77777777" w:rsidR="00512A22" w:rsidRDefault="00000000">
            <w:r>
              <w:rPr>
                <w:rFonts w:ascii="Aptos" w:hAnsi="Aptos"/>
                <w:color w:val="312D2A"/>
                <w:sz w:val="16"/>
              </w:rPr>
              <w:t>5 YAS OPCOs, 3 Stellar-IX, 5 MIX/Fintech and 7 YAS Fiber operations across 11 countries.</w:t>
            </w:r>
          </w:p>
        </w:tc>
        <w:tc>
          <w:tcPr>
            <w:tcW w:w="2880" w:type="dxa"/>
            <w:shd w:val="clear" w:color="auto" w:fill="F3F2F1"/>
          </w:tcPr>
          <w:p w14:paraId="1CC37AB2" w14:textId="77777777" w:rsidR="00512A22" w:rsidRDefault="00000000">
            <w:r>
              <w:rPr>
                <w:rFonts w:ascii="Aptos" w:hAnsi="Aptos"/>
                <w:color w:val="312D2A"/>
                <w:sz w:val="16"/>
              </w:rPr>
              <w:t>Confirm legal entities, tenants and country data zones; do not automatically interpret the business count as twenty platform tenants.</w:t>
            </w:r>
          </w:p>
        </w:tc>
      </w:tr>
      <w:tr w:rsidR="00512A22" w14:paraId="0351871E" w14:textId="77777777">
        <w:tc>
          <w:tcPr>
            <w:tcW w:w="2880" w:type="dxa"/>
            <w:shd w:val="clear" w:color="auto" w:fill="FFFFFF"/>
          </w:tcPr>
          <w:p w14:paraId="3CA8A6B3" w14:textId="77777777" w:rsidR="00512A22" w:rsidRDefault="00000000">
            <w:r>
              <w:rPr>
                <w:rFonts w:ascii="Aptos" w:hAnsi="Aptos"/>
                <w:color w:val="312D2A"/>
                <w:sz w:val="16"/>
              </w:rPr>
              <w:t>Scale / growth</w:t>
            </w:r>
          </w:p>
        </w:tc>
        <w:tc>
          <w:tcPr>
            <w:tcW w:w="2880" w:type="dxa"/>
            <w:shd w:val="clear" w:color="auto" w:fill="FFFFFF"/>
          </w:tcPr>
          <w:p w14:paraId="2D0FF82C" w14:textId="77777777" w:rsidR="00512A22" w:rsidRDefault="00000000">
            <w:r>
              <w:rPr>
                <w:rFonts w:ascii="Aptos" w:hAnsi="Aptos"/>
                <w:color w:val="312D2A"/>
                <w:sz w:val="16"/>
              </w:rPr>
              <w:t>40–100/120 apps per entity; 40–100 physical servers and 300–2,000 VMs; 15–25% entity growth and 15–20% network growth.</w:t>
            </w:r>
          </w:p>
        </w:tc>
        <w:tc>
          <w:tcPr>
            <w:tcW w:w="2880" w:type="dxa"/>
            <w:shd w:val="clear" w:color="auto" w:fill="FFFFFF"/>
          </w:tcPr>
          <w:p w14:paraId="58B06CFA" w14:textId="77777777" w:rsidR="00512A22" w:rsidRDefault="00000000">
            <w:r>
              <w:rPr>
                <w:rFonts w:ascii="Aptos" w:hAnsi="Aptos"/>
                <w:color w:val="312D2A"/>
                <w:sz w:val="16"/>
              </w:rPr>
              <w:t>Carry ranges until discovery; provide elastic sizing and commercial levers.</w:t>
            </w:r>
          </w:p>
        </w:tc>
      </w:tr>
      <w:tr w:rsidR="00512A22" w14:paraId="00145AAA" w14:textId="77777777">
        <w:tc>
          <w:tcPr>
            <w:tcW w:w="2880" w:type="dxa"/>
            <w:shd w:val="clear" w:color="auto" w:fill="F3F2F1"/>
          </w:tcPr>
          <w:p w14:paraId="69B94AA2" w14:textId="77777777" w:rsidR="00512A22" w:rsidRDefault="00000000">
            <w:r>
              <w:rPr>
                <w:rFonts w:ascii="Aptos" w:hAnsi="Aptos"/>
                <w:color w:val="312D2A"/>
                <w:sz w:val="16"/>
              </w:rPr>
              <w:t>Volume / retention</w:t>
            </w:r>
          </w:p>
        </w:tc>
        <w:tc>
          <w:tcPr>
            <w:tcW w:w="2880" w:type="dxa"/>
            <w:shd w:val="clear" w:color="auto" w:fill="F3F2F1"/>
          </w:tcPr>
          <w:p w14:paraId="047126AA" w14:textId="77777777" w:rsidR="00512A22" w:rsidRDefault="00000000">
            <w:r>
              <w:rPr>
                <w:rFonts w:ascii="Aptos" w:hAnsi="Aptos"/>
                <w:color w:val="312D2A"/>
                <w:sz w:val="16"/>
              </w:rPr>
              <w:t>Indicative average 2 TB/day; 6–12 months for full/low-resolution telemetry, logs/events, KPIs and tickets; one month minimum AI history.</w:t>
            </w:r>
          </w:p>
        </w:tc>
        <w:tc>
          <w:tcPr>
            <w:tcW w:w="2880" w:type="dxa"/>
            <w:shd w:val="clear" w:color="auto" w:fill="F3F2F1"/>
          </w:tcPr>
          <w:p w14:paraId="03E4EAE7" w14:textId="77777777" w:rsidR="00512A22" w:rsidRDefault="00000000">
            <w:r>
              <w:rPr>
                <w:rFonts w:ascii="Aptos" w:hAnsi="Aptos"/>
                <w:color w:val="312D2A"/>
                <w:sz w:val="16"/>
              </w:rPr>
              <w:t>Partial until 2 TB/day scope and data-class split are measured. Tier hot analytics and archive by residency zone.</w:t>
            </w:r>
          </w:p>
        </w:tc>
      </w:tr>
      <w:tr w:rsidR="00512A22" w14:paraId="7A96CA68" w14:textId="77777777">
        <w:tc>
          <w:tcPr>
            <w:tcW w:w="2880" w:type="dxa"/>
            <w:shd w:val="clear" w:color="auto" w:fill="FFFFFF"/>
          </w:tcPr>
          <w:p w14:paraId="27E6EED2" w14:textId="77777777" w:rsidR="00512A22" w:rsidRDefault="00000000">
            <w:r>
              <w:rPr>
                <w:rFonts w:ascii="Aptos" w:hAnsi="Aptos"/>
                <w:color w:val="312D2A"/>
                <w:sz w:val="16"/>
              </w:rPr>
              <w:t>Continuity</w:t>
            </w:r>
          </w:p>
        </w:tc>
        <w:tc>
          <w:tcPr>
            <w:tcW w:w="2880" w:type="dxa"/>
            <w:shd w:val="clear" w:color="auto" w:fill="FFFFFF"/>
          </w:tcPr>
          <w:p w14:paraId="6164B792" w14:textId="77777777" w:rsidR="00512A22" w:rsidRDefault="00000000">
            <w:r>
              <w:rPr>
                <w:rFonts w:ascii="Aptos" w:hAnsi="Aptos"/>
                <w:color w:val="312D2A"/>
                <w:sz w:val="16"/>
              </w:rPr>
              <w:t>HA mandatory; RTO 4 hours; RPO 5–15 minutes; main/DR distance 25–100 km depending on site.</w:t>
            </w:r>
          </w:p>
        </w:tc>
        <w:tc>
          <w:tcPr>
            <w:tcW w:w="2880" w:type="dxa"/>
            <w:shd w:val="clear" w:color="auto" w:fill="FFFFFF"/>
          </w:tcPr>
          <w:p w14:paraId="6FE335E0" w14:textId="77777777" w:rsidR="00512A22" w:rsidRDefault="00000000">
            <w:r>
              <w:rPr>
                <w:rFonts w:ascii="Aptos" w:hAnsi="Aptos"/>
                <w:color w:val="312D2A"/>
                <w:sz w:val="16"/>
              </w:rPr>
              <w:t>Design component-specific replication and test restore, failover, replay and data loss.</w:t>
            </w:r>
          </w:p>
        </w:tc>
      </w:tr>
      <w:tr w:rsidR="00512A22" w14:paraId="7C7A7C31" w14:textId="77777777">
        <w:tc>
          <w:tcPr>
            <w:tcW w:w="2880" w:type="dxa"/>
            <w:shd w:val="clear" w:color="auto" w:fill="F3F2F1"/>
          </w:tcPr>
          <w:p w14:paraId="05DFF78A" w14:textId="77777777" w:rsidR="00512A22" w:rsidRDefault="00000000">
            <w:r>
              <w:rPr>
                <w:rFonts w:ascii="Aptos" w:hAnsi="Aptos"/>
                <w:color w:val="312D2A"/>
                <w:sz w:val="16"/>
              </w:rPr>
              <w:t>Apps / databases</w:t>
            </w:r>
          </w:p>
        </w:tc>
        <w:tc>
          <w:tcPr>
            <w:tcW w:w="2880" w:type="dxa"/>
            <w:shd w:val="clear" w:color="auto" w:fill="F3F2F1"/>
          </w:tcPr>
          <w:p w14:paraId="7C281111" w14:textId="77777777" w:rsidR="00512A22" w:rsidRDefault="00000000">
            <w:r>
              <w:rPr>
                <w:rFonts w:ascii="Aptos" w:hAnsi="Aptos"/>
                <w:color w:val="312D2A"/>
                <w:sz w:val="16"/>
              </w:rPr>
              <w:t>Java, .NET and PHP; Oracle, SQL Server, PostgreSQL and MariaDB; AWS, Azure and OCI.</w:t>
            </w:r>
          </w:p>
        </w:tc>
        <w:tc>
          <w:tcPr>
            <w:tcW w:w="2880" w:type="dxa"/>
            <w:shd w:val="clear" w:color="auto" w:fill="F3F2F1"/>
          </w:tcPr>
          <w:p w14:paraId="2823B243" w14:textId="77777777" w:rsidR="00512A22" w:rsidRDefault="00000000">
            <w:r>
              <w:rPr>
                <w:rFonts w:ascii="Aptos" w:hAnsi="Aptos"/>
                <w:color w:val="312D2A"/>
                <w:sz w:val="16"/>
              </w:rPr>
              <w:t>OCI APM/</w:t>
            </w:r>
            <w:proofErr w:type="spellStart"/>
            <w:r>
              <w:rPr>
                <w:rFonts w:ascii="Aptos" w:hAnsi="Aptos"/>
                <w:color w:val="312D2A"/>
                <w:sz w:val="16"/>
              </w:rPr>
              <w:t>OTel</w:t>
            </w:r>
            <w:proofErr w:type="spellEnd"/>
            <w:r>
              <w:rPr>
                <w:rFonts w:ascii="Aptos" w:hAnsi="Aptos"/>
                <w:color w:val="312D2A"/>
                <w:sz w:val="16"/>
              </w:rPr>
              <w:t xml:space="preserve"> for priority journeys; DBM/OPSI conditional for supported targets; preserve product-native tools.</w:t>
            </w:r>
          </w:p>
        </w:tc>
      </w:tr>
      <w:tr w:rsidR="00512A22" w14:paraId="058D12B3" w14:textId="77777777">
        <w:tc>
          <w:tcPr>
            <w:tcW w:w="2880" w:type="dxa"/>
            <w:shd w:val="clear" w:color="auto" w:fill="FFFFFF"/>
          </w:tcPr>
          <w:p w14:paraId="01FB6B6D" w14:textId="77777777" w:rsidR="00512A22" w:rsidRDefault="00000000">
            <w:r>
              <w:rPr>
                <w:rFonts w:ascii="Aptos" w:hAnsi="Aptos"/>
                <w:color w:val="312D2A"/>
                <w:sz w:val="16"/>
              </w:rPr>
              <w:t>Containers</w:t>
            </w:r>
          </w:p>
        </w:tc>
        <w:tc>
          <w:tcPr>
            <w:tcW w:w="2880" w:type="dxa"/>
            <w:shd w:val="clear" w:color="auto" w:fill="FFFFFF"/>
          </w:tcPr>
          <w:p w14:paraId="2554DF3C" w14:textId="77777777" w:rsidR="00512A22" w:rsidRDefault="00000000">
            <w:r>
              <w:rPr>
                <w:rFonts w:ascii="Aptos" w:hAnsi="Aptos"/>
                <w:color w:val="312D2A"/>
                <w:sz w:val="16"/>
              </w:rPr>
              <w:t xml:space="preserve">Tanzu/VKS, EKS, OpenShift and other platforms; exact nodes/pods unanswered; full tracing expected and </w:t>
            </w:r>
            <w:proofErr w:type="spellStart"/>
            <w:r>
              <w:rPr>
                <w:rFonts w:ascii="Aptos" w:hAnsi="Aptos"/>
                <w:color w:val="312D2A"/>
                <w:sz w:val="16"/>
              </w:rPr>
              <w:t>OTel</w:t>
            </w:r>
            <w:proofErr w:type="spellEnd"/>
            <w:r>
              <w:rPr>
                <w:rFonts w:ascii="Aptos" w:hAnsi="Aptos"/>
                <w:color w:val="312D2A"/>
                <w:sz w:val="16"/>
              </w:rPr>
              <w:t xml:space="preserve"> planned.</w:t>
            </w:r>
          </w:p>
        </w:tc>
        <w:tc>
          <w:tcPr>
            <w:tcW w:w="2880" w:type="dxa"/>
            <w:shd w:val="clear" w:color="auto" w:fill="FFFFFF"/>
          </w:tcPr>
          <w:p w14:paraId="4404C1D6" w14:textId="77777777" w:rsidR="00512A22" w:rsidRDefault="00000000">
            <w:r>
              <w:rPr>
                <w:rFonts w:ascii="Aptos" w:hAnsi="Aptos"/>
                <w:color w:val="312D2A"/>
                <w:sz w:val="16"/>
              </w:rPr>
              <w:t xml:space="preserve">Log Analytics Kubernetes Solution for OKE; </w:t>
            </w:r>
            <w:proofErr w:type="spellStart"/>
            <w:r>
              <w:rPr>
                <w:rFonts w:ascii="Aptos" w:hAnsi="Aptos"/>
                <w:color w:val="312D2A"/>
                <w:sz w:val="16"/>
              </w:rPr>
              <w:t>OTel</w:t>
            </w:r>
            <w:proofErr w:type="spellEnd"/>
            <w:r>
              <w:rPr>
                <w:rFonts w:ascii="Aptos" w:hAnsi="Aptos"/>
                <w:color w:val="312D2A"/>
                <w:sz w:val="16"/>
              </w:rPr>
              <w:t>/log collection for other platforms after compatibility and access validation.</w:t>
            </w:r>
          </w:p>
        </w:tc>
      </w:tr>
      <w:tr w:rsidR="00512A22" w14:paraId="3ADDD628" w14:textId="77777777">
        <w:tc>
          <w:tcPr>
            <w:tcW w:w="2880" w:type="dxa"/>
            <w:shd w:val="clear" w:color="auto" w:fill="F3F2F1"/>
          </w:tcPr>
          <w:p w14:paraId="10131C58" w14:textId="77777777" w:rsidR="00512A22" w:rsidRDefault="00000000">
            <w:r>
              <w:rPr>
                <w:rFonts w:ascii="Aptos" w:hAnsi="Aptos"/>
                <w:color w:val="312D2A"/>
                <w:sz w:val="16"/>
              </w:rPr>
              <w:t>Identity / privacy</w:t>
            </w:r>
          </w:p>
        </w:tc>
        <w:tc>
          <w:tcPr>
            <w:tcW w:w="2880" w:type="dxa"/>
            <w:shd w:val="clear" w:color="auto" w:fill="F3F2F1"/>
          </w:tcPr>
          <w:p w14:paraId="4833221A" w14:textId="77777777" w:rsidR="00512A22" w:rsidRDefault="00000000">
            <w:r>
              <w:rPr>
                <w:rFonts w:ascii="Aptos" w:hAnsi="Aptos"/>
                <w:color w:val="312D2A"/>
                <w:sz w:val="16"/>
              </w:rPr>
              <w:t>AD/Azure SSO, MFA, role federation and audit export; OPCO owns data, Group needs access; PII stays in-country or is masked.</w:t>
            </w:r>
          </w:p>
        </w:tc>
        <w:tc>
          <w:tcPr>
            <w:tcW w:w="2880" w:type="dxa"/>
            <w:shd w:val="clear" w:color="auto" w:fill="F3F2F1"/>
          </w:tcPr>
          <w:p w14:paraId="6CB019E2" w14:textId="77777777" w:rsidR="00512A22" w:rsidRDefault="00000000">
            <w:r>
              <w:rPr>
                <w:rFonts w:ascii="Aptos" w:hAnsi="Aptos"/>
                <w:color w:val="312D2A"/>
                <w:sz w:val="16"/>
              </w:rPr>
              <w:t>Federated IAM and residency-aware collection, masking, retention and access.</w:t>
            </w:r>
          </w:p>
        </w:tc>
      </w:tr>
      <w:tr w:rsidR="00512A22" w14:paraId="4AC510D6" w14:textId="77777777">
        <w:tc>
          <w:tcPr>
            <w:tcW w:w="2880" w:type="dxa"/>
            <w:shd w:val="clear" w:color="auto" w:fill="FFFFFF"/>
          </w:tcPr>
          <w:p w14:paraId="6B6D9B50" w14:textId="77777777" w:rsidR="00512A22" w:rsidRDefault="00000000">
            <w:r>
              <w:rPr>
                <w:rFonts w:ascii="Aptos" w:hAnsi="Aptos"/>
                <w:color w:val="312D2A"/>
                <w:sz w:val="16"/>
              </w:rPr>
              <w:t>ServiceNow</w:t>
            </w:r>
          </w:p>
        </w:tc>
        <w:tc>
          <w:tcPr>
            <w:tcW w:w="2880" w:type="dxa"/>
            <w:shd w:val="clear" w:color="auto" w:fill="FFFFFF"/>
          </w:tcPr>
          <w:p w14:paraId="66EC43A5" w14:textId="77777777" w:rsidR="00512A22" w:rsidRDefault="00000000">
            <w:r>
              <w:rPr>
                <w:rFonts w:ascii="Aptos" w:hAnsi="Aptos"/>
                <w:color w:val="312D2A"/>
                <w:sz w:val="16"/>
              </w:rPr>
              <w:t>One Group-wide Zurich instance; ITSM active, ITAM roadmap; 50–300 tickets/day/OPCO; categories and workflows will be redesigned.</w:t>
            </w:r>
          </w:p>
        </w:tc>
        <w:tc>
          <w:tcPr>
            <w:tcW w:w="2880" w:type="dxa"/>
            <w:shd w:val="clear" w:color="auto" w:fill="FFFFFF"/>
          </w:tcPr>
          <w:p w14:paraId="10EC0D40" w14:textId="77777777" w:rsidR="00512A22" w:rsidRDefault="00000000">
            <w:r>
              <w:rPr>
                <w:rFonts w:ascii="Aptos" w:hAnsi="Aptos"/>
                <w:color w:val="312D2A"/>
                <w:sz w:val="16"/>
              </w:rPr>
              <w:t>Native UA ServiceNow Adapter/API, no OIC; Operations (Pablo) validates workflow, idempotency and support.</w:t>
            </w:r>
          </w:p>
        </w:tc>
      </w:tr>
      <w:tr w:rsidR="00512A22" w14:paraId="3BDF6920" w14:textId="77777777">
        <w:tc>
          <w:tcPr>
            <w:tcW w:w="2880" w:type="dxa"/>
            <w:shd w:val="clear" w:color="auto" w:fill="F3F2F1"/>
          </w:tcPr>
          <w:p w14:paraId="0523D19D" w14:textId="77777777" w:rsidR="00512A22" w:rsidRDefault="00000000">
            <w:r>
              <w:rPr>
                <w:rFonts w:ascii="Aptos" w:hAnsi="Aptos"/>
                <w:color w:val="312D2A"/>
                <w:sz w:val="16"/>
              </w:rPr>
              <w:t>Autonomy</w:t>
            </w:r>
          </w:p>
        </w:tc>
        <w:tc>
          <w:tcPr>
            <w:tcW w:w="2880" w:type="dxa"/>
            <w:shd w:val="clear" w:color="auto" w:fill="F3F2F1"/>
          </w:tcPr>
          <w:p w14:paraId="4A2D2EC7" w14:textId="77777777" w:rsidR="00512A22" w:rsidRDefault="00000000">
            <w:r>
              <w:rPr>
                <w:rFonts w:ascii="Aptos" w:hAnsi="Aptos"/>
                <w:color w:val="312D2A"/>
                <w:sz w:val="16"/>
              </w:rPr>
              <w:t>Zero-touch Dark NOC/full autonomy expected; zero false positives is an aspiration; existing rules must migrate and runbooks vary.</w:t>
            </w:r>
          </w:p>
        </w:tc>
        <w:tc>
          <w:tcPr>
            <w:tcW w:w="2880" w:type="dxa"/>
            <w:shd w:val="clear" w:color="auto" w:fill="F3F2F1"/>
          </w:tcPr>
          <w:p w14:paraId="426871B8" w14:textId="77777777" w:rsidR="00512A22" w:rsidRDefault="00000000">
            <w:r>
              <w:rPr>
                <w:rFonts w:ascii="Aptos" w:hAnsi="Aptos"/>
                <w:color w:val="312D2A"/>
                <w:sz w:val="16"/>
              </w:rPr>
              <w:t>Partial/phased: UA deterministic correlation plus dedicated OCI GenAI agent. No blanket autonomy or accuracy guarantee; actions remain bounded, reversible and audited.</w:t>
            </w:r>
          </w:p>
        </w:tc>
      </w:tr>
    </w:tbl>
    <w:p w14:paraId="04D0BCD5" w14:textId="77777777" w:rsidR="00512A22" w:rsidRDefault="00000000">
      <w:pPr>
        <w:pStyle w:val="Heading2"/>
      </w:pPr>
      <w:r>
        <w:t>Key response decisions</w:t>
      </w:r>
    </w:p>
    <w:p w14:paraId="56E8E070" w14:textId="77777777" w:rsidR="00512A22" w:rsidRDefault="00000000">
      <w:pPr>
        <w:pStyle w:val="ListBullet"/>
      </w:pPr>
      <w:r>
        <w:t>One ServiceNow Zurich integration through the native Unified Assurance ServiceNow Adapter/API; no OIC path.</w:t>
      </w:r>
    </w:p>
    <w:p w14:paraId="3EF71735" w14:textId="77777777" w:rsidR="00512A22" w:rsidRDefault="00000000">
      <w:pPr>
        <w:pStyle w:val="ListBullet"/>
      </w:pPr>
      <w:r>
        <w:t>OCI Log Analytics Kubernetes Monitoring Solution is the standard proposal for OKE; Tanzu/VKS, EKS and OpenShift require open collection plus platform-specific validation.</w:t>
      </w:r>
    </w:p>
    <w:p w14:paraId="28422306" w14:textId="77777777" w:rsidR="00512A22" w:rsidRDefault="00000000">
      <w:pPr>
        <w:pStyle w:val="ListBullet"/>
      </w:pPr>
      <w:r>
        <w:t>The 2 TB/day input is indicative and ambiguous; no fixed OCI consumption or capacity claim is made until source-rate and retention measurements are complete.</w:t>
      </w:r>
    </w:p>
    <w:p w14:paraId="0C465DB2" w14:textId="77777777" w:rsidR="00512A22" w:rsidRDefault="00000000">
      <w:pPr>
        <w:pStyle w:val="ListBullet"/>
      </w:pPr>
      <w:r>
        <w:lastRenderedPageBreak/>
        <w:t xml:space="preserve">The zero-touch ambition is a phased target. </w:t>
      </w:r>
      <w:proofErr w:type="spellStart"/>
      <w:r>
        <w:t>LoganAI</w:t>
      </w:r>
      <w:proofErr w:type="spellEnd"/>
      <w:r>
        <w:t xml:space="preserve"> is analytical assistance; a dedicated governed OCI GenAI agent requires the OCI AI Team (Alex Negrea).</w:t>
      </w:r>
    </w:p>
    <w:p w14:paraId="02853834" w14:textId="77777777" w:rsidR="00512A22" w:rsidRDefault="00000000">
      <w:pPr>
        <w:pStyle w:val="ListBullet"/>
      </w:pPr>
      <w:r>
        <w:t>OEM/Management Pack and ServiceNow operating workflows require Operations involvement (Pablo); pack entitlement and repository/API use must be verified.</w:t>
      </w:r>
    </w:p>
    <w:p w14:paraId="4BC9E1C1" w14:textId="77777777" w:rsidR="00512A22" w:rsidRDefault="00000000">
      <w:pPr>
        <w:pStyle w:val="ListBullet"/>
      </w:pPr>
      <w:r>
        <w:t>Product-specific telemetry quality, access and remediation remain with the teams operating those products; this response covers the Observability &amp; Security complement.</w:t>
      </w:r>
    </w:p>
    <w:p w14:paraId="1AE6922B" w14:textId="77777777" w:rsidR="00743633" w:rsidRDefault="00000000">
      <w:r>
        <w:rPr>
          <w:sz w:val="20"/>
        </w:rPr>
        <w:t>2. OCI service architecture fit</w:t>
      </w:r>
    </w:p>
    <w:p w14:paraId="1A823911" w14:textId="77777777" w:rsidR="00743633" w:rsidRDefault="00000000">
      <w:r>
        <w:rPr>
          <w:sz w:val="20"/>
        </w:rPr>
        <w:t>3. Extracted RFP requirements and answers</w:t>
      </w:r>
    </w:p>
    <w:p w14:paraId="10D3F28F" w14:textId="77777777" w:rsidR="00743633" w:rsidRDefault="00000000">
      <w:r>
        <w:rPr>
          <w:sz w:val="20"/>
        </w:rPr>
        <w:t>4. OKE monitoring answer</w:t>
      </w:r>
    </w:p>
    <w:p w14:paraId="2E0CFFF6" w14:textId="77777777" w:rsidR="00743633" w:rsidRDefault="00000000">
      <w:r>
        <w:rPr>
          <w:sz w:val="20"/>
        </w:rPr>
        <w:t xml:space="preserve">5. </w:t>
      </w:r>
      <w:proofErr w:type="spellStart"/>
      <w:r>
        <w:rPr>
          <w:sz w:val="20"/>
        </w:rPr>
        <w:t>LoganAI</w:t>
      </w:r>
      <w:proofErr w:type="spellEnd"/>
      <w:r>
        <w:rPr>
          <w:sz w:val="20"/>
        </w:rPr>
        <w:t xml:space="preserve"> versus the required agent</w:t>
      </w:r>
    </w:p>
    <w:p w14:paraId="43C45A0E" w14:textId="77777777" w:rsidR="00743633" w:rsidRDefault="00000000">
      <w:r>
        <w:rPr>
          <w:sz w:val="20"/>
        </w:rPr>
        <w:t>6. OOTB gaps requiring CSS, partner or product-team development</w:t>
      </w:r>
    </w:p>
    <w:p w14:paraId="5EBFB52F" w14:textId="77777777" w:rsidR="00743633" w:rsidRDefault="00000000">
      <w:r>
        <w:t>7. Solution bill of materials (BOM)</w:t>
      </w:r>
    </w:p>
    <w:p>
      <w:pPr/>
      <w:r>
        <w:t>8. Official Oracle references</w:t>
      </w:r>
    </w:p>
    <w:p w14:paraId="7B96ADB4" w14:textId="77777777" w:rsidR="00743633" w:rsidRDefault="00000000">
      <w:r>
        <w:br w:type="page"/>
      </w:r>
    </w:p>
    <w:p w14:paraId="5E92C63A" w14:textId="77777777" w:rsidR="00743633" w:rsidRDefault="00000000">
      <w:pPr>
        <w:pStyle w:val="Smalltext"/>
      </w:pPr>
      <w:r>
        <w:lastRenderedPageBreak/>
        <w:t>RFP: AXIAN-IT &amp; Network-OBS-2026</w:t>
      </w:r>
    </w:p>
    <w:p w14:paraId="3FCB983B" w14:textId="77777777" w:rsidR="00743633" w:rsidRDefault="00000000">
      <w:r>
        <w:t>Scope of this extract: Only responses materially delivered or complemented by Oracle Cloud Infrastructure Observability &amp; Management services. Oracle Communications Unified Assurance (UA), ServiceNow, Enterprise Manager and product-team systems are mentioned only where they form an integration or ownership boundary. Response owner: Observability &amp; Security team. Required co-owners: Operations (Pablo) for OEM and ServiceNow operating workflows; OCI AI Team (Alex Negrea) for the dedicated incident-commander agent. Status convention: Compliant means a documented OCI service supplies the stated capability when configured. Partial means discovery, product-team input, licensing, custom implementation, sizing or PoV evidence is still required.</w:t>
      </w:r>
    </w:p>
    <w:p w14:paraId="009BDE43" w14:textId="77777777" w:rsidR="00743633" w:rsidRDefault="00000000">
      <w:pPr>
        <w:pStyle w:val="Heading1"/>
      </w:pPr>
      <w:r>
        <w:t>1. Executive summary</w:t>
      </w:r>
    </w:p>
    <w:p w14:paraId="76AA671C" w14:textId="77777777" w:rsidR="00743633" w:rsidRDefault="00000000">
      <w:r>
        <w:t>OCI Observability &amp; Management provides the cloud and hybrid observability complement to the Group Unified Assurance core:</w:t>
      </w:r>
    </w:p>
    <w:p w14:paraId="024294EA" w14:textId="77777777" w:rsidR="00743633" w:rsidRDefault="00000000">
      <w:pPr>
        <w:pStyle w:val="Smallbullet"/>
      </w:pPr>
      <w:r>
        <w:t>OCI Monitoring measures OCI resources, custom platform metrics, alarms and the health of the monitoring platform itself.</w:t>
      </w:r>
    </w:p>
    <w:p w14:paraId="4F5777B3" w14:textId="77777777" w:rsidR="00743633" w:rsidRDefault="00000000">
      <w:pPr>
        <w:pStyle w:val="Smallbullet"/>
      </w:pPr>
      <w:r>
        <w:t>OCI Logging centralizes OCI service and custom logs.</w:t>
      </w:r>
    </w:p>
    <w:p w14:paraId="6997EBB0" w14:textId="77777777" w:rsidR="00743633" w:rsidRDefault="00000000">
      <w:pPr>
        <w:pStyle w:val="Smallbullet"/>
      </w:pPr>
      <w:r>
        <w:t>Connector Hub routes supported observability data to destinations such as Log Analytics, Object Storage, Streaming, Notifications and Functions.</w:t>
      </w:r>
    </w:p>
    <w:p w14:paraId="0439B1BB" w14:textId="77777777" w:rsidR="00743633" w:rsidRDefault="00000000">
      <w:pPr>
        <w:pStyle w:val="Smallbullet"/>
      </w:pPr>
      <w:r>
        <w:t>OCI Log Analytics provides central log ingestion, parsing, enrichment, clustering, investigation and dashboards. Its Kubernetes Monitoring Solution is proposed as the standard OKE operations view for logs, metrics and Kubernetes object state.</w:t>
      </w:r>
    </w:p>
    <w:p w14:paraId="346410E6" w14:textId="77777777" w:rsidR="00743633" w:rsidRDefault="00000000">
      <w:pPr>
        <w:pStyle w:val="Smallbullet"/>
      </w:pPr>
      <w:proofErr w:type="spellStart"/>
      <w:r>
        <w:t>LoganAI</w:t>
      </w:r>
      <w:proofErr w:type="spellEnd"/>
      <w:r>
        <w:t xml:space="preserve"> accelerates log/metric interpretation with summaries, explanations and follow-up questions. </w:t>
      </w:r>
      <w:proofErr w:type="spellStart"/>
      <w:r>
        <w:t>LoganAI</w:t>
      </w:r>
      <w:proofErr w:type="spellEnd"/>
      <w:r>
        <w:t xml:space="preserve"> is not the RFP’s agentic incident commander.</w:t>
      </w:r>
    </w:p>
    <w:p w14:paraId="7DE929B5" w14:textId="77777777" w:rsidR="00743633" w:rsidRDefault="00000000">
      <w:pPr>
        <w:pStyle w:val="Smallbullet"/>
      </w:pPr>
      <w:r>
        <w:t>OCI APM supplies application traces, service topology, browser monitoring and synthetic monitoring for priority digital services.</w:t>
      </w:r>
    </w:p>
    <w:p w14:paraId="74F20301" w14:textId="77777777" w:rsidR="00743633" w:rsidRDefault="00000000">
      <w:pPr>
        <w:pStyle w:val="Smallbullet"/>
      </w:pPr>
      <w:r>
        <w:t>OCI Management Agent / Gateway supplies supported hybrid collection for services that require it.</w:t>
      </w:r>
    </w:p>
    <w:p w14:paraId="036A401E" w14:textId="77777777" w:rsidR="00743633" w:rsidRDefault="00000000">
      <w:pPr>
        <w:pStyle w:val="Smallbullet"/>
      </w:pPr>
      <w:r>
        <w:t>OCI Database Management and Operations Insights are conditional database-team services for monitoring, performance, fleet capacity and SQL insights across supported database resources.</w:t>
      </w:r>
    </w:p>
    <w:p w14:paraId="1E2A7107" w14:textId="77777777" w:rsidR="00743633" w:rsidRDefault="00000000">
      <w:pPr>
        <w:pStyle w:val="Smallbullet"/>
      </w:pPr>
      <w:r>
        <w:t>OCI Notifications and Events support governed alarm distribution and event-driven integration. They do not replace the ServiceNow incident process.</w:t>
      </w:r>
    </w:p>
    <w:p w14:paraId="5D3EE0E0" w14:textId="77777777" w:rsidR="00743633" w:rsidRDefault="00000000">
      <w:r>
        <w:t>Material OCI alarms, anomalies and evidence links are normalized into UA for cross-domain correlation and service/customer impact. UA then uses its licensed native ServiceNow Adapter directly; Oracle Integration/OIC is not part of the ticket path.</w:t>
      </w:r>
    </w:p>
    <w:p w14:paraId="5045C837" w14:textId="77777777" w:rsidR="00D354EE" w:rsidRDefault="00D354EE" w:rsidP="00D354EE">
      <w:pPr>
        <w:tabs>
          <w:tab w:val="left" w:pos="4339"/>
        </w:tabs>
      </w:pPr>
      <w:r>
        <w:tab/>
      </w:r>
    </w:p>
    <w:p w14:paraId="201ED3D4" w14:textId="77777777" w:rsidR="00D354EE" w:rsidRPr="00D354EE" w:rsidRDefault="00D354EE" w:rsidP="00D354EE">
      <w:pPr>
        <w:tabs>
          <w:tab w:val="left" w:pos="4339"/>
        </w:tabs>
      </w:pPr>
    </w:p>
    <w:p w14:paraId="59B12A6E" w14:textId="77777777" w:rsidR="00743633" w:rsidRDefault="00000000">
      <w:pPr>
        <w:pStyle w:val="Heading1"/>
      </w:pPr>
      <w:r>
        <w:lastRenderedPageBreak/>
        <w:t>2. OCI service architecture fit</w:t>
      </w:r>
    </w:p>
    <w:p w14:paraId="7CB5A38F" w14:textId="77777777" w:rsidR="00D354EE" w:rsidRDefault="00D354EE" w:rsidP="00D354EE">
      <w:r w:rsidRPr="00D354EE">
        <w:rPr>
          <w:noProof/>
        </w:rPr>
        <w:drawing>
          <wp:inline distT="0" distB="0" distL="0" distR="0" wp14:anchorId="5CDC87C6" wp14:editId="2180FB3F">
            <wp:extent cx="6400800" cy="3600450"/>
            <wp:effectExtent l="0" t="0" r="0" b="6350"/>
            <wp:docPr id="5376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34841" name=""/>
                    <pic:cNvPicPr/>
                  </pic:nvPicPr>
                  <pic:blipFill>
                    <a:blip r:embed="rId18"/>
                    <a:stretch>
                      <a:fillRect/>
                    </a:stretch>
                  </pic:blipFill>
                  <pic:spPr>
                    <a:xfrm>
                      <a:off x="0" y="0"/>
                      <a:ext cx="6400800" cy="3600450"/>
                    </a:xfrm>
                    <a:prstGeom prst="rect">
                      <a:avLst/>
                    </a:prstGeom>
                  </pic:spPr>
                </pic:pic>
              </a:graphicData>
            </a:graphic>
          </wp:inline>
        </w:drawing>
      </w:r>
    </w:p>
    <w:p w14:paraId="43A68031" w14:textId="009B6DD5" w:rsidR="003D719D" w:rsidRPr="00D354EE" w:rsidRDefault="003D719D" w:rsidP="00D354EE">
      <w:r>
        <w:t>High Level view</w:t>
      </w:r>
    </w:p>
    <w:p w14:paraId="5F50B0D7" w14:textId="77777777" w:rsidR="00743633" w:rsidRDefault="00000000">
      <w:pPr>
        <w:jc w:val="center"/>
      </w:pPr>
      <w:r>
        <w:rPr>
          <w:noProof/>
        </w:rPr>
        <w:drawing>
          <wp:inline distT="0" distB="0" distL="0" distR="0" wp14:anchorId="1E846FEB" wp14:editId="59C639E0">
            <wp:extent cx="6217920" cy="3497580"/>
            <wp:effectExtent l="0" t="0" r="0" b="0"/>
            <wp:docPr id="30" name="Picture 30" descr="Detailed architecture showing OPCO sources, Unified Assurance, OCI Observability evidence, OCI Generative AI Agents and Responses API, API Gateway and Functions tool façade, native ServiceNow adapter, approved customer APIs, and human approval boundaries." title="AXIAN detailed observability, GenAI and A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6217920" cy="3497580"/>
                    </a:xfrm>
                    <a:prstGeom prst="rect">
                      <a:avLst/>
                    </a:prstGeom>
                  </pic:spPr>
                </pic:pic>
              </a:graphicData>
            </a:graphic>
          </wp:inline>
        </w:drawing>
      </w:r>
    </w:p>
    <w:p w14:paraId="25C04516" w14:textId="08C317AF" w:rsidR="003D719D" w:rsidRDefault="003D719D" w:rsidP="003D719D">
      <w:r>
        <w:t>OCI Observability products view</w:t>
      </w:r>
    </w:p>
    <w:p w14:paraId="359D06BE" w14:textId="77777777" w:rsidR="00743633" w:rsidRDefault="00000000">
      <w:pPr>
        <w:pStyle w:val="Caption"/>
        <w:jc w:val="center"/>
      </w:pPr>
      <w:r>
        <w:lastRenderedPageBreak/>
        <w:t>Figure 1. Target observability architecture and governed communication flows. Solid lines carry telemetry, context or ticket data; dashed red lines represent governed proposals or approved product actions.</w:t>
      </w:r>
    </w:p>
    <w:p w14:paraId="64186A4F" w14:textId="77777777" w:rsidR="00512A22" w:rsidRDefault="00000000">
      <w:pPr>
        <w:pStyle w:val="Heading2"/>
      </w:pPr>
      <w:r>
        <w:t>GenAI and API communication path</w:t>
      </w:r>
    </w:p>
    <w:p w14:paraId="17B336E3" w14:textId="77777777" w:rsidR="00512A22" w:rsidRDefault="00000000">
      <w:pPr>
        <w:jc w:val="both"/>
      </w:pPr>
      <w:r>
        <w:t xml:space="preserve">The dedicated coordinator calls OCI Generative AI through the Responses API. Supported Function Calling or MCP Calling selects an allowlisted tool, while API Gateway and Functions authenticate, authorize, validate, redact, rate-limit and execute the approved UA REST, OCI SDK/REST, OEM/vendor, ServiceNow/CMDB read or </w:t>
      </w:r>
      <w:proofErr w:type="spellStart"/>
      <w:r>
        <w:t>Axian</w:t>
      </w:r>
      <w:proofErr w:type="spellEnd"/>
      <w:r>
        <w:t>/third-party API call. Results return with source provenance. The native Unified Assurance ServiceNow Adapter remains the only ticket create/update/close path; production mutations are disabled by default and require approval, pre-check, post-check, rollback and audit evidence.</w:t>
      </w:r>
    </w:p>
    <w:tbl>
      <w:tblPr>
        <w:tblStyle w:val="ListTable3"/>
        <w:tblW w:w="0" w:type="auto"/>
        <w:tblLook w:val="04A0" w:firstRow="1" w:lastRow="0" w:firstColumn="1" w:lastColumn="0" w:noHBand="0" w:noVBand="1"/>
      </w:tblPr>
      <w:tblGrid>
        <w:gridCol w:w="2160"/>
        <w:gridCol w:w="2766"/>
        <w:gridCol w:w="2383"/>
        <w:gridCol w:w="2160"/>
      </w:tblGrid>
      <w:tr w:rsidR="00743633" w14:paraId="32563F56"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160" w:type="dxa"/>
            <w:vAlign w:val="center"/>
          </w:tcPr>
          <w:p w14:paraId="514D624E" w14:textId="77777777" w:rsidR="00743633" w:rsidRDefault="00000000">
            <w:r>
              <w:t>OCI service</w:t>
            </w:r>
          </w:p>
        </w:tc>
        <w:tc>
          <w:tcPr>
            <w:tcW w:w="2160" w:type="dxa"/>
            <w:vAlign w:val="center"/>
          </w:tcPr>
          <w:p w14:paraId="20C11AE3" w14:textId="77777777" w:rsidR="00743633" w:rsidRDefault="00000000">
            <w:pPr>
              <w:cnfStyle w:val="100000000000" w:firstRow="1" w:lastRow="0" w:firstColumn="0" w:lastColumn="0" w:oddVBand="0" w:evenVBand="0" w:oddHBand="0" w:evenHBand="0" w:firstRowFirstColumn="0" w:firstRowLastColumn="0" w:lastRowFirstColumn="0" w:lastRowLastColumn="0"/>
            </w:pPr>
            <w:r>
              <w:t>RFP fit</w:t>
            </w:r>
          </w:p>
        </w:tc>
        <w:tc>
          <w:tcPr>
            <w:tcW w:w="2160" w:type="dxa"/>
            <w:vAlign w:val="center"/>
          </w:tcPr>
          <w:p w14:paraId="2B31340F" w14:textId="77777777" w:rsidR="00743633" w:rsidRDefault="00000000">
            <w:pPr>
              <w:cnfStyle w:val="100000000000" w:firstRow="1" w:lastRow="0" w:firstColumn="0" w:lastColumn="0" w:oddVBand="0" w:evenVBand="0" w:oddHBand="0" w:evenHBand="0" w:firstRowFirstColumn="0" w:firstRowLastColumn="0" w:lastRowFirstColumn="0" w:lastRowLastColumn="0"/>
            </w:pPr>
            <w:r>
              <w:t>Architecture role</w:t>
            </w:r>
          </w:p>
        </w:tc>
        <w:tc>
          <w:tcPr>
            <w:tcW w:w="2160" w:type="dxa"/>
            <w:vAlign w:val="center"/>
          </w:tcPr>
          <w:p w14:paraId="19A6E2C4" w14:textId="77777777" w:rsidR="00743633" w:rsidRDefault="00000000">
            <w:pPr>
              <w:cnfStyle w:val="100000000000" w:firstRow="1" w:lastRow="0" w:firstColumn="0" w:lastColumn="0" w:oddVBand="0" w:evenVBand="0" w:oddHBand="0" w:evenHBand="0" w:firstRowFirstColumn="0" w:firstRowLastColumn="0" w:lastRowFirstColumn="0" w:lastRowLastColumn="0"/>
            </w:pPr>
            <w:r>
              <w:t>Adoption and owner</w:t>
            </w:r>
          </w:p>
        </w:tc>
      </w:tr>
      <w:tr w:rsidR="00743633" w14:paraId="37B10DAA"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C8A0AF" w14:textId="77777777" w:rsidR="00743633" w:rsidRDefault="00000000">
            <w:r>
              <w:t>OCI Monitoring</w:t>
            </w:r>
          </w:p>
        </w:tc>
        <w:tc>
          <w:tcPr>
            <w:tcW w:w="2160" w:type="dxa"/>
            <w:vAlign w:val="center"/>
          </w:tcPr>
          <w:p w14:paraId="78C91643" w14:textId="77777777" w:rsidR="00743633" w:rsidRDefault="00000000">
            <w:pPr>
              <w:cnfStyle w:val="000000100000" w:firstRow="0" w:lastRow="0" w:firstColumn="0" w:lastColumn="0" w:oddVBand="0" w:evenVBand="0" w:oddHBand="1" w:evenHBand="0" w:firstRowFirstColumn="0" w:firstRowLastColumn="0" w:lastRowFirstColumn="0" w:lastRowLastColumn="0"/>
            </w:pPr>
            <w:r>
              <w:t>Infrastructure monitoring; threshold alerts; platform self-monitoring; capacity/backlog alarms</w:t>
            </w:r>
          </w:p>
        </w:tc>
        <w:tc>
          <w:tcPr>
            <w:tcW w:w="2160" w:type="dxa"/>
            <w:vAlign w:val="center"/>
          </w:tcPr>
          <w:p w14:paraId="55680D7D" w14:textId="77777777" w:rsidR="00743633" w:rsidRDefault="00000000">
            <w:pPr>
              <w:cnfStyle w:val="000000100000" w:firstRow="0" w:lastRow="0" w:firstColumn="0" w:lastColumn="0" w:oddVBand="0" w:evenVBand="0" w:oddHBand="1" w:evenHBand="0" w:firstRowFirstColumn="0" w:firstRowLastColumn="0" w:lastRowFirstColumn="0" w:lastRowLastColumn="0"/>
            </w:pPr>
            <w:r>
              <w:t>Independent monitoring of OCI resources, custom integration-pipeline metrics, alarms and service-health indicators. Material alarms flow to UA.</w:t>
            </w:r>
          </w:p>
        </w:tc>
        <w:tc>
          <w:tcPr>
            <w:tcW w:w="2160" w:type="dxa"/>
            <w:vAlign w:val="center"/>
          </w:tcPr>
          <w:p w14:paraId="13DA45B6"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Observability &amp; Security owns alarm standards; each product team owns its resource thresholds and remediation.</w:t>
            </w:r>
          </w:p>
        </w:tc>
      </w:tr>
      <w:tr w:rsidR="00743633" w14:paraId="53BB1AE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E661597" w14:textId="77777777" w:rsidR="00743633" w:rsidRDefault="00000000">
            <w:r>
              <w:t>OCI Logging</w:t>
            </w:r>
          </w:p>
        </w:tc>
        <w:tc>
          <w:tcPr>
            <w:tcW w:w="2160" w:type="dxa"/>
            <w:vAlign w:val="center"/>
          </w:tcPr>
          <w:p w14:paraId="4D570BBC"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Centralized logs and secure ingestion</w:t>
            </w:r>
          </w:p>
        </w:tc>
        <w:tc>
          <w:tcPr>
            <w:tcW w:w="2160" w:type="dxa"/>
            <w:vAlign w:val="center"/>
          </w:tcPr>
          <w:p w14:paraId="1F6A08E2"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 OCI service/custom logging source; forwards selected data through Connector Hub.</w:t>
            </w:r>
          </w:p>
        </w:tc>
        <w:tc>
          <w:tcPr>
            <w:tcW w:w="2160" w:type="dxa"/>
            <w:vAlign w:val="center"/>
          </w:tcPr>
          <w:p w14:paraId="41E39AEC"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Observability &amp; Security owns log groups, retention and routing; product teams own application log quality.</w:t>
            </w:r>
          </w:p>
        </w:tc>
      </w:tr>
      <w:tr w:rsidR="00743633" w14:paraId="7AC82C6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03576C" w14:textId="77777777" w:rsidR="00743633" w:rsidRDefault="00000000">
            <w:r>
              <w:t>Connector Hub</w:t>
            </w:r>
          </w:p>
        </w:tc>
        <w:tc>
          <w:tcPr>
            <w:tcW w:w="2160" w:type="dxa"/>
            <w:vAlign w:val="center"/>
          </w:tcPr>
          <w:p w14:paraId="373DA5B9"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 ingestion, routing, archive and integration</w:t>
            </w:r>
          </w:p>
        </w:tc>
        <w:tc>
          <w:tcPr>
            <w:tcW w:w="2160" w:type="dxa"/>
            <w:vAlign w:val="center"/>
          </w:tcPr>
          <w:p w14:paraId="530B7BBA" w14:textId="77777777" w:rsidR="00743633" w:rsidRDefault="00000000">
            <w:pPr>
              <w:cnfStyle w:val="000000100000" w:firstRow="0" w:lastRow="0" w:firstColumn="0" w:lastColumn="0" w:oddVBand="0" w:evenVBand="0" w:oddHBand="1" w:evenHBand="0" w:firstRowFirstColumn="0" w:firstRowLastColumn="0" w:lastRowFirstColumn="0" w:lastRowLastColumn="0"/>
            </w:pPr>
            <w:r>
              <w:t>Managed routing between supported logs/metrics/streams and Log Analytics, Object Storage, Streaming, Notifications or Functions.</w:t>
            </w:r>
          </w:p>
        </w:tc>
        <w:tc>
          <w:tcPr>
            <w:tcW w:w="2160" w:type="dxa"/>
            <w:vAlign w:val="center"/>
          </w:tcPr>
          <w:p w14:paraId="7A968062"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Delivery semantics, duplicate handling and route health are acceptance items.</w:t>
            </w:r>
          </w:p>
        </w:tc>
      </w:tr>
      <w:tr w:rsidR="00743633" w14:paraId="0F687606"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C5D6953" w14:textId="77777777" w:rsidR="00743633" w:rsidRDefault="00000000">
            <w:r>
              <w:t>OCI Log Analytics</w:t>
            </w:r>
          </w:p>
        </w:tc>
        <w:tc>
          <w:tcPr>
            <w:tcW w:w="2160" w:type="dxa"/>
            <w:vAlign w:val="center"/>
          </w:tcPr>
          <w:p w14:paraId="569E8E9C" w14:textId="77777777" w:rsidR="00743633" w:rsidRDefault="00000000">
            <w:pPr>
              <w:cnfStyle w:val="000000000000" w:firstRow="0" w:lastRow="0" w:firstColumn="0" w:lastColumn="0" w:oddVBand="0" w:evenVBand="0" w:oddHBand="0" w:evenHBand="0" w:firstRowFirstColumn="0" w:firstRowLastColumn="0" w:lastRowFirstColumn="0" w:lastRowLastColumn="0"/>
            </w:pPr>
            <w:r>
              <w:t>Central log analysis, dashboards, anomaly investigation and hybrid collection</w:t>
            </w:r>
          </w:p>
        </w:tc>
        <w:tc>
          <w:tcPr>
            <w:tcW w:w="2160" w:type="dxa"/>
            <w:vAlign w:val="center"/>
          </w:tcPr>
          <w:p w14:paraId="1BD1E172" w14:textId="77777777" w:rsidR="00743633" w:rsidRDefault="00000000">
            <w:pPr>
              <w:cnfStyle w:val="000000000000" w:firstRow="0" w:lastRow="0" w:firstColumn="0" w:lastColumn="0" w:oddVBand="0" w:evenVBand="0" w:oddHBand="0" w:evenHBand="0" w:firstRowFirstColumn="0" w:firstRowLastColumn="0" w:lastRowFirstColumn="0" w:lastRowLastColumn="0"/>
            </w:pPr>
            <w:r>
              <w:t>Parses, enriches, clusters and investigates selected OCI/on-premises logs; evidence links are attached to correlated UA incidents.</w:t>
            </w:r>
          </w:p>
        </w:tc>
        <w:tc>
          <w:tcPr>
            <w:tcW w:w="2160" w:type="dxa"/>
            <w:vAlign w:val="center"/>
          </w:tcPr>
          <w:p w14:paraId="5DC2A608"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for selected logs. Data volume, retention, residency and parsers are sized during discovery.</w:t>
            </w:r>
          </w:p>
        </w:tc>
      </w:tr>
      <w:tr w:rsidR="00743633" w14:paraId="61D55DC6"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58473FC" w14:textId="77777777" w:rsidR="00743633" w:rsidRDefault="00000000">
            <w:r>
              <w:t>Log Analytics Kubernetes Monitoring Solution</w:t>
            </w:r>
          </w:p>
        </w:tc>
        <w:tc>
          <w:tcPr>
            <w:tcW w:w="2160" w:type="dxa"/>
            <w:vAlign w:val="center"/>
          </w:tcPr>
          <w:p w14:paraId="3562600B" w14:textId="77777777" w:rsidR="00743633" w:rsidRDefault="00000000">
            <w:pPr>
              <w:cnfStyle w:val="000000100000" w:firstRow="0" w:lastRow="0" w:firstColumn="0" w:lastColumn="0" w:oddVBand="0" w:evenVBand="0" w:oddHBand="1" w:evenHBand="0" w:firstRowFirstColumn="0" w:firstRowLastColumn="0" w:lastRowFirstColumn="0" w:lastRowLastColumn="0"/>
            </w:pPr>
            <w:r>
              <w:t>Cloud/container monitoring, OKE topology and workload investigation</w:t>
            </w:r>
          </w:p>
        </w:tc>
        <w:tc>
          <w:tcPr>
            <w:tcW w:w="2160" w:type="dxa"/>
            <w:vAlign w:val="center"/>
          </w:tcPr>
          <w:p w14:paraId="1A0B4324" w14:textId="77777777" w:rsidR="00743633" w:rsidRDefault="00000000">
            <w:pPr>
              <w:cnfStyle w:val="000000100000" w:firstRow="0" w:lastRow="0" w:firstColumn="0" w:lastColumn="0" w:oddVBand="0" w:evenVBand="0" w:oddHBand="1" w:evenHBand="0" w:firstRowFirstColumn="0" w:firstRowLastColumn="0" w:lastRowFirstColumn="0" w:lastRowLastColumn="0"/>
            </w:pPr>
            <w:r>
              <w:t>Collects Kubernetes logs, metrics and object state for supported OKE versions and provides cluster, workload, node and pod views.</w:t>
            </w:r>
          </w:p>
        </w:tc>
        <w:tc>
          <w:tcPr>
            <w:tcW w:w="2160" w:type="dxa"/>
            <w:vAlign w:val="center"/>
          </w:tcPr>
          <w:p w14:paraId="3D1B77F2" w14:textId="77777777" w:rsidR="00743633" w:rsidRDefault="00000000">
            <w:pPr>
              <w:cnfStyle w:val="000000100000" w:firstRow="0" w:lastRow="0" w:firstColumn="0" w:lastColumn="0" w:oddVBand="0" w:evenVBand="0" w:oddHBand="1" w:evenHBand="0" w:firstRowFirstColumn="0" w:firstRowLastColumn="0" w:lastRowFirstColumn="0" w:lastRowLastColumn="0"/>
            </w:pPr>
            <w:r>
              <w:t>Proposed baseline for OKE. Platform team approves cluster access; Observability &amp; Security owns the monitoring solution. Private clusters use the documented manual deployment path.</w:t>
            </w:r>
          </w:p>
        </w:tc>
      </w:tr>
      <w:tr w:rsidR="00743633" w14:paraId="63FE7557"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17B4D1F" w14:textId="77777777" w:rsidR="00743633" w:rsidRDefault="00000000">
            <w:proofErr w:type="spellStart"/>
            <w:r>
              <w:lastRenderedPageBreak/>
              <w:t>LoganAI</w:t>
            </w:r>
            <w:proofErr w:type="spellEnd"/>
          </w:p>
        </w:tc>
        <w:tc>
          <w:tcPr>
            <w:tcW w:w="2160" w:type="dxa"/>
            <w:vAlign w:val="center"/>
          </w:tcPr>
          <w:p w14:paraId="024A7016" w14:textId="77777777" w:rsidR="00743633" w:rsidRDefault="00000000">
            <w:pPr>
              <w:cnfStyle w:val="000000000000" w:firstRow="0" w:lastRow="0" w:firstColumn="0" w:lastColumn="0" w:oddVBand="0" w:evenVBand="0" w:oddHBand="0" w:evenHBand="0" w:firstRowFirstColumn="0" w:firstRowLastColumn="0" w:lastRowFirstColumn="0" w:lastRowLastColumn="0"/>
            </w:pPr>
            <w:r>
              <w:t>AI-assisted analysis and operator productivity</w:t>
            </w:r>
          </w:p>
        </w:tc>
        <w:tc>
          <w:tcPr>
            <w:tcW w:w="2160" w:type="dxa"/>
            <w:vAlign w:val="center"/>
          </w:tcPr>
          <w:p w14:paraId="7CBABCF4" w14:textId="77777777" w:rsidR="00743633" w:rsidRDefault="00000000">
            <w:pPr>
              <w:cnfStyle w:val="000000000000" w:firstRow="0" w:lastRow="0" w:firstColumn="0" w:lastColumn="0" w:oddVBand="0" w:evenVBand="0" w:oddHBand="0" w:evenHBand="0" w:firstRowFirstColumn="0" w:firstRowLastColumn="0" w:lastRowFirstColumn="0" w:lastRowLastColumn="0"/>
            </w:pPr>
            <w:r>
              <w:t>Explains/summarizes individual logs, multiple logs, clusters and charts, suggests follow-up questions, and can mix selected OCI Monitoring metrics with logs for analysis.</w:t>
            </w:r>
          </w:p>
        </w:tc>
        <w:tc>
          <w:tcPr>
            <w:tcW w:w="2160" w:type="dxa"/>
            <w:vAlign w:val="center"/>
          </w:tcPr>
          <w:p w14:paraId="22EFC8FE" w14:textId="77777777" w:rsidR="00743633" w:rsidRDefault="00000000">
            <w:pPr>
              <w:cnfStyle w:val="000000000000" w:firstRow="0" w:lastRow="0" w:firstColumn="0" w:lastColumn="0" w:oddVBand="0" w:evenVBand="0" w:oddHBand="0" w:evenHBand="0" w:firstRowFirstColumn="0" w:firstRowLastColumn="0" w:lastRowFirstColumn="0" w:lastRowLastColumn="0"/>
            </w:pPr>
            <w:r>
              <w:t>Conditional after realm/region, IAM, licensing, cost and residency review. Human validation required.</w:t>
            </w:r>
          </w:p>
        </w:tc>
      </w:tr>
      <w:tr w:rsidR="00512A22" w14:paraId="76A829C7" w14:textId="77777777" w:rsidTr="00512A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3E865DF" w14:textId="77777777" w:rsidR="00512A22" w:rsidRDefault="00000000">
            <w:r>
              <w:rPr>
                <w:rFonts w:ascii="Aptos" w:hAnsi="Aptos"/>
                <w:sz w:val="17"/>
              </w:rPr>
              <w:t>OCI Generative AI Agents / Responses API</w:t>
            </w:r>
          </w:p>
        </w:tc>
        <w:tc>
          <w:tcPr>
            <w:tcW w:w="2766" w:type="dxa"/>
            <w:vAlign w:val="center"/>
          </w:tcPr>
          <w:p w14:paraId="7598D8A0"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Agentic incident coordination, structured reasoning, evidence synthesis and governed tool use</w:t>
            </w:r>
          </w:p>
        </w:tc>
        <w:tc>
          <w:tcPr>
            <w:tcW w:w="2383" w:type="dxa"/>
            <w:vAlign w:val="center"/>
          </w:tcPr>
          <w:p w14:paraId="03BB704F"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Uses the OCI Responses API for structured outputs, conversation state and supported tools. Function/MCP calls reach only allowlisted tools; File Search/vector stores support governed RAG.</w:t>
            </w:r>
          </w:p>
        </w:tc>
        <w:tc>
          <w:tcPr>
            <w:tcW w:w="2160" w:type="dxa"/>
            <w:vAlign w:val="center"/>
          </w:tcPr>
          <w:p w14:paraId="48D035AE"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Partial/custom. OCI AI Team (Alex Negrea) with Observability &amp; Security. Region/model, IAM, retention, evaluation and residency must be accepted.</w:t>
            </w:r>
          </w:p>
        </w:tc>
      </w:tr>
      <w:tr w:rsidR="00512A22" w14:paraId="373D8D94" w14:textId="77777777" w:rsidTr="00512A22">
        <w:trPr>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C57A1C5" w14:textId="77777777" w:rsidR="00512A22" w:rsidRDefault="00000000">
            <w:r>
              <w:rPr>
                <w:rFonts w:ascii="Aptos" w:hAnsi="Aptos"/>
                <w:sz w:val="17"/>
              </w:rPr>
              <w:t>OCI API Gateway</w:t>
            </w:r>
          </w:p>
        </w:tc>
        <w:tc>
          <w:tcPr>
            <w:tcW w:w="2766" w:type="dxa"/>
            <w:vAlign w:val="center"/>
          </w:tcPr>
          <w:p w14:paraId="38E5BA64"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Governed API façade for agent tools and customer integrations</w:t>
            </w:r>
          </w:p>
        </w:tc>
        <w:tc>
          <w:tcPr>
            <w:tcW w:w="2383" w:type="dxa"/>
            <w:vAlign w:val="center"/>
          </w:tcPr>
          <w:p w14:paraId="602C4E2A"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 xml:space="preserve">Authenticates, authorizes, validates, transforms and rate-limits calls to UA REST, OCI service, OEM/vendor, ServiceNow/CMDB read and approved </w:t>
            </w:r>
            <w:proofErr w:type="spellStart"/>
            <w:r>
              <w:rPr>
                <w:rFonts w:ascii="Aptos" w:hAnsi="Aptos"/>
                <w:sz w:val="17"/>
              </w:rPr>
              <w:t>Axian</w:t>
            </w:r>
            <w:proofErr w:type="spellEnd"/>
            <w:r>
              <w:rPr>
                <w:rFonts w:ascii="Aptos" w:hAnsi="Aptos"/>
                <w:sz w:val="17"/>
              </w:rPr>
              <w:t>/third-party APIs.</w:t>
            </w:r>
          </w:p>
        </w:tc>
        <w:tc>
          <w:tcPr>
            <w:tcW w:w="2160" w:type="dxa"/>
            <w:vAlign w:val="center"/>
          </w:tcPr>
          <w:p w14:paraId="1EBF982C" w14:textId="77777777" w:rsidR="00512A22"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7"/>
              </w:rPr>
              <w:t>Baseline for the custom API tool plane when multiple APIs are exposed. Security controls endpoints; each product team owns its API contract.</w:t>
            </w:r>
          </w:p>
        </w:tc>
      </w:tr>
      <w:tr w:rsidR="00512A22" w14:paraId="2BFA999E" w14:textId="77777777" w:rsidTr="00512A2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F6D2614" w14:textId="77777777" w:rsidR="00512A22" w:rsidRDefault="00000000">
            <w:r>
              <w:rPr>
                <w:rFonts w:ascii="Aptos" w:hAnsi="Aptos"/>
                <w:sz w:val="17"/>
              </w:rPr>
              <w:t>OCI Functions</w:t>
            </w:r>
          </w:p>
        </w:tc>
        <w:tc>
          <w:tcPr>
            <w:tcW w:w="2766" w:type="dxa"/>
            <w:vAlign w:val="center"/>
          </w:tcPr>
          <w:p w14:paraId="295AB9C3"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Bounded API adapters and tool execution</w:t>
            </w:r>
          </w:p>
        </w:tc>
        <w:tc>
          <w:tcPr>
            <w:tcW w:w="2383" w:type="dxa"/>
            <w:vAlign w:val="center"/>
          </w:tcPr>
          <w:p w14:paraId="18954848"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Validates schemas, redacts protected data, propagates correlation IDs and performs IAM-signed calls. Read-only is default; mutations require approval, pre/post-check and rollback.</w:t>
            </w:r>
          </w:p>
        </w:tc>
        <w:tc>
          <w:tcPr>
            <w:tcW w:w="2160" w:type="dxa"/>
            <w:vAlign w:val="center"/>
          </w:tcPr>
          <w:p w14:paraId="3202AED9" w14:textId="77777777" w:rsidR="00512A22"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7"/>
              </w:rPr>
              <w:t>Partial/custom development by CSS or qualified partner with the relevant product team and Observability &amp; Security acceptance.</w:t>
            </w:r>
          </w:p>
        </w:tc>
      </w:tr>
      <w:tr w:rsidR="00743633" w14:paraId="7CCB281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7E4139F" w14:textId="77777777" w:rsidR="00743633" w:rsidRDefault="00000000">
            <w:r>
              <w:t>OCI APM</w:t>
            </w:r>
          </w:p>
        </w:tc>
        <w:tc>
          <w:tcPr>
            <w:tcW w:w="2160" w:type="dxa"/>
            <w:vAlign w:val="center"/>
          </w:tcPr>
          <w:p w14:paraId="13D190B5" w14:textId="77777777" w:rsidR="00743633" w:rsidRDefault="00000000">
            <w:pPr>
              <w:cnfStyle w:val="000000000000" w:firstRow="0" w:lastRow="0" w:firstColumn="0" w:lastColumn="0" w:oddVBand="0" w:evenVBand="0" w:oddHBand="0" w:evenHBand="0" w:firstRowFirstColumn="0" w:firstRowLastColumn="0" w:lastRowFirstColumn="0" w:lastRowLastColumn="0"/>
            </w:pPr>
            <w:r>
              <w:t>Application/API/microservice monitoring, traces, topology and synthetics</w:t>
            </w:r>
          </w:p>
        </w:tc>
        <w:tc>
          <w:tcPr>
            <w:tcW w:w="2160" w:type="dxa"/>
            <w:vAlign w:val="center"/>
          </w:tcPr>
          <w:p w14:paraId="69A93057"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Collects application traces and </w:t>
            </w:r>
            <w:proofErr w:type="spellStart"/>
            <w:r>
              <w:t>OpenTelemetry</w:t>
            </w:r>
            <w:proofErr w:type="spellEnd"/>
            <w:r>
              <w:t xml:space="preserve">, maps service </w:t>
            </w:r>
            <w:proofErr w:type="gramStart"/>
            <w:r>
              <w:t>dependencies, and</w:t>
            </w:r>
            <w:proofErr w:type="gramEnd"/>
            <w:r>
              <w:t xml:space="preserve"> runs synthetic tests for priority journeys. Signals are correlated in UA.</w:t>
            </w:r>
          </w:p>
        </w:tc>
        <w:tc>
          <w:tcPr>
            <w:tcW w:w="2160" w:type="dxa"/>
            <w:vAlign w:val="center"/>
          </w:tcPr>
          <w:p w14:paraId="1AB0697A"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Baseline for priority applications. Application </w:t>
            </w:r>
            <w:proofErr w:type="gramStart"/>
            <w:r>
              <w:t>teams</w:t>
            </w:r>
            <w:proofErr w:type="gramEnd"/>
            <w:r>
              <w:t xml:space="preserve"> own instrumentation, service IDs and SLOs.</w:t>
            </w:r>
          </w:p>
        </w:tc>
      </w:tr>
      <w:tr w:rsidR="00743633" w14:paraId="1A32CBF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CCD73D" w14:textId="77777777" w:rsidR="00743633" w:rsidRDefault="00000000">
            <w:r>
              <w:t>OCI Management Agent / Gateway</w:t>
            </w:r>
          </w:p>
        </w:tc>
        <w:tc>
          <w:tcPr>
            <w:tcW w:w="2160" w:type="dxa"/>
            <w:vAlign w:val="center"/>
          </w:tcPr>
          <w:p w14:paraId="056A0885" w14:textId="77777777" w:rsidR="00743633" w:rsidRDefault="00000000">
            <w:pPr>
              <w:cnfStyle w:val="000000100000" w:firstRow="0" w:lastRow="0" w:firstColumn="0" w:lastColumn="0" w:oddVBand="0" w:evenVBand="0" w:oddHBand="1" w:evenHBand="0" w:firstRowFirstColumn="0" w:firstRowLastColumn="0" w:lastRowFirstColumn="0" w:lastRowLastColumn="0"/>
            </w:pPr>
            <w:r>
              <w:t>Secure hybrid collection</w:t>
            </w:r>
          </w:p>
        </w:tc>
        <w:tc>
          <w:tcPr>
            <w:tcW w:w="2160" w:type="dxa"/>
            <w:vAlign w:val="center"/>
          </w:tcPr>
          <w:p w14:paraId="4FD5831F" w14:textId="77777777" w:rsidR="00743633" w:rsidRDefault="00000000">
            <w:pPr>
              <w:cnfStyle w:val="000000100000" w:firstRow="0" w:lastRow="0" w:firstColumn="0" w:lastColumn="0" w:oddVBand="0" w:evenVBand="0" w:oddHBand="1" w:evenHBand="0" w:firstRowFirstColumn="0" w:firstRowLastColumn="0" w:lastRowFirstColumn="0" w:lastRowLastColumn="0"/>
            </w:pPr>
            <w:r>
              <w:t>Supported collection and communication path between OCI O&amp;M services and selected cloud/on-premises targets.</w:t>
            </w:r>
          </w:p>
        </w:tc>
        <w:tc>
          <w:tcPr>
            <w:tcW w:w="2160" w:type="dxa"/>
            <w:vAlign w:val="center"/>
          </w:tcPr>
          <w:p w14:paraId="4D142DED"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where required. Observability &amp; Security owns deployment standards; target/product teams approve access. Distinct from the OEM Management Agent.</w:t>
            </w:r>
          </w:p>
        </w:tc>
      </w:tr>
      <w:tr w:rsidR="00743633" w14:paraId="1C0701E8"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9C8A285" w14:textId="77777777" w:rsidR="00743633" w:rsidRDefault="00000000">
            <w:r>
              <w:t>OCI Database Management</w:t>
            </w:r>
          </w:p>
        </w:tc>
        <w:tc>
          <w:tcPr>
            <w:tcW w:w="2160" w:type="dxa"/>
            <w:vAlign w:val="center"/>
          </w:tcPr>
          <w:p w14:paraId="110F9A97" w14:textId="77777777" w:rsidR="00743633" w:rsidRDefault="00000000">
            <w:pPr>
              <w:cnfStyle w:val="000000000000" w:firstRow="0" w:lastRow="0" w:firstColumn="0" w:lastColumn="0" w:oddVBand="0" w:evenVBand="0" w:oddHBand="0" w:evenHBand="0" w:firstRowFirstColumn="0" w:firstRowLastColumn="0" w:lastRowFirstColumn="0" w:lastRowLastColumn="0"/>
            </w:pPr>
            <w:r>
              <w:t>Database monitoring, performance and fleet administration</w:t>
            </w:r>
          </w:p>
        </w:tc>
        <w:tc>
          <w:tcPr>
            <w:tcW w:w="2160" w:type="dxa"/>
            <w:vAlign w:val="center"/>
          </w:tcPr>
          <w:p w14:paraId="1EAA5744"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Unified monitoring/performance console for supported OCI, external and Exadata database </w:t>
            </w:r>
            <w:r>
              <w:lastRenderedPageBreak/>
              <w:t>resources; approved alarms/metrics can contribute to UA incidents.</w:t>
            </w:r>
          </w:p>
        </w:tc>
        <w:tc>
          <w:tcPr>
            <w:tcW w:w="2160" w:type="dxa"/>
            <w:vAlign w:val="center"/>
          </w:tcPr>
          <w:p w14:paraId="07E29F54"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Conditional. Database team owns onboarding, credentials, privileges, </w:t>
            </w:r>
            <w:r>
              <w:lastRenderedPageBreak/>
              <w:t>administration and commercial scope.</w:t>
            </w:r>
          </w:p>
        </w:tc>
      </w:tr>
      <w:tr w:rsidR="00743633" w14:paraId="74F2D5F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3E0D116" w14:textId="77777777" w:rsidR="00743633" w:rsidRDefault="00000000">
            <w:r>
              <w:lastRenderedPageBreak/>
              <w:t>OCI Operations Insights</w:t>
            </w:r>
          </w:p>
        </w:tc>
        <w:tc>
          <w:tcPr>
            <w:tcW w:w="2160" w:type="dxa"/>
            <w:vAlign w:val="center"/>
          </w:tcPr>
          <w:p w14:paraId="72C20E7C" w14:textId="77777777" w:rsidR="00743633" w:rsidRDefault="00000000">
            <w:pPr>
              <w:cnfStyle w:val="000000100000" w:firstRow="0" w:lastRow="0" w:firstColumn="0" w:lastColumn="0" w:oddVBand="0" w:evenVBand="0" w:oddHBand="1" w:evenHBand="0" w:firstRowFirstColumn="0" w:firstRowLastColumn="0" w:lastRowFirstColumn="0" w:lastRowLastColumn="0"/>
            </w:pPr>
            <w:r>
              <w:t>Predictive capacity and performance analytics</w:t>
            </w:r>
          </w:p>
        </w:tc>
        <w:tc>
          <w:tcPr>
            <w:tcW w:w="2160" w:type="dxa"/>
            <w:vAlign w:val="center"/>
          </w:tcPr>
          <w:p w14:paraId="19B28E8E"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Database/host capacity analysis, forecasting and SQL performance insights for supported cloud-, agent- or OEM-managed resources.</w:t>
            </w:r>
          </w:p>
        </w:tc>
        <w:tc>
          <w:tcPr>
            <w:tcW w:w="2160" w:type="dxa"/>
            <w:vAlign w:val="center"/>
          </w:tcPr>
          <w:p w14:paraId="72139973" w14:textId="77777777" w:rsidR="00743633" w:rsidRDefault="00000000">
            <w:pPr>
              <w:cnfStyle w:val="000000100000" w:firstRow="0" w:lastRow="0" w:firstColumn="0" w:lastColumn="0" w:oddVBand="0" w:evenVBand="0" w:oddHBand="1" w:evenHBand="0" w:firstRowFirstColumn="0" w:firstRowLastColumn="0" w:lastRowFirstColumn="0" w:lastRowLastColumn="0"/>
            </w:pPr>
            <w:r>
              <w:t>Conditional advanced analytics. Database/OEM team owns prerequisites and validates findings before operational routing.</w:t>
            </w:r>
          </w:p>
        </w:tc>
      </w:tr>
      <w:tr w:rsidR="00743633" w14:paraId="2F49945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3089631" w14:textId="77777777" w:rsidR="00743633" w:rsidRDefault="00000000">
            <w:r>
              <w:t>Notifications and Events</w:t>
            </w:r>
          </w:p>
        </w:tc>
        <w:tc>
          <w:tcPr>
            <w:tcW w:w="2160" w:type="dxa"/>
            <w:vAlign w:val="center"/>
          </w:tcPr>
          <w:p w14:paraId="1B76A7B3" w14:textId="77777777" w:rsidR="00743633" w:rsidRDefault="00000000">
            <w:pPr>
              <w:cnfStyle w:val="000000000000" w:firstRow="0" w:lastRow="0" w:firstColumn="0" w:lastColumn="0" w:oddVBand="0" w:evenVBand="0" w:oddHBand="0" w:evenHBand="0" w:firstRowFirstColumn="0" w:firstRowLastColumn="0" w:lastRowFirstColumn="0" w:lastRowLastColumn="0"/>
            </w:pPr>
            <w:r>
              <w:t>Multi-channel alerting and event-driven integration</w:t>
            </w:r>
          </w:p>
        </w:tc>
        <w:tc>
          <w:tcPr>
            <w:tcW w:w="2160" w:type="dxa"/>
            <w:vAlign w:val="center"/>
          </w:tcPr>
          <w:p w14:paraId="320C45F6" w14:textId="77777777" w:rsidR="00743633" w:rsidRDefault="00000000">
            <w:pPr>
              <w:cnfStyle w:val="000000000000" w:firstRow="0" w:lastRow="0" w:firstColumn="0" w:lastColumn="0" w:oddVBand="0" w:evenVBand="0" w:oddHBand="0" w:evenHBand="0" w:firstRowFirstColumn="0" w:firstRowLastColumn="0" w:lastRowFirstColumn="0" w:lastRowLastColumn="0"/>
            </w:pPr>
            <w:r>
              <w:t>Distributes approved alarm notifications and resource-state events; can trigger bounded functions or automation entry points.</w:t>
            </w:r>
          </w:p>
        </w:tc>
        <w:tc>
          <w:tcPr>
            <w:tcW w:w="2160" w:type="dxa"/>
            <w:vAlign w:val="center"/>
          </w:tcPr>
          <w:p w14:paraId="1BE4B03B"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UA and ServiceNow remain the incident-policy authorities.</w:t>
            </w:r>
          </w:p>
        </w:tc>
      </w:tr>
      <w:tr w:rsidR="00743633" w14:paraId="2D7153D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CB827A" w14:textId="77777777" w:rsidR="00743633" w:rsidRDefault="00000000">
            <w:r>
              <w:t>Object Storage / Archive Storage</w:t>
            </w:r>
          </w:p>
        </w:tc>
        <w:tc>
          <w:tcPr>
            <w:tcW w:w="2160" w:type="dxa"/>
            <w:vAlign w:val="center"/>
          </w:tcPr>
          <w:p w14:paraId="7E594BBF" w14:textId="77777777" w:rsidR="00743633" w:rsidRDefault="00000000">
            <w:pPr>
              <w:cnfStyle w:val="000000100000" w:firstRow="0" w:lastRow="0" w:firstColumn="0" w:lastColumn="0" w:oddVBand="0" w:evenVBand="0" w:oddHBand="1" w:evenHBand="0" w:firstRowFirstColumn="0" w:firstRowLastColumn="0" w:lastRowFirstColumn="0" w:lastRowLastColumn="0"/>
            </w:pPr>
            <w:r>
              <w:t>Retention, evidence and replay</w:t>
            </w:r>
          </w:p>
        </w:tc>
        <w:tc>
          <w:tcPr>
            <w:tcW w:w="2160" w:type="dxa"/>
            <w:vAlign w:val="center"/>
          </w:tcPr>
          <w:p w14:paraId="42BBDEE4" w14:textId="77777777" w:rsidR="00743633" w:rsidRDefault="00000000">
            <w:pPr>
              <w:cnfStyle w:val="000000100000" w:firstRow="0" w:lastRow="0" w:firstColumn="0" w:lastColumn="0" w:oddVBand="0" w:evenVBand="0" w:oddHBand="1" w:evenHBand="0" w:firstRowFirstColumn="0" w:firstRowLastColumn="0" w:lastRowFirstColumn="0" w:lastRowLastColumn="0"/>
            </w:pPr>
            <w:r>
              <w:t>Low-cost raw telemetry/evidence retention, lifecycle policies, historical replay and backfill.</w:t>
            </w:r>
          </w:p>
        </w:tc>
        <w:tc>
          <w:tcPr>
            <w:tcW w:w="2160" w:type="dxa"/>
            <w:vAlign w:val="center"/>
          </w:tcPr>
          <w:p w14:paraId="3C629816" w14:textId="77777777" w:rsidR="00743633" w:rsidRDefault="00000000">
            <w:pPr>
              <w:cnfStyle w:val="000000100000" w:firstRow="0" w:lastRow="0" w:firstColumn="0" w:lastColumn="0" w:oddVBand="0" w:evenVBand="0" w:oddHBand="1" w:evenHBand="0" w:firstRowFirstColumn="0" w:firstRowLastColumn="0" w:lastRowFirstColumn="0" w:lastRowLastColumn="0"/>
            </w:pPr>
            <w:r>
              <w:t>Baseline. Retention and residency are set by data class and OPCO.</w:t>
            </w:r>
          </w:p>
        </w:tc>
      </w:tr>
      <w:tr w:rsidR="00743633" w14:paraId="6EDD7CA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FAB3740" w14:textId="77777777" w:rsidR="00743633" w:rsidRDefault="00000000">
            <w:r>
              <w:t>OCI IAM, Vault, Audit and Cloud Guard</w:t>
            </w:r>
          </w:p>
        </w:tc>
        <w:tc>
          <w:tcPr>
            <w:tcW w:w="2160" w:type="dxa"/>
            <w:vAlign w:val="center"/>
          </w:tcPr>
          <w:p w14:paraId="167376A8" w14:textId="77777777" w:rsidR="00743633" w:rsidRDefault="00000000">
            <w:pPr>
              <w:cnfStyle w:val="000000000000" w:firstRow="0" w:lastRow="0" w:firstColumn="0" w:lastColumn="0" w:oddVBand="0" w:evenVBand="0" w:oddHBand="0" w:evenHBand="0" w:firstRowFirstColumn="0" w:firstRowLastColumn="0" w:lastRowFirstColumn="0" w:lastRowLastColumn="0"/>
            </w:pPr>
            <w:r>
              <w:t>RBAC, secrets, encryption, audit and security posture</w:t>
            </w:r>
          </w:p>
        </w:tc>
        <w:tc>
          <w:tcPr>
            <w:tcW w:w="2160" w:type="dxa"/>
            <w:vAlign w:val="center"/>
          </w:tcPr>
          <w:p w14:paraId="669BCDCA" w14:textId="77777777" w:rsidR="00743633" w:rsidRDefault="00000000">
            <w:pPr>
              <w:cnfStyle w:val="000000000000" w:firstRow="0" w:lastRow="0" w:firstColumn="0" w:lastColumn="0" w:oddVBand="0" w:evenVBand="0" w:oddHBand="0" w:evenHBand="0" w:firstRowFirstColumn="0" w:firstRowLastColumn="0" w:lastRowFirstColumn="0" w:lastRowLastColumn="0"/>
            </w:pPr>
            <w:r>
              <w:t>Enforces least privilege and OPCO/environment isolation, protects credentials/keys, records OCI API activity and monitors cloud posture.</w:t>
            </w:r>
          </w:p>
        </w:tc>
        <w:tc>
          <w:tcPr>
            <w:tcW w:w="2160" w:type="dxa"/>
            <w:vAlign w:val="center"/>
          </w:tcPr>
          <w:p w14:paraId="0232B885" w14:textId="77777777" w:rsidR="00743633" w:rsidRDefault="00000000">
            <w:pPr>
              <w:cnfStyle w:val="000000000000" w:firstRow="0" w:lastRow="0" w:firstColumn="0" w:lastColumn="0" w:oddVBand="0" w:evenVBand="0" w:oddHBand="0" w:evenHBand="0" w:firstRowFirstColumn="0" w:firstRowLastColumn="0" w:lastRowFirstColumn="0" w:lastRowLastColumn="0"/>
            </w:pPr>
            <w:r>
              <w:t>Baseline. Observability &amp; Security owns controls; product teams own least-privilege access requests.</w:t>
            </w:r>
          </w:p>
        </w:tc>
      </w:tr>
    </w:tbl>
    <w:p w14:paraId="42036D82" w14:textId="77777777" w:rsidR="00743633" w:rsidRDefault="00000000">
      <w:pPr>
        <w:pStyle w:val="Heading1"/>
      </w:pPr>
      <w:r>
        <w:t>3. Extracted RFP requirements and answers</w:t>
      </w:r>
    </w:p>
    <w:tbl>
      <w:tblPr>
        <w:tblStyle w:val="ListTable3"/>
        <w:tblW w:w="0" w:type="auto"/>
        <w:tblLook w:val="04A0" w:firstRow="1" w:lastRow="0" w:firstColumn="1" w:lastColumn="0" w:noHBand="0" w:noVBand="1"/>
      </w:tblPr>
      <w:tblGrid>
        <w:gridCol w:w="2226"/>
        <w:gridCol w:w="2160"/>
        <w:gridCol w:w="2742"/>
        <w:gridCol w:w="2160"/>
      </w:tblGrid>
      <w:tr w:rsidR="00743633" w14:paraId="2E38B1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160" w:type="dxa"/>
            <w:vAlign w:val="center"/>
          </w:tcPr>
          <w:p w14:paraId="188CDB09" w14:textId="77777777" w:rsidR="00743633" w:rsidRDefault="00000000">
            <w:r>
              <w:t>RFP section and requirement</w:t>
            </w:r>
          </w:p>
        </w:tc>
        <w:tc>
          <w:tcPr>
            <w:tcW w:w="2160" w:type="dxa"/>
            <w:vAlign w:val="center"/>
          </w:tcPr>
          <w:p w14:paraId="6EBBB4B2" w14:textId="77777777" w:rsidR="00743633" w:rsidRDefault="00000000">
            <w:pPr>
              <w:cnfStyle w:val="100000000000" w:firstRow="1" w:lastRow="0" w:firstColumn="0" w:lastColumn="0" w:oddVBand="0" w:evenVBand="0" w:oddHBand="0" w:evenHBand="0" w:firstRowFirstColumn="0" w:firstRowLastColumn="0" w:lastRowFirstColumn="0" w:lastRowLastColumn="0"/>
            </w:pPr>
            <w:r>
              <w:t>State</w:t>
            </w:r>
          </w:p>
        </w:tc>
        <w:tc>
          <w:tcPr>
            <w:tcW w:w="2160" w:type="dxa"/>
            <w:vAlign w:val="center"/>
          </w:tcPr>
          <w:p w14:paraId="320FF4FF" w14:textId="77777777" w:rsidR="00743633" w:rsidRDefault="00000000">
            <w:pPr>
              <w:cnfStyle w:val="100000000000" w:firstRow="1" w:lastRow="0" w:firstColumn="0" w:lastColumn="0" w:oddVBand="0" w:evenVBand="0" w:oddHBand="0" w:evenHBand="0" w:firstRowFirstColumn="0" w:firstRowLastColumn="0" w:lastRowFirstColumn="0" w:lastRowLastColumn="0"/>
            </w:pPr>
            <w:r>
              <w:t>OCI Observability &amp; Management answer</w:t>
            </w:r>
          </w:p>
        </w:tc>
        <w:tc>
          <w:tcPr>
            <w:tcW w:w="2160" w:type="dxa"/>
            <w:vAlign w:val="center"/>
          </w:tcPr>
          <w:p w14:paraId="29369682" w14:textId="77777777" w:rsidR="00743633" w:rsidRDefault="00000000">
            <w:pPr>
              <w:cnfStyle w:val="100000000000" w:firstRow="1" w:lastRow="0" w:firstColumn="0" w:lastColumn="0" w:oddVBand="0" w:evenVBand="0" w:oddHBand="0" w:evenHBand="0" w:firstRowFirstColumn="0" w:firstRowLastColumn="0" w:lastRowFirstColumn="0" w:lastRowLastColumn="0"/>
            </w:pPr>
            <w:r>
              <w:t>Dependency / evidence</w:t>
            </w:r>
          </w:p>
        </w:tc>
      </w:tr>
      <w:tr w:rsidR="00743633" w14:paraId="4FC38A6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06DE66" w14:textId="77777777" w:rsidR="00743633" w:rsidRDefault="00000000">
            <w:r>
              <w:t>4.2 Native monitoring to cover OPCO gaps</w:t>
            </w:r>
          </w:p>
        </w:tc>
        <w:tc>
          <w:tcPr>
            <w:tcW w:w="2160" w:type="dxa"/>
            <w:vAlign w:val="center"/>
          </w:tcPr>
          <w:p w14:paraId="328EC0E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298A38B4" w14:textId="77777777" w:rsidR="00743633" w:rsidRDefault="00000000">
            <w:pPr>
              <w:cnfStyle w:val="000000100000" w:firstRow="0" w:lastRow="0" w:firstColumn="0" w:lastColumn="0" w:oddVBand="0" w:evenVBand="0" w:oddHBand="1" w:evenHBand="0" w:firstRowFirstColumn="0" w:firstRowLastColumn="0" w:lastRowFirstColumn="0" w:lastRowLastColumn="0"/>
            </w:pPr>
            <w:r>
              <w:t>Use OCI Monitoring, Logging, Log Analytics, APM and supported Management Agent collection where an OPCO gap exists. Keep existing tools and send material events to UA.</w:t>
            </w:r>
          </w:p>
        </w:tc>
        <w:tc>
          <w:tcPr>
            <w:tcW w:w="2160" w:type="dxa"/>
            <w:vAlign w:val="center"/>
          </w:tcPr>
          <w:p w14:paraId="36AE1760" w14:textId="77777777" w:rsidR="00743633" w:rsidRDefault="00000000">
            <w:pPr>
              <w:cnfStyle w:val="000000100000" w:firstRow="0" w:lastRow="0" w:firstColumn="0" w:lastColumn="0" w:oddVBand="0" w:evenVBand="0" w:oddHBand="1" w:evenHBand="0" w:firstRowFirstColumn="0" w:firstRowLastColumn="0" w:lastRowFirstColumn="0" w:lastRowLastColumn="0"/>
            </w:pPr>
            <w:r>
              <w:t>Discovery source catalogue and per-OPCO onboarding acceptance.</w:t>
            </w:r>
          </w:p>
        </w:tc>
      </w:tr>
      <w:tr w:rsidR="00743633" w14:paraId="17214814"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BA0702D" w14:textId="77777777" w:rsidR="00743633" w:rsidRDefault="00000000">
            <w:r>
              <w:t>5.1 Integrate with heterogeneous monitoring tools without forced replacement</w:t>
            </w:r>
          </w:p>
        </w:tc>
        <w:tc>
          <w:tcPr>
            <w:tcW w:w="2160" w:type="dxa"/>
            <w:vAlign w:val="center"/>
          </w:tcPr>
          <w:p w14:paraId="74FC2604"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084B6616"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O&amp;M accepts service/custom logs, custom metrics, </w:t>
            </w:r>
            <w:proofErr w:type="spellStart"/>
            <w:r>
              <w:t>OpenTelemetry</w:t>
            </w:r>
            <w:proofErr w:type="spellEnd"/>
            <w:r>
              <w:t xml:space="preserve"> and supported agent-based sources; Connector Hub and streaming routes complement the integration </w:t>
            </w:r>
            <w:r>
              <w:lastRenderedPageBreak/>
              <w:t>fabric. Proprietary OEM schemas still require UA adapters or partner integration.</w:t>
            </w:r>
          </w:p>
        </w:tc>
        <w:tc>
          <w:tcPr>
            <w:tcW w:w="2160" w:type="dxa"/>
            <w:vAlign w:val="center"/>
          </w:tcPr>
          <w:p w14:paraId="4F980C6B"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Interface catalogue and PoV against priority tools.</w:t>
            </w:r>
          </w:p>
        </w:tc>
      </w:tr>
      <w:tr w:rsidR="00743633" w14:paraId="60D356CD"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2D6ED9F" w14:textId="77777777" w:rsidR="00743633" w:rsidRDefault="00000000">
            <w:r>
              <w:t>5.2 Physical/virtual, public/private/hybrid infrastructure monitoring</w:t>
            </w:r>
          </w:p>
        </w:tc>
        <w:tc>
          <w:tcPr>
            <w:tcW w:w="2160" w:type="dxa"/>
            <w:vAlign w:val="center"/>
          </w:tcPr>
          <w:p w14:paraId="3A66DC1B"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1716CE81" w14:textId="77777777" w:rsidR="00743633" w:rsidRDefault="00000000">
            <w:pPr>
              <w:cnfStyle w:val="000000100000" w:firstRow="0" w:lastRow="0" w:firstColumn="0" w:lastColumn="0" w:oddVBand="0" w:evenVBand="0" w:oddHBand="1" w:evenHBand="0" w:firstRowFirstColumn="0" w:firstRowLastColumn="0" w:lastRowFirstColumn="0" w:lastRowLastColumn="0"/>
            </w:pPr>
            <w:r>
              <w:t>OCI Monitoring covers OCI resources and custom metrics; Log Analytics and Management Agent/Gateway collect selected hybrid logs; Database Management covers supported database infrastructure.</w:t>
            </w:r>
          </w:p>
        </w:tc>
        <w:tc>
          <w:tcPr>
            <w:tcW w:w="2160" w:type="dxa"/>
            <w:vAlign w:val="center"/>
          </w:tcPr>
          <w:p w14:paraId="60FCE468" w14:textId="77777777" w:rsidR="00743633" w:rsidRDefault="00000000">
            <w:pPr>
              <w:cnfStyle w:val="000000100000" w:firstRow="0" w:lastRow="0" w:firstColumn="0" w:lastColumn="0" w:oddVBand="0" w:evenVBand="0" w:oddHBand="1" w:evenHBand="0" w:firstRowFirstColumn="0" w:firstRowLastColumn="0" w:lastRowFirstColumn="0" w:lastRowLastColumn="0"/>
            </w:pPr>
            <w:r>
              <w:t>Target support, private connectivity and agent approval.</w:t>
            </w:r>
          </w:p>
        </w:tc>
      </w:tr>
      <w:tr w:rsidR="00743633" w14:paraId="61EF3B40"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26B5DB54" w14:textId="77777777" w:rsidR="00743633" w:rsidRDefault="00000000">
            <w:r>
              <w:t>5.3 Use existing OEM tools</w:t>
            </w:r>
          </w:p>
        </w:tc>
        <w:tc>
          <w:tcPr>
            <w:tcW w:w="2160" w:type="dxa"/>
            <w:vAlign w:val="center"/>
          </w:tcPr>
          <w:p w14:paraId="29ABEBBA"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437EF99D" w14:textId="77777777" w:rsidR="00743633" w:rsidRDefault="00000000">
            <w:pPr>
              <w:cnfStyle w:val="000000000000" w:firstRow="0" w:lastRow="0" w:firstColumn="0" w:lastColumn="0" w:oddVBand="0" w:evenVBand="0" w:oddHBand="0" w:evenHBand="0" w:firstRowFirstColumn="0" w:firstRowLastColumn="0" w:lastRowFirstColumn="0" w:lastRowLastColumn="0"/>
            </w:pPr>
            <w:r>
              <w:t>OEM remains the deep Oracle management plane. Approved OEM events/metrics, target IDs, blackouts and evidence links are exported to UA. OCI Operations Insights may onboard supported OEM-managed resources when selected by the database team.</w:t>
            </w:r>
          </w:p>
        </w:tc>
        <w:tc>
          <w:tcPr>
            <w:tcW w:w="2160" w:type="dxa"/>
            <w:vAlign w:val="center"/>
          </w:tcPr>
          <w:p w14:paraId="793ADAF7" w14:textId="77777777" w:rsidR="00743633" w:rsidRDefault="00000000">
            <w:pPr>
              <w:cnfStyle w:val="000000000000" w:firstRow="0" w:lastRow="0" w:firstColumn="0" w:lastColumn="0" w:oddVBand="0" w:evenVBand="0" w:oddHBand="0" w:evenHBand="0" w:firstRowFirstColumn="0" w:firstRowLastColumn="0" w:lastRowFirstColumn="0" w:lastRowLastColumn="0"/>
            </w:pPr>
            <w:r>
              <w:t>OEM version/plug-ins, Management Pack entitlements and Operations (Pablo) approval.</w:t>
            </w:r>
          </w:p>
        </w:tc>
      </w:tr>
      <w:tr w:rsidR="00743633" w14:paraId="1F3AF5A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C0FA51" w14:textId="77777777" w:rsidR="00743633" w:rsidRDefault="00000000">
            <w:r>
              <w:t>5.4 Applications, APIs, middleware, microservices and APM</w:t>
            </w:r>
          </w:p>
        </w:tc>
        <w:tc>
          <w:tcPr>
            <w:tcW w:w="2160" w:type="dxa"/>
            <w:vAlign w:val="center"/>
          </w:tcPr>
          <w:p w14:paraId="534FB6C3"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34233FAA"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OCI APM and </w:t>
            </w:r>
            <w:proofErr w:type="spellStart"/>
            <w:r>
              <w:t>OpenTelemetry</w:t>
            </w:r>
            <w:proofErr w:type="spellEnd"/>
            <w:r>
              <w:t xml:space="preserve"> provide traces, topology, browser and synthetic telemetry. OCI Logging/Log Analytics provide application log investigation.</w:t>
            </w:r>
          </w:p>
        </w:tc>
        <w:tc>
          <w:tcPr>
            <w:tcW w:w="2160" w:type="dxa"/>
            <w:vAlign w:val="center"/>
          </w:tcPr>
          <w:p w14:paraId="474E3B04" w14:textId="77777777" w:rsidR="00743633" w:rsidRDefault="00000000">
            <w:pPr>
              <w:cnfStyle w:val="000000100000" w:firstRow="0" w:lastRow="0" w:firstColumn="0" w:lastColumn="0" w:oddVBand="0" w:evenVBand="0" w:oddHBand="1" w:evenHBand="0" w:firstRowFirstColumn="0" w:firstRowLastColumn="0" w:lastRowFirstColumn="0" w:lastRowLastColumn="0"/>
            </w:pPr>
            <w:r>
              <w:t>Application-team instrumentation, SLO and data-classification hand-off.</w:t>
            </w:r>
          </w:p>
        </w:tc>
      </w:tr>
      <w:tr w:rsidR="00743633" w14:paraId="5617F64D"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33EDC78E" w14:textId="77777777" w:rsidR="00743633" w:rsidRDefault="00000000">
            <w:r>
              <w:t>5.5 Customer journeys, synthetics and SLO tracking</w:t>
            </w:r>
          </w:p>
        </w:tc>
        <w:tc>
          <w:tcPr>
            <w:tcW w:w="2160" w:type="dxa"/>
            <w:vAlign w:val="center"/>
          </w:tcPr>
          <w:p w14:paraId="440D508D"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4DD81361"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APM synthetics and traces measure selected journeys and APIs; Monitoring alarms evaluate approved service indicators. Business/customer impact still depends on UA topology and source data.</w:t>
            </w:r>
          </w:p>
        </w:tc>
        <w:tc>
          <w:tcPr>
            <w:tcW w:w="2160" w:type="dxa"/>
            <w:vAlign w:val="center"/>
          </w:tcPr>
          <w:p w14:paraId="756C4820" w14:textId="77777777" w:rsidR="00743633" w:rsidRDefault="00000000">
            <w:pPr>
              <w:cnfStyle w:val="000000000000" w:firstRow="0" w:lastRow="0" w:firstColumn="0" w:lastColumn="0" w:oddVBand="0" w:evenVBand="0" w:oddHBand="0" w:evenHBand="0" w:firstRowFirstColumn="0" w:firstRowLastColumn="0" w:lastRowFirstColumn="0" w:lastRowLastColumn="0"/>
            </w:pPr>
            <w:r>
              <w:t>Product-team journey definitions and allowed customer-data aggregation.</w:t>
            </w:r>
          </w:p>
        </w:tc>
      </w:tr>
      <w:tr w:rsidR="00743633" w14:paraId="0BDF003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050B96B" w14:textId="77777777" w:rsidR="00743633" w:rsidRDefault="00000000">
            <w:r>
              <w:t>5.6 Centralized logs, metrics and traces with retention by OPCO/data type</w:t>
            </w:r>
          </w:p>
        </w:tc>
        <w:tc>
          <w:tcPr>
            <w:tcW w:w="2160" w:type="dxa"/>
            <w:vAlign w:val="center"/>
          </w:tcPr>
          <w:p w14:paraId="63E628B8"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0FB4F56F" w14:textId="77777777" w:rsidR="00743633" w:rsidRDefault="00000000">
            <w:pPr>
              <w:cnfStyle w:val="000000100000" w:firstRow="0" w:lastRow="0" w:firstColumn="0" w:lastColumn="0" w:oddVBand="0" w:evenVBand="0" w:oddHBand="1" w:evenHBand="0" w:firstRowFirstColumn="0" w:firstRowLastColumn="0" w:lastRowFirstColumn="0" w:lastRowLastColumn="0"/>
            </w:pPr>
            <w:r>
              <w:t>Logging, Monitoring, Log Analytics, APM and Object Storage provide managed hot/analytical/archive tiers with compartment, log-group and lifecycle controls.</w:t>
            </w:r>
          </w:p>
        </w:tc>
        <w:tc>
          <w:tcPr>
            <w:tcW w:w="2160" w:type="dxa"/>
            <w:vAlign w:val="center"/>
          </w:tcPr>
          <w:p w14:paraId="2C386DF4" w14:textId="77777777" w:rsidR="00743633" w:rsidRDefault="00000000">
            <w:pPr>
              <w:cnfStyle w:val="000000100000" w:firstRow="0" w:lastRow="0" w:firstColumn="0" w:lastColumn="0" w:oddVBand="0" w:evenVBand="0" w:oddHBand="1" w:evenHBand="0" w:firstRowFirstColumn="0" w:firstRowLastColumn="0" w:lastRowFirstColumn="0" w:lastRowLastColumn="0"/>
            </w:pPr>
            <w:r>
              <w:t>Final volume, retention, region and residency design.</w:t>
            </w:r>
          </w:p>
        </w:tc>
      </w:tr>
      <w:tr w:rsidR="00743633" w14:paraId="486701FE"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0516DD0D" w14:textId="77777777" w:rsidR="00743633" w:rsidRDefault="00000000">
            <w:r>
              <w:t>6.2 Group/OPCO dashboards and role-based views</w:t>
            </w:r>
          </w:p>
        </w:tc>
        <w:tc>
          <w:tcPr>
            <w:tcW w:w="2160" w:type="dxa"/>
            <w:vAlign w:val="center"/>
          </w:tcPr>
          <w:p w14:paraId="592AE442"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5D839C14"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dashboards, Log Analytics dashboards, Kubernetes Solution views </w:t>
            </w:r>
            <w:r>
              <w:lastRenderedPageBreak/>
              <w:t xml:space="preserve">and APM views provide service-specific </w:t>
            </w:r>
            <w:proofErr w:type="spellStart"/>
            <w:r>
              <w:t>visualisation</w:t>
            </w:r>
            <w:proofErr w:type="spellEnd"/>
            <w:r>
              <w:t>; Group operational correlation remains in UA.</w:t>
            </w:r>
          </w:p>
        </w:tc>
        <w:tc>
          <w:tcPr>
            <w:tcW w:w="2160" w:type="dxa"/>
            <w:vAlign w:val="center"/>
          </w:tcPr>
          <w:p w14:paraId="1D079EE2" w14:textId="77777777" w:rsidR="00743633" w:rsidRDefault="00000000">
            <w:pPr>
              <w:cnfStyle w:val="000000000000" w:firstRow="0" w:lastRow="0" w:firstColumn="0" w:lastColumn="0" w:oddVBand="0" w:evenVBand="0" w:oddHBand="0" w:evenHBand="0" w:firstRowFirstColumn="0" w:firstRowLastColumn="0" w:lastRowFirstColumn="0" w:lastRowLastColumn="0"/>
            </w:pPr>
            <w:r>
              <w:lastRenderedPageBreak/>
              <w:t>IAM/compartment model and versioned KPI catalogue.</w:t>
            </w:r>
          </w:p>
        </w:tc>
      </w:tr>
      <w:tr w:rsidR="00743633" w14:paraId="2C9E2D0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2C44876" w14:textId="77777777" w:rsidR="00743633" w:rsidRDefault="00000000">
            <w:r>
              <w:t>6.3 Threshold/anomaly alerts, notifications and escalation triggers</w:t>
            </w:r>
          </w:p>
        </w:tc>
        <w:tc>
          <w:tcPr>
            <w:tcW w:w="2160" w:type="dxa"/>
            <w:vAlign w:val="center"/>
          </w:tcPr>
          <w:p w14:paraId="2F1CB2E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7B073DAC" w14:textId="77777777" w:rsidR="00743633" w:rsidRDefault="00000000">
            <w:pPr>
              <w:cnfStyle w:val="000000100000" w:firstRow="0" w:lastRow="0" w:firstColumn="0" w:lastColumn="0" w:oddVBand="0" w:evenVBand="0" w:oddHBand="1" w:evenHBand="0" w:firstRowFirstColumn="0" w:firstRowLastColumn="0" w:lastRowFirstColumn="0" w:lastRowLastColumn="0"/>
            </w:pPr>
            <w:r>
              <w:t>Monitoring alarms, Log Analytics scheduled alerts/analytics, APM alarms and Notifications provide threshold/anomaly alerting and governed delivery. UA performs cross-domain dedupe/correlation before ServiceNow policy.</w:t>
            </w:r>
          </w:p>
        </w:tc>
        <w:tc>
          <w:tcPr>
            <w:tcW w:w="2160" w:type="dxa"/>
            <w:vAlign w:val="center"/>
          </w:tcPr>
          <w:p w14:paraId="5FD5EAD1" w14:textId="77777777" w:rsidR="00743633" w:rsidRDefault="00000000">
            <w:pPr>
              <w:cnfStyle w:val="000000100000" w:firstRow="0" w:lastRow="0" w:firstColumn="0" w:lastColumn="0" w:oddVBand="0" w:evenVBand="0" w:oddHBand="1" w:evenHBand="0" w:firstRowFirstColumn="0" w:firstRowLastColumn="0" w:lastRowFirstColumn="0" w:lastRowLastColumn="0"/>
            </w:pPr>
            <w:r>
              <w:t>Alarm ownership, suppression and maintenance-window policy.</w:t>
            </w:r>
          </w:p>
        </w:tc>
      </w:tr>
      <w:tr w:rsidR="00743633" w14:paraId="60A1A664"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B31CB2B" w14:textId="77777777" w:rsidR="00743633" w:rsidRDefault="00000000">
            <w:r>
              <w:t>6.4 Automatic ServiceNow tickets with enrichment and bidirectional status</w:t>
            </w:r>
          </w:p>
        </w:tc>
        <w:tc>
          <w:tcPr>
            <w:tcW w:w="2160" w:type="dxa"/>
            <w:vAlign w:val="center"/>
          </w:tcPr>
          <w:p w14:paraId="504C0CDB"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10961E67"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evidence links and summaries enrich UA incidents. The licensed UA ServiceNow Adapter directly creates, updates and closes tickets. No OIC path is proposed.</w:t>
            </w:r>
          </w:p>
        </w:tc>
        <w:tc>
          <w:tcPr>
            <w:tcW w:w="2160" w:type="dxa"/>
            <w:vAlign w:val="center"/>
          </w:tcPr>
          <w:p w14:paraId="6A191E05" w14:textId="77777777" w:rsidR="00743633" w:rsidRDefault="00000000">
            <w:pPr>
              <w:cnfStyle w:val="000000000000" w:firstRow="0" w:lastRow="0" w:firstColumn="0" w:lastColumn="0" w:oddVBand="0" w:evenVBand="0" w:oddHBand="0" w:evenHBand="0" w:firstRowFirstColumn="0" w:firstRowLastColumn="0" w:lastRowFirstColumn="0" w:lastRowLastColumn="0"/>
            </w:pPr>
            <w:r>
              <w:t>ITSM and Operations (Pablo) approve mapping, correlation key, retry/idempotency and support model.</w:t>
            </w:r>
          </w:p>
        </w:tc>
      </w:tr>
      <w:tr w:rsidR="00743633" w14:paraId="0F53A22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793ED8" w14:textId="77777777" w:rsidR="00743633" w:rsidRDefault="00000000">
            <w:r>
              <w:t>6.5 Anomaly/trend analysis and operations intelligence</w:t>
            </w:r>
          </w:p>
        </w:tc>
        <w:tc>
          <w:tcPr>
            <w:tcW w:w="2160" w:type="dxa"/>
            <w:vAlign w:val="center"/>
          </w:tcPr>
          <w:p w14:paraId="2A6CA941"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25A5F2B7" w14:textId="77777777" w:rsidR="00743633" w:rsidRDefault="00000000">
            <w:pPr>
              <w:cnfStyle w:val="000000100000" w:firstRow="0" w:lastRow="0" w:firstColumn="0" w:lastColumn="0" w:oddVBand="0" w:evenVBand="0" w:oddHBand="1" w:evenHBand="0" w:firstRowFirstColumn="0" w:firstRowLastColumn="0" w:lastRowFirstColumn="0" w:lastRowLastColumn="0"/>
            </w:pPr>
            <w:r>
              <w:t>Log Analytics clustering, link/cluster compare and anomaly workflows, Monitoring metrics, APM signals and Operations Insights forecasts provide domain analytics. UA supplies cross-domain correlation.</w:t>
            </w:r>
          </w:p>
        </w:tc>
        <w:tc>
          <w:tcPr>
            <w:tcW w:w="2160" w:type="dxa"/>
            <w:vAlign w:val="center"/>
          </w:tcPr>
          <w:p w14:paraId="6A5D109F" w14:textId="77777777" w:rsidR="00743633" w:rsidRDefault="00000000">
            <w:pPr>
              <w:cnfStyle w:val="000000100000" w:firstRow="0" w:lastRow="0" w:firstColumn="0" w:lastColumn="0" w:oddVBand="0" w:evenVBand="0" w:oddHBand="1" w:evenHBand="0" w:firstRowFirstColumn="0" w:firstRowLastColumn="0" w:lastRowFirstColumn="0" w:lastRowLastColumn="0"/>
            </w:pPr>
            <w:r>
              <w:t>Use-case-specific success metrics and PoV.</w:t>
            </w:r>
          </w:p>
        </w:tc>
      </w:tr>
      <w:tr w:rsidR="00743633" w14:paraId="597FDEEB"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16810F82" w14:textId="77777777" w:rsidR="00743633" w:rsidRDefault="00000000">
            <w:r>
              <w:t>6.5 Agentic incident commander / war-room copilot</w:t>
            </w:r>
          </w:p>
        </w:tc>
        <w:tc>
          <w:tcPr>
            <w:tcW w:w="2160" w:type="dxa"/>
            <w:vAlign w:val="center"/>
          </w:tcPr>
          <w:p w14:paraId="703CB76E"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6455E28E" w14:textId="77777777" w:rsidR="00743633" w:rsidRDefault="00000000">
            <w:pPr>
              <w:cnfStyle w:val="000000000000" w:firstRow="0" w:lastRow="0" w:firstColumn="0" w:lastColumn="0" w:oddVBand="0" w:evenVBand="0" w:oddHBand="0" w:evenHBand="0" w:firstRowFirstColumn="0" w:firstRowLastColumn="0" w:lastRowFirstColumn="0" w:lastRowLastColumn="0"/>
            </w:pPr>
            <w:proofErr w:type="spellStart"/>
            <w:r>
              <w:t>LoganAI</w:t>
            </w:r>
            <w:proofErr w:type="spellEnd"/>
            <w:r>
              <w:t xml:space="preserve"> can </w:t>
            </w:r>
            <w:proofErr w:type="spellStart"/>
            <w:r>
              <w:t>summarise</w:t>
            </w:r>
            <w:proofErr w:type="spellEnd"/>
            <w:r>
              <w:t>/explain logs, clusters, charts and selected Monitoring metrics, but it is not an agent. A dedicated cross-domain incident agent must be built using OCI Generative AI/agent capabilities.</w:t>
            </w:r>
          </w:p>
        </w:tc>
        <w:tc>
          <w:tcPr>
            <w:tcW w:w="2160" w:type="dxa"/>
            <w:vAlign w:val="center"/>
          </w:tcPr>
          <w:p w14:paraId="4DE15B7E"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required; agent architecture, retrieval/tool contracts, citations, evaluation and human approval.</w:t>
            </w:r>
          </w:p>
        </w:tc>
      </w:tr>
      <w:tr w:rsidR="00743633" w14:paraId="496F87D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997B7AA" w14:textId="77777777" w:rsidR="00743633" w:rsidRDefault="00000000">
            <w:r>
              <w:t>6.5 Agentic automated evidence packaging</w:t>
            </w:r>
          </w:p>
        </w:tc>
        <w:tc>
          <w:tcPr>
            <w:tcW w:w="2160" w:type="dxa"/>
            <w:vAlign w:val="center"/>
          </w:tcPr>
          <w:p w14:paraId="6C6DA383"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4526BF9E"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Log Analytics, APM, Monitoring and Object Storage provide governed evidence. A custom agent must retrieve </w:t>
            </w:r>
            <w:proofErr w:type="spellStart"/>
            <w:r>
              <w:t>authorised</w:t>
            </w:r>
            <w:proofErr w:type="spellEnd"/>
            <w:r>
              <w:t xml:space="preserve"> evidence plus UA, OEM and ServiceNow context and package it by resolver policy.</w:t>
            </w:r>
          </w:p>
        </w:tc>
        <w:tc>
          <w:tcPr>
            <w:tcW w:w="2160" w:type="dxa"/>
            <w:vAlign w:val="center"/>
          </w:tcPr>
          <w:p w14:paraId="7A91E0F1" w14:textId="77777777" w:rsidR="00743633" w:rsidRDefault="00000000">
            <w:pPr>
              <w:cnfStyle w:val="000000100000" w:firstRow="0" w:lastRow="0" w:firstColumn="0" w:lastColumn="0" w:oddVBand="0" w:evenVBand="0" w:oddHBand="1" w:evenHBand="0" w:firstRowFirstColumn="0" w:firstRowLastColumn="0" w:lastRowFirstColumn="0" w:lastRowLastColumn="0"/>
            </w:pPr>
            <w:r>
              <w:t>OCI AI Team, CSS/partner development, Operations and Security acceptance.</w:t>
            </w:r>
          </w:p>
        </w:tc>
      </w:tr>
      <w:tr w:rsidR="00743633" w14:paraId="6208650C"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6BC3553" w14:textId="77777777" w:rsidR="00743633" w:rsidRDefault="00000000">
            <w:r>
              <w:lastRenderedPageBreak/>
              <w:t>6.6 Secure collection, backfill and pipeline monitoring</w:t>
            </w:r>
          </w:p>
        </w:tc>
        <w:tc>
          <w:tcPr>
            <w:tcW w:w="2160" w:type="dxa"/>
            <w:vAlign w:val="center"/>
          </w:tcPr>
          <w:p w14:paraId="0D569DA7"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4EEAC3BE"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Management Agent/Gateway, Logging, Connector Hub, Streaming and Object Storage support secure collection, routing, buffering/archive and replay. Monitoring tracks route/agent/queue health through available service and custom metrics.</w:t>
            </w:r>
          </w:p>
        </w:tc>
        <w:tc>
          <w:tcPr>
            <w:tcW w:w="2160" w:type="dxa"/>
            <w:vAlign w:val="center"/>
          </w:tcPr>
          <w:p w14:paraId="1F643315" w14:textId="77777777" w:rsidR="00743633" w:rsidRDefault="00000000">
            <w:pPr>
              <w:cnfStyle w:val="000000000000" w:firstRow="0" w:lastRow="0" w:firstColumn="0" w:lastColumn="0" w:oddVBand="0" w:evenVBand="0" w:oddHBand="0" w:evenHBand="0" w:firstRowFirstColumn="0" w:firstRowLastColumn="0" w:lastRowFirstColumn="0" w:lastRowLastColumn="0"/>
            </w:pPr>
            <w:r>
              <w:t>Measured throughput, loss, parsing-error and replay tests.</w:t>
            </w:r>
          </w:p>
        </w:tc>
      </w:tr>
      <w:tr w:rsidR="00743633" w14:paraId="0BAE6BB8"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71974F1" w14:textId="77777777" w:rsidR="00743633" w:rsidRDefault="00000000">
            <w:r>
              <w:t>6.7 Parsing, enrichment, retention, masking and export</w:t>
            </w:r>
          </w:p>
        </w:tc>
        <w:tc>
          <w:tcPr>
            <w:tcW w:w="2160" w:type="dxa"/>
            <w:vAlign w:val="center"/>
          </w:tcPr>
          <w:p w14:paraId="26A83DDC"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1F59E196" w14:textId="77777777" w:rsidR="00743633" w:rsidRDefault="00000000">
            <w:pPr>
              <w:cnfStyle w:val="000000100000" w:firstRow="0" w:lastRow="0" w:firstColumn="0" w:lastColumn="0" w:oddVBand="0" w:evenVBand="0" w:oddHBand="1" w:evenHBand="0" w:firstRowFirstColumn="0" w:firstRowLastColumn="0" w:lastRowFirstColumn="0" w:lastRowLastColumn="0"/>
            </w:pPr>
            <w:r>
              <w:t>Log Analytics sources/parsers/enrichment, service connectors and storage lifecycle policies cover the OCI log path. The Group canonical telecom schema, entity reconciliation and data-residency decisions require custom design.</w:t>
            </w:r>
          </w:p>
        </w:tc>
        <w:tc>
          <w:tcPr>
            <w:tcW w:w="2160" w:type="dxa"/>
            <w:vAlign w:val="center"/>
          </w:tcPr>
          <w:p w14:paraId="563007F7"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Data-governance design, parser tests and residency approval.</w:t>
            </w:r>
          </w:p>
        </w:tc>
      </w:tr>
      <w:tr w:rsidR="00743633" w14:paraId="48A0F63D"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3D673548" w14:textId="77777777" w:rsidR="00743633" w:rsidRDefault="00000000">
            <w:r>
              <w:t>6.10 Adaptive baselines, anomalies and silent degradation</w:t>
            </w:r>
          </w:p>
        </w:tc>
        <w:tc>
          <w:tcPr>
            <w:tcW w:w="2160" w:type="dxa"/>
            <w:vAlign w:val="center"/>
          </w:tcPr>
          <w:p w14:paraId="3B73D0EA"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65227EF7" w14:textId="77777777" w:rsidR="00743633" w:rsidRDefault="00000000">
            <w:pPr>
              <w:cnfStyle w:val="000000000000" w:firstRow="0" w:lastRow="0" w:firstColumn="0" w:lastColumn="0" w:oddVBand="0" w:evenVBand="0" w:oddHBand="0" w:evenHBand="0" w:firstRowFirstColumn="0" w:firstRowLastColumn="0" w:lastRowFirstColumn="0" w:lastRowLastColumn="0"/>
            </w:pPr>
            <w:r>
              <w:t>Monitoring alarms, Log Analytics ML commands/analytics, APM and Operations Insights can detect domain-specific deviations. Telecom multi-dimensional modelling and accuracy must be validated with UA/data-science use cases.</w:t>
            </w:r>
          </w:p>
        </w:tc>
        <w:tc>
          <w:tcPr>
            <w:tcW w:w="2160" w:type="dxa"/>
            <w:vAlign w:val="center"/>
          </w:tcPr>
          <w:p w14:paraId="776DC163" w14:textId="77777777" w:rsidR="00743633" w:rsidRDefault="00000000">
            <w:pPr>
              <w:cnfStyle w:val="000000000000" w:firstRow="0" w:lastRow="0" w:firstColumn="0" w:lastColumn="0" w:oddVBand="0" w:evenVBand="0" w:oddHBand="0" w:evenHBand="0" w:firstRowFirstColumn="0" w:firstRowLastColumn="0" w:lastRowFirstColumn="0" w:lastRowLastColumn="0"/>
            </w:pPr>
            <w:r>
              <w:t>Historical data, labels, false-positive/negative review and drift process.</w:t>
            </w:r>
          </w:p>
        </w:tc>
      </w:tr>
      <w:tr w:rsidR="00743633" w14:paraId="178B5EF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21364FD" w14:textId="77777777" w:rsidR="00743633" w:rsidRDefault="00000000">
            <w:r>
              <w:t>6.11 Capacity forecasting and time-to-threshold</w:t>
            </w:r>
          </w:p>
        </w:tc>
        <w:tc>
          <w:tcPr>
            <w:tcW w:w="2160" w:type="dxa"/>
            <w:vAlign w:val="center"/>
          </w:tcPr>
          <w:p w14:paraId="1D162E28"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76F56BC0" w14:textId="77777777" w:rsidR="00743633" w:rsidRDefault="00000000">
            <w:pPr>
              <w:cnfStyle w:val="000000100000" w:firstRow="0" w:lastRow="0" w:firstColumn="0" w:lastColumn="0" w:oddVBand="0" w:evenVBand="0" w:oddHBand="1" w:evenHBand="0" w:firstRowFirstColumn="0" w:firstRowLastColumn="0" w:lastRowFirstColumn="0" w:lastRowLastColumn="0"/>
            </w:pPr>
            <w:r>
              <w:t>Operations Insights forecasts supported database/host capacity; Monitoring provides metric alarms. Other telecom forecasts require UA and/or governed OCI Data Science models.</w:t>
            </w:r>
          </w:p>
        </w:tc>
        <w:tc>
          <w:tcPr>
            <w:tcW w:w="2160" w:type="dxa"/>
            <w:vAlign w:val="center"/>
          </w:tcPr>
          <w:p w14:paraId="40339FEF"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Database-team onboarding and use-case accuracy acceptance.</w:t>
            </w:r>
          </w:p>
        </w:tc>
      </w:tr>
      <w:tr w:rsidR="00743633" w14:paraId="533A19B9"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58C77DC7" w14:textId="77777777" w:rsidR="00743633" w:rsidRDefault="00000000">
            <w:r>
              <w:t>7 HA, scalability, multi-tenancy, RBAC and audit</w:t>
            </w:r>
          </w:p>
        </w:tc>
        <w:tc>
          <w:tcPr>
            <w:tcW w:w="2160" w:type="dxa"/>
            <w:vAlign w:val="center"/>
          </w:tcPr>
          <w:p w14:paraId="783116C7" w14:textId="77777777" w:rsidR="00743633"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2160" w:type="dxa"/>
            <w:vAlign w:val="center"/>
          </w:tcPr>
          <w:p w14:paraId="0E43C82E"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Managed OCI services supply regional service architecture, compartments, IAM policies, encryption and Audit. Final end-to-end availability and data isolation include UA, collectors and product-team integrations and require sizing.</w:t>
            </w:r>
          </w:p>
        </w:tc>
        <w:tc>
          <w:tcPr>
            <w:tcW w:w="2160" w:type="dxa"/>
            <w:vAlign w:val="center"/>
          </w:tcPr>
          <w:p w14:paraId="5963582A" w14:textId="77777777" w:rsidR="00743633" w:rsidRDefault="00000000">
            <w:pPr>
              <w:cnfStyle w:val="000000000000" w:firstRow="0" w:lastRow="0" w:firstColumn="0" w:lastColumn="0" w:oddVBand="0" w:evenVBand="0" w:oddHBand="0" w:evenHBand="0" w:firstRowFirstColumn="0" w:firstRowLastColumn="0" w:lastRowFirstColumn="0" w:lastRowLastColumn="0"/>
            </w:pPr>
            <w:r>
              <w:t>Architecture, load, failure and isolation tests.</w:t>
            </w:r>
          </w:p>
        </w:tc>
      </w:tr>
      <w:tr w:rsidR="00743633" w14:paraId="7D8B7E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6F9BF92" w14:textId="77777777" w:rsidR="00743633" w:rsidRDefault="00000000">
            <w:r>
              <w:t xml:space="preserve">7.2 Platform self-monitoring and </w:t>
            </w:r>
            <w:r>
              <w:lastRenderedPageBreak/>
              <w:t>backlog/capacity alerts</w:t>
            </w:r>
          </w:p>
        </w:tc>
        <w:tc>
          <w:tcPr>
            <w:tcW w:w="2160" w:type="dxa"/>
            <w:vAlign w:val="center"/>
          </w:tcPr>
          <w:p w14:paraId="66373D6C" w14:textId="77777777" w:rsidR="00743633" w:rsidRDefault="00000000">
            <w:pPr>
              <w:cnfStyle w:val="000000100000" w:firstRow="0" w:lastRow="0" w:firstColumn="0" w:lastColumn="0" w:oddVBand="0" w:evenVBand="0" w:oddHBand="1" w:evenHBand="0" w:firstRowFirstColumn="0" w:firstRowLastColumn="0" w:lastRowFirstColumn="0" w:lastRowLastColumn="0"/>
            </w:pPr>
            <w:r>
              <w:lastRenderedPageBreak/>
              <w:t>Compliant</w:t>
            </w:r>
          </w:p>
        </w:tc>
        <w:tc>
          <w:tcPr>
            <w:tcW w:w="2160" w:type="dxa"/>
            <w:vAlign w:val="center"/>
          </w:tcPr>
          <w:p w14:paraId="703C3BF6"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Monitoring, Logging, APM and service/custom metrics monitor collectors, agents, </w:t>
            </w:r>
            <w:r>
              <w:lastRenderedPageBreak/>
              <w:t>routes, streams, OKE components and supporting services; alerts go to the independent operations path.</w:t>
            </w:r>
          </w:p>
        </w:tc>
        <w:tc>
          <w:tcPr>
            <w:tcW w:w="2160" w:type="dxa"/>
            <w:vAlign w:val="center"/>
          </w:tcPr>
          <w:p w14:paraId="51D54381" w14:textId="77777777" w:rsidR="0074363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“Monitor the monitoring” </w:t>
            </w:r>
            <w:r>
              <w:lastRenderedPageBreak/>
              <w:t>dashboard and injected-failure test.</w:t>
            </w:r>
          </w:p>
        </w:tc>
      </w:tr>
      <w:tr w:rsidR="00743633" w14:paraId="59329993"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6B7B68BC" w14:textId="77777777" w:rsidR="00743633" w:rsidRDefault="00000000">
            <w:r>
              <w:lastRenderedPageBreak/>
              <w:t>8 Central analytics with distributed collection and hybrid deployment</w:t>
            </w:r>
          </w:p>
        </w:tc>
        <w:tc>
          <w:tcPr>
            <w:tcW w:w="2160" w:type="dxa"/>
            <w:vAlign w:val="center"/>
          </w:tcPr>
          <w:p w14:paraId="786DE1EA"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2A80C452" w14:textId="77777777" w:rsidR="00743633" w:rsidRDefault="00000000">
            <w:pPr>
              <w:cnfStyle w:val="000000000000" w:firstRow="0" w:lastRow="0" w:firstColumn="0" w:lastColumn="0" w:oddVBand="0" w:evenVBand="0" w:oddHBand="0" w:evenHBand="0" w:firstRowFirstColumn="0" w:firstRowLastColumn="0" w:lastRowFirstColumn="0" w:lastRowLastColumn="0"/>
            </w:pPr>
            <w:r>
              <w:t>Management Agent/Gateway, private networking, Logging/Log Analytics, APM/</w:t>
            </w:r>
            <w:proofErr w:type="spellStart"/>
            <w:r>
              <w:t>OTel</w:t>
            </w:r>
            <w:proofErr w:type="spellEnd"/>
            <w:r>
              <w:t xml:space="preserve"> and Streaming implement distributed collection to centralized OCI analytics.</w:t>
            </w:r>
          </w:p>
        </w:tc>
        <w:tc>
          <w:tcPr>
            <w:tcW w:w="2160" w:type="dxa"/>
            <w:vAlign w:val="center"/>
          </w:tcPr>
          <w:p w14:paraId="28F85070" w14:textId="77777777" w:rsidR="00743633" w:rsidRDefault="00000000">
            <w:pPr>
              <w:cnfStyle w:val="000000000000" w:firstRow="0" w:lastRow="0" w:firstColumn="0" w:lastColumn="0" w:oddVBand="0" w:evenVBand="0" w:oddHBand="0" w:evenHBand="0" w:firstRowFirstColumn="0" w:firstRowLastColumn="0" w:lastRowFirstColumn="0" w:lastRowLastColumn="0"/>
            </w:pPr>
            <w:r>
              <w:t>Network/port/proxy matrix and per-OPCO deployment pattern.</w:t>
            </w:r>
          </w:p>
        </w:tc>
      </w:tr>
      <w:tr w:rsidR="00743633" w14:paraId="1E235825"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53A81C9" w14:textId="77777777" w:rsidR="00743633" w:rsidRDefault="00000000">
            <w:r>
              <w:t>9 Secure ingestion, IAM integration, encryption and audit</w:t>
            </w:r>
          </w:p>
        </w:tc>
        <w:tc>
          <w:tcPr>
            <w:tcW w:w="2160" w:type="dxa"/>
            <w:vAlign w:val="center"/>
          </w:tcPr>
          <w:p w14:paraId="3091A648" w14:textId="77777777" w:rsidR="00743633" w:rsidRDefault="00000000">
            <w:pPr>
              <w:cnfStyle w:val="000000100000" w:firstRow="0" w:lastRow="0" w:firstColumn="0" w:lastColumn="0" w:oddVBand="0" w:evenVBand="0" w:oddHBand="1" w:evenHBand="0" w:firstRowFirstColumn="0" w:firstRowLastColumn="0" w:lastRowFirstColumn="0" w:lastRowLastColumn="0"/>
            </w:pPr>
            <w:r>
              <w:t>Compliant</w:t>
            </w:r>
          </w:p>
        </w:tc>
        <w:tc>
          <w:tcPr>
            <w:tcW w:w="2160" w:type="dxa"/>
            <w:vAlign w:val="center"/>
          </w:tcPr>
          <w:p w14:paraId="5EA4DCB7" w14:textId="77777777" w:rsidR="00743633" w:rsidRDefault="00000000">
            <w:pPr>
              <w:cnfStyle w:val="000000100000" w:firstRow="0" w:lastRow="0" w:firstColumn="0" w:lastColumn="0" w:oddVBand="0" w:evenVBand="0" w:oddHBand="1" w:evenHBand="0" w:firstRowFirstColumn="0" w:firstRowLastColumn="0" w:lastRowFirstColumn="0" w:lastRowLastColumn="0"/>
            </w:pPr>
            <w:r>
              <w:t>IAM federation/policies, Vault, TLS/private networking, service encryption, Audit and Cloud Guard provide the OCI control framework.</w:t>
            </w:r>
          </w:p>
        </w:tc>
        <w:tc>
          <w:tcPr>
            <w:tcW w:w="2160" w:type="dxa"/>
            <w:vAlign w:val="center"/>
          </w:tcPr>
          <w:p w14:paraId="75B43A09" w14:textId="77777777" w:rsidR="00743633" w:rsidRDefault="00000000">
            <w:pPr>
              <w:cnfStyle w:val="000000100000" w:firstRow="0" w:lastRow="0" w:firstColumn="0" w:lastColumn="0" w:oddVBand="0" w:evenVBand="0" w:oddHBand="1" w:evenHBand="0" w:firstRowFirstColumn="0" w:firstRowLastColumn="0" w:lastRowFirstColumn="0" w:lastRowLastColumn="0"/>
            </w:pPr>
            <w:r>
              <w:t>Security design, policy review, key/secret rotation and evidence test.</w:t>
            </w:r>
          </w:p>
        </w:tc>
      </w:tr>
      <w:tr w:rsidR="00743633" w14:paraId="1BE2B989" w14:textId="77777777" w:rsidTr="00743633">
        <w:tc>
          <w:tcPr>
            <w:cnfStyle w:val="001000000000" w:firstRow="0" w:lastRow="0" w:firstColumn="1" w:lastColumn="0" w:oddVBand="0" w:evenVBand="0" w:oddHBand="0" w:evenHBand="0" w:firstRowFirstColumn="0" w:firstRowLastColumn="0" w:lastRowFirstColumn="0" w:lastRowLastColumn="0"/>
            <w:tcW w:w="2160" w:type="dxa"/>
            <w:vAlign w:val="center"/>
          </w:tcPr>
          <w:p w14:paraId="4CF93412" w14:textId="77777777" w:rsidR="00743633" w:rsidRDefault="00000000">
            <w:r>
              <w:t>10.3 PoV: ingestion, AIOps, security and workflow evidence</w:t>
            </w:r>
          </w:p>
        </w:tc>
        <w:tc>
          <w:tcPr>
            <w:tcW w:w="2160" w:type="dxa"/>
            <w:vAlign w:val="center"/>
          </w:tcPr>
          <w:p w14:paraId="0F4F6BF6" w14:textId="77777777" w:rsidR="00743633" w:rsidRDefault="00000000">
            <w:pPr>
              <w:cnfStyle w:val="000000000000" w:firstRow="0" w:lastRow="0" w:firstColumn="0" w:lastColumn="0" w:oddVBand="0" w:evenVBand="0" w:oddHBand="0" w:evenHBand="0" w:firstRowFirstColumn="0" w:firstRowLastColumn="0" w:lastRowFirstColumn="0" w:lastRowLastColumn="0"/>
            </w:pPr>
            <w:r>
              <w:t>Compliant</w:t>
            </w:r>
          </w:p>
        </w:tc>
        <w:tc>
          <w:tcPr>
            <w:tcW w:w="2160" w:type="dxa"/>
            <w:vAlign w:val="center"/>
          </w:tcPr>
          <w:p w14:paraId="74ED728A"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OCI services expose measurable ingestion, alarm, query and agent health evidence. The PoV must measure completeness/latency, OKE views, APM trace continuity, </w:t>
            </w:r>
            <w:proofErr w:type="spellStart"/>
            <w:r>
              <w:t>LoganAI</w:t>
            </w:r>
            <w:proofErr w:type="spellEnd"/>
            <w:r>
              <w:t xml:space="preserve"> human validation, UA ticket enrichment and security controls.</w:t>
            </w:r>
          </w:p>
        </w:tc>
        <w:tc>
          <w:tcPr>
            <w:tcW w:w="2160" w:type="dxa"/>
            <w:vAlign w:val="center"/>
          </w:tcPr>
          <w:p w14:paraId="544FFE7C" w14:textId="77777777" w:rsidR="00743633" w:rsidRDefault="00000000">
            <w:pPr>
              <w:cnfStyle w:val="000000000000" w:firstRow="0" w:lastRow="0" w:firstColumn="0" w:lastColumn="0" w:oddVBand="0" w:evenVBand="0" w:oddHBand="0" w:evenHBand="0" w:firstRowFirstColumn="0" w:firstRowLastColumn="0" w:lastRowFirstColumn="0" w:lastRowLastColumn="0"/>
            </w:pPr>
            <w:r>
              <w:t>Signed acceptance metrics; no generic production claims before evidence.</w:t>
            </w:r>
          </w:p>
        </w:tc>
      </w:tr>
      <w:tr w:rsidR="00743633" w14:paraId="492253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3F4721E" w14:textId="77777777" w:rsidR="00743633" w:rsidRDefault="00000000">
            <w:r>
              <w:t>10.4 Support, patching and professional services</w:t>
            </w:r>
          </w:p>
        </w:tc>
        <w:tc>
          <w:tcPr>
            <w:tcW w:w="2160" w:type="dxa"/>
            <w:vAlign w:val="center"/>
          </w:tcPr>
          <w:p w14:paraId="33CACF54" w14:textId="77777777" w:rsidR="00743633"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2160" w:type="dxa"/>
            <w:vAlign w:val="center"/>
          </w:tcPr>
          <w:p w14:paraId="0680889C"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Oracle Support covers subscribed OCI services under their service terms. Custom parsers, agents, dashboards and integrations need named CSS/partner and </w:t>
            </w:r>
            <w:proofErr w:type="spellStart"/>
            <w:r>
              <w:t>Axian</w:t>
            </w:r>
            <w:proofErr w:type="spellEnd"/>
            <w:r>
              <w:t xml:space="preserve"> owners.</w:t>
            </w:r>
          </w:p>
        </w:tc>
        <w:tc>
          <w:tcPr>
            <w:tcW w:w="2160" w:type="dxa"/>
            <w:vAlign w:val="center"/>
          </w:tcPr>
          <w:p w14:paraId="0C0579E7" w14:textId="77777777" w:rsidR="00743633" w:rsidRDefault="00000000">
            <w:pPr>
              <w:cnfStyle w:val="000000100000" w:firstRow="0" w:lastRow="0" w:firstColumn="0" w:lastColumn="0" w:oddVBand="0" w:evenVBand="0" w:oddHBand="1" w:evenHBand="0" w:firstRowFirstColumn="0" w:firstRowLastColumn="0" w:lastRowFirstColumn="0" w:lastRowLastColumn="0"/>
            </w:pPr>
            <w:r>
              <w:t>Support plan, escalation matrix, patch lifecycle and statements of work.</w:t>
            </w:r>
          </w:p>
        </w:tc>
      </w:tr>
    </w:tbl>
    <w:p w14:paraId="44E4ABFD" w14:textId="77777777" w:rsidR="00743633" w:rsidRDefault="00000000">
      <w:pPr>
        <w:pStyle w:val="Heading1"/>
      </w:pPr>
      <w:r>
        <w:t>4. OKE monitoring answer</w:t>
      </w:r>
    </w:p>
    <w:p w14:paraId="13A6F243" w14:textId="77777777" w:rsidR="00743633" w:rsidRDefault="00000000">
      <w:r>
        <w:t>The RFP explicitly includes cloud/container platforms, containers, application platforms, central logs/metrics/traces and topology-aware operations. OCI Log Analytics Kubernetes Monitoring Solution is therefore required in the proposed OCI scope, not merely an optional add-on. For each approved OKE cluster it collects Kubernetes logs, metrics and object state and exposes cluster, workload, node and pod views. It is combined with OCI Monitoring for resource/platform alarms, OCI Logging for OCI service/custom logs, Connector Hub for routing, and OCI APM/</w:t>
      </w:r>
      <w:proofErr w:type="spellStart"/>
      <w:r>
        <w:t>OpenTelemetry</w:t>
      </w:r>
      <w:proofErr w:type="spellEnd"/>
      <w:r>
        <w:t xml:space="preserve"> for application traces and synthetics.</w:t>
      </w:r>
    </w:p>
    <w:p w14:paraId="06A8B6A8" w14:textId="77777777" w:rsidR="00743633" w:rsidRDefault="00000000">
      <w:r>
        <w:t>For private OKE API endpoints, use the documented manual deployment option for the Kubernetes monitoring Helm/manifests. The platform team owns cluster access, upgrades, capacity and remediation; Observability &amp; Security owns monitoring configuration, telemetry governance, alert quality and cross-domain forwarding to UA.</w:t>
      </w:r>
    </w:p>
    <w:p w14:paraId="1173F4FF" w14:textId="77777777" w:rsidR="00743633" w:rsidRDefault="00000000">
      <w:pPr>
        <w:pStyle w:val="Heading1"/>
      </w:pPr>
      <w:r>
        <w:lastRenderedPageBreak/>
        <w:t xml:space="preserve">5. </w:t>
      </w:r>
      <w:proofErr w:type="spellStart"/>
      <w:r>
        <w:t>LoganAI</w:t>
      </w:r>
      <w:proofErr w:type="spellEnd"/>
      <w:r>
        <w:t xml:space="preserve"> versus the required agent</w:t>
      </w:r>
    </w:p>
    <w:tbl>
      <w:tblPr>
        <w:tblStyle w:val="ListTable3"/>
        <w:tblW w:w="0" w:type="auto"/>
        <w:tblLook w:val="04A0" w:firstRow="1" w:lastRow="0" w:firstColumn="1" w:lastColumn="0" w:noHBand="0" w:noVBand="1"/>
      </w:tblPr>
      <w:tblGrid>
        <w:gridCol w:w="2880"/>
        <w:gridCol w:w="2880"/>
        <w:gridCol w:w="2880"/>
      </w:tblGrid>
      <w:tr w:rsidR="00743633" w14:paraId="02E28CF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288A8353" w14:textId="77777777" w:rsidR="00743633" w:rsidRDefault="00000000">
            <w:r>
              <w:t>Capability</w:t>
            </w:r>
          </w:p>
        </w:tc>
        <w:tc>
          <w:tcPr>
            <w:tcW w:w="2880" w:type="dxa"/>
            <w:vAlign w:val="center"/>
          </w:tcPr>
          <w:p w14:paraId="64DCD2D4" w14:textId="77777777" w:rsidR="00743633" w:rsidRDefault="00000000">
            <w:pPr>
              <w:cnfStyle w:val="100000000000" w:firstRow="1" w:lastRow="0" w:firstColumn="0" w:lastColumn="0" w:oddVBand="0" w:evenVBand="0" w:oddHBand="0" w:evenHBand="0" w:firstRowFirstColumn="0" w:firstRowLastColumn="0" w:lastRowFirstColumn="0" w:lastRowLastColumn="0"/>
            </w:pPr>
            <w:proofErr w:type="spellStart"/>
            <w:r>
              <w:t>LoganAI</w:t>
            </w:r>
            <w:proofErr w:type="spellEnd"/>
          </w:p>
        </w:tc>
        <w:tc>
          <w:tcPr>
            <w:tcW w:w="2880" w:type="dxa"/>
            <w:vAlign w:val="center"/>
          </w:tcPr>
          <w:p w14:paraId="0690FA64" w14:textId="77777777" w:rsidR="00743633" w:rsidRDefault="00000000">
            <w:pPr>
              <w:cnfStyle w:val="100000000000" w:firstRow="1" w:lastRow="0" w:firstColumn="0" w:lastColumn="0" w:oddVBand="0" w:evenVBand="0" w:oddHBand="0" w:evenHBand="0" w:firstRowFirstColumn="0" w:firstRowLastColumn="0" w:lastRowFirstColumn="0" w:lastRowLastColumn="0"/>
            </w:pPr>
            <w:r>
              <w:t>Dedicated incident-commander agent</w:t>
            </w:r>
          </w:p>
        </w:tc>
      </w:tr>
      <w:tr w:rsidR="00743633" w14:paraId="6D49FC27"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846DA3D" w14:textId="77777777" w:rsidR="00743633" w:rsidRDefault="00000000">
            <w:r>
              <w:t xml:space="preserve">Explain and </w:t>
            </w:r>
            <w:proofErr w:type="spellStart"/>
            <w:r>
              <w:t>summarise</w:t>
            </w:r>
            <w:proofErr w:type="spellEnd"/>
            <w:r>
              <w:t xml:space="preserve"> logs/clusters/charts</w:t>
            </w:r>
          </w:p>
        </w:tc>
        <w:tc>
          <w:tcPr>
            <w:tcW w:w="2880" w:type="dxa"/>
            <w:vAlign w:val="center"/>
          </w:tcPr>
          <w:p w14:paraId="612F2F53" w14:textId="77777777" w:rsidR="00743633" w:rsidRDefault="00000000">
            <w:pPr>
              <w:cnfStyle w:val="000000100000" w:firstRow="0" w:lastRow="0" w:firstColumn="0" w:lastColumn="0" w:oddVBand="0" w:evenVBand="0" w:oddHBand="1" w:evenHBand="0" w:firstRowFirstColumn="0" w:firstRowLastColumn="0" w:lastRowFirstColumn="0" w:lastRowLastColumn="0"/>
            </w:pPr>
            <w:r>
              <w:t>Yes, inside Log Analytics</w:t>
            </w:r>
          </w:p>
        </w:tc>
        <w:tc>
          <w:tcPr>
            <w:tcW w:w="2880" w:type="dxa"/>
            <w:vAlign w:val="center"/>
          </w:tcPr>
          <w:p w14:paraId="6A3779D6" w14:textId="77777777" w:rsidR="00743633" w:rsidRDefault="00000000">
            <w:pPr>
              <w:cnfStyle w:val="000000100000" w:firstRow="0" w:lastRow="0" w:firstColumn="0" w:lastColumn="0" w:oddVBand="0" w:evenVBand="0" w:oddHBand="1" w:evenHBand="0" w:firstRowFirstColumn="0" w:firstRowLastColumn="0" w:lastRowFirstColumn="0" w:lastRowLastColumn="0"/>
            </w:pPr>
            <w:r>
              <w:t>May consume reviewed Log Analytics evidence</w:t>
            </w:r>
          </w:p>
        </w:tc>
      </w:tr>
      <w:tr w:rsidR="00743633" w14:paraId="6F563321"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4A5B5635" w14:textId="77777777" w:rsidR="00743633" w:rsidRDefault="00000000">
            <w:r>
              <w:t>Mix selected OCI Monitoring metrics with logs</w:t>
            </w:r>
          </w:p>
        </w:tc>
        <w:tc>
          <w:tcPr>
            <w:tcW w:w="2880" w:type="dxa"/>
            <w:vAlign w:val="center"/>
          </w:tcPr>
          <w:p w14:paraId="2D071AA1" w14:textId="77777777" w:rsidR="00743633" w:rsidRDefault="00000000">
            <w:pPr>
              <w:cnfStyle w:val="000000000000" w:firstRow="0" w:lastRow="0" w:firstColumn="0" w:lastColumn="0" w:oddVBand="0" w:evenVBand="0" w:oddHBand="0" w:evenHBand="0" w:firstRowFirstColumn="0" w:firstRowLastColumn="0" w:lastRowFirstColumn="0" w:lastRowLastColumn="0"/>
            </w:pPr>
            <w:r>
              <w:t>Yes, for AI analysis</w:t>
            </w:r>
          </w:p>
        </w:tc>
        <w:tc>
          <w:tcPr>
            <w:tcW w:w="2880" w:type="dxa"/>
            <w:vAlign w:val="center"/>
          </w:tcPr>
          <w:p w14:paraId="04955122" w14:textId="77777777" w:rsidR="00743633" w:rsidRDefault="00000000">
            <w:pPr>
              <w:cnfStyle w:val="000000000000" w:firstRow="0" w:lastRow="0" w:firstColumn="0" w:lastColumn="0" w:oddVBand="0" w:evenVBand="0" w:oddHBand="0" w:evenHBand="0" w:firstRowFirstColumn="0" w:firstRowLastColumn="0" w:lastRowFirstColumn="0" w:lastRowLastColumn="0"/>
            </w:pPr>
            <w:r>
              <w:t xml:space="preserve">Retrieves </w:t>
            </w:r>
            <w:proofErr w:type="spellStart"/>
            <w:r>
              <w:t>authorised</w:t>
            </w:r>
            <w:proofErr w:type="spellEnd"/>
            <w:r>
              <w:t xml:space="preserve"> cross-domain evidence through controlled tools</w:t>
            </w:r>
          </w:p>
        </w:tc>
      </w:tr>
      <w:tr w:rsidR="00743633" w14:paraId="23560FB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F47884" w14:textId="77777777" w:rsidR="00743633" w:rsidRDefault="00000000">
            <w:r>
              <w:t>Maintain end-to-end incident state</w:t>
            </w:r>
          </w:p>
        </w:tc>
        <w:tc>
          <w:tcPr>
            <w:tcW w:w="2880" w:type="dxa"/>
            <w:vAlign w:val="center"/>
          </w:tcPr>
          <w:p w14:paraId="35C03FA3"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2B562855" w14:textId="77777777" w:rsidR="00743633" w:rsidRDefault="00000000">
            <w:pPr>
              <w:cnfStyle w:val="000000100000" w:firstRow="0" w:lastRow="0" w:firstColumn="0" w:lastColumn="0" w:oddVBand="0" w:evenVBand="0" w:oddHBand="1" w:evenHBand="0" w:firstRowFirstColumn="0" w:firstRowLastColumn="0" w:lastRowFirstColumn="0" w:lastRowLastColumn="0"/>
            </w:pPr>
            <w:r>
              <w:t>Custom requirement</w:t>
            </w:r>
          </w:p>
        </w:tc>
      </w:tr>
      <w:tr w:rsidR="00743633" w14:paraId="6557291E"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37A66462" w14:textId="77777777" w:rsidR="00743633" w:rsidRDefault="00000000">
            <w:r>
              <w:t>Reconcile UA topology, OEM/APM and ServiceNow state</w:t>
            </w:r>
          </w:p>
        </w:tc>
        <w:tc>
          <w:tcPr>
            <w:tcW w:w="2880" w:type="dxa"/>
            <w:vAlign w:val="center"/>
          </w:tcPr>
          <w:p w14:paraId="0565C937" w14:textId="77777777" w:rsidR="00743633" w:rsidRDefault="00000000">
            <w:pPr>
              <w:cnfStyle w:val="000000000000" w:firstRow="0" w:lastRow="0" w:firstColumn="0" w:lastColumn="0" w:oddVBand="0" w:evenVBand="0" w:oddHBand="0" w:evenHBand="0" w:firstRowFirstColumn="0" w:firstRowLastColumn="0" w:lastRowFirstColumn="0" w:lastRowLastColumn="0"/>
            </w:pPr>
            <w:r>
              <w:t>No</w:t>
            </w:r>
          </w:p>
        </w:tc>
        <w:tc>
          <w:tcPr>
            <w:tcW w:w="2880" w:type="dxa"/>
            <w:vAlign w:val="center"/>
          </w:tcPr>
          <w:p w14:paraId="2CE4ECA4" w14:textId="77777777" w:rsidR="00743633" w:rsidRDefault="00000000">
            <w:pPr>
              <w:cnfStyle w:val="000000000000" w:firstRow="0" w:lastRow="0" w:firstColumn="0" w:lastColumn="0" w:oddVBand="0" w:evenVBand="0" w:oddHBand="0" w:evenHBand="0" w:firstRowFirstColumn="0" w:firstRowLastColumn="0" w:lastRowFirstColumn="0" w:lastRowLastColumn="0"/>
            </w:pPr>
            <w:r>
              <w:t>Custom requirement</w:t>
            </w:r>
          </w:p>
        </w:tc>
      </w:tr>
      <w:tr w:rsidR="00743633" w14:paraId="3E83CE9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BD1400F" w14:textId="77777777" w:rsidR="00743633" w:rsidRDefault="00000000">
            <w:r>
              <w:t>Package evidence by resolver group</w:t>
            </w:r>
          </w:p>
        </w:tc>
        <w:tc>
          <w:tcPr>
            <w:tcW w:w="2880" w:type="dxa"/>
            <w:vAlign w:val="center"/>
          </w:tcPr>
          <w:p w14:paraId="05936954"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033C61E2" w14:textId="77777777" w:rsidR="00743633" w:rsidRDefault="00000000">
            <w:pPr>
              <w:cnfStyle w:val="000000100000" w:firstRow="0" w:lastRow="0" w:firstColumn="0" w:lastColumn="0" w:oddVBand="0" w:evenVBand="0" w:oddHBand="1" w:evenHBand="0" w:firstRowFirstColumn="0" w:firstRowLastColumn="0" w:lastRowFirstColumn="0" w:lastRowLastColumn="0"/>
            </w:pPr>
            <w:r>
              <w:t>Custom requirement</w:t>
            </w:r>
          </w:p>
        </w:tc>
      </w:tr>
      <w:tr w:rsidR="00743633" w14:paraId="6CFE7DF5"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6198D570" w14:textId="77777777" w:rsidR="00743633" w:rsidRDefault="00000000">
            <w:r>
              <w:t>Assign actions or draft stakeholder communications</w:t>
            </w:r>
          </w:p>
        </w:tc>
        <w:tc>
          <w:tcPr>
            <w:tcW w:w="2880" w:type="dxa"/>
            <w:vAlign w:val="center"/>
          </w:tcPr>
          <w:p w14:paraId="3F411A15" w14:textId="77777777" w:rsidR="00743633" w:rsidRDefault="00000000">
            <w:pPr>
              <w:cnfStyle w:val="000000000000" w:firstRow="0" w:lastRow="0" w:firstColumn="0" w:lastColumn="0" w:oddVBand="0" w:evenVBand="0" w:oddHBand="0" w:evenHBand="0" w:firstRowFirstColumn="0" w:firstRowLastColumn="0" w:lastRowFirstColumn="0" w:lastRowLastColumn="0"/>
            </w:pPr>
            <w:r>
              <w:t>Follow-up insight only; not the incident owner</w:t>
            </w:r>
          </w:p>
        </w:tc>
        <w:tc>
          <w:tcPr>
            <w:tcW w:w="2880" w:type="dxa"/>
            <w:vAlign w:val="center"/>
          </w:tcPr>
          <w:p w14:paraId="3F925CCA" w14:textId="77777777" w:rsidR="00743633" w:rsidRDefault="00000000">
            <w:pPr>
              <w:cnfStyle w:val="000000000000" w:firstRow="0" w:lastRow="0" w:firstColumn="0" w:lastColumn="0" w:oddVBand="0" w:evenVBand="0" w:oddHBand="0" w:evenHBand="0" w:firstRowFirstColumn="0" w:firstRowLastColumn="0" w:lastRowFirstColumn="0" w:lastRowLastColumn="0"/>
            </w:pPr>
            <w:r>
              <w:t>Custom, advisory workflow</w:t>
            </w:r>
          </w:p>
        </w:tc>
      </w:tr>
      <w:tr w:rsidR="00743633" w14:paraId="3ADC48A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A331244" w14:textId="77777777" w:rsidR="00743633" w:rsidRDefault="00000000">
            <w:r>
              <w:t>Execute production changes</w:t>
            </w:r>
          </w:p>
        </w:tc>
        <w:tc>
          <w:tcPr>
            <w:tcW w:w="2880" w:type="dxa"/>
            <w:vAlign w:val="center"/>
          </w:tcPr>
          <w:p w14:paraId="1450BB0F" w14:textId="77777777" w:rsidR="00743633"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vAlign w:val="center"/>
          </w:tcPr>
          <w:p w14:paraId="7824E7C4" w14:textId="77777777" w:rsidR="00743633" w:rsidRDefault="00000000">
            <w:pPr>
              <w:cnfStyle w:val="000000100000" w:firstRow="0" w:lastRow="0" w:firstColumn="0" w:lastColumn="0" w:oddVBand="0" w:evenVBand="0" w:oddHBand="1" w:evenHBand="0" w:firstRowFirstColumn="0" w:firstRowLastColumn="0" w:lastRowFirstColumn="0" w:lastRowLastColumn="0"/>
            </w:pPr>
            <w:r>
              <w:t>Disabled by default; any future tool requires explicit allowlist, human approval and audit</w:t>
            </w:r>
          </w:p>
        </w:tc>
      </w:tr>
      <w:tr w:rsidR="00743633" w14:paraId="78A98C1D"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2FDD2C6E" w14:textId="77777777" w:rsidR="00743633" w:rsidRDefault="00000000">
            <w:r>
              <w:t>Required owner</w:t>
            </w:r>
          </w:p>
        </w:tc>
        <w:tc>
          <w:tcPr>
            <w:tcW w:w="2880" w:type="dxa"/>
            <w:vAlign w:val="center"/>
          </w:tcPr>
          <w:p w14:paraId="52FE3D0B" w14:textId="77777777" w:rsidR="00743633" w:rsidRDefault="00000000">
            <w:pPr>
              <w:cnfStyle w:val="000000000000" w:firstRow="0" w:lastRow="0" w:firstColumn="0" w:lastColumn="0" w:oddVBand="0" w:evenVBand="0" w:oddHBand="0" w:evenHBand="0" w:firstRowFirstColumn="0" w:firstRowLastColumn="0" w:lastRowFirstColumn="0" w:lastRowLastColumn="0"/>
            </w:pPr>
            <w:r>
              <w:t>Observability &amp; Security, with security/residency review</w:t>
            </w:r>
          </w:p>
        </w:tc>
        <w:tc>
          <w:tcPr>
            <w:tcW w:w="2880" w:type="dxa"/>
            <w:vAlign w:val="center"/>
          </w:tcPr>
          <w:p w14:paraId="7E78BAF7"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with Observability &amp; Security, Operations and Security</w:t>
            </w:r>
          </w:p>
        </w:tc>
      </w:tr>
    </w:tbl>
    <w:p w14:paraId="1B713471" w14:textId="77777777" w:rsidR="00743633" w:rsidRDefault="00000000">
      <w:proofErr w:type="spellStart"/>
      <w:r>
        <w:t>LoganAI</w:t>
      </w:r>
      <w:proofErr w:type="spellEnd"/>
      <w:r>
        <w:t xml:space="preserve"> is currently documented for the commercial OC1 realm and depends on OCI Generative AI availability in a selected region. Enabling it may send log data from the Log Analytics region to the chosen Generative AI region and incurs model usage. Realm, region, IAM, quota, model licensing, cost and residency must be approved before use.</w:t>
      </w:r>
    </w:p>
    <w:p w14:paraId="60F588EC" w14:textId="77777777" w:rsidR="00743633" w:rsidRDefault="00000000">
      <w:pPr>
        <w:pStyle w:val="Heading1"/>
      </w:pPr>
      <w:r>
        <w:t>6. OOTB gaps requiring CSS, partner or product-team development</w:t>
      </w:r>
    </w:p>
    <w:tbl>
      <w:tblPr>
        <w:tblStyle w:val="ListTable3"/>
        <w:tblW w:w="0" w:type="auto"/>
        <w:tblLook w:val="04A0" w:firstRow="1" w:lastRow="0" w:firstColumn="1" w:lastColumn="0" w:noHBand="0" w:noVBand="1"/>
      </w:tblPr>
      <w:tblGrid>
        <w:gridCol w:w="2880"/>
        <w:gridCol w:w="2880"/>
        <w:gridCol w:w="2880"/>
      </w:tblGrid>
      <w:tr w:rsidR="00743633" w14:paraId="22625F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4692B694" w14:textId="77777777" w:rsidR="00743633" w:rsidRDefault="00000000">
            <w:r>
              <w:t>Gap</w:t>
            </w:r>
          </w:p>
        </w:tc>
        <w:tc>
          <w:tcPr>
            <w:tcW w:w="2880" w:type="dxa"/>
            <w:vAlign w:val="center"/>
          </w:tcPr>
          <w:p w14:paraId="05731460" w14:textId="77777777" w:rsidR="00743633" w:rsidRDefault="00000000">
            <w:pPr>
              <w:cnfStyle w:val="100000000000" w:firstRow="1" w:lastRow="0" w:firstColumn="0" w:lastColumn="0" w:oddVBand="0" w:evenVBand="0" w:oddHBand="0" w:evenHBand="0" w:firstRowFirstColumn="0" w:firstRowLastColumn="0" w:lastRowFirstColumn="0" w:lastRowLastColumn="0"/>
            </w:pPr>
            <w:r>
              <w:t>Required work</w:t>
            </w:r>
          </w:p>
        </w:tc>
        <w:tc>
          <w:tcPr>
            <w:tcW w:w="2880" w:type="dxa"/>
            <w:vAlign w:val="center"/>
          </w:tcPr>
          <w:p w14:paraId="2AE15ABA" w14:textId="77777777" w:rsidR="00743633" w:rsidRDefault="00000000">
            <w:pPr>
              <w:cnfStyle w:val="100000000000" w:firstRow="1" w:lastRow="0" w:firstColumn="0" w:lastColumn="0" w:oddVBand="0" w:evenVBand="0" w:oddHBand="0" w:evenHBand="0" w:firstRowFirstColumn="0" w:firstRowLastColumn="0" w:lastRowFirstColumn="0" w:lastRowLastColumn="0"/>
            </w:pPr>
            <w:r>
              <w:t>Owner</w:t>
            </w:r>
          </w:p>
        </w:tc>
      </w:tr>
      <w:tr w:rsidR="00743633" w14:paraId="3B8200D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2FF00FE" w14:textId="77777777" w:rsidR="00743633" w:rsidRDefault="00000000">
            <w:r>
              <w:t>Group canonical event/entity/service schema</w:t>
            </w:r>
          </w:p>
        </w:tc>
        <w:tc>
          <w:tcPr>
            <w:tcW w:w="2880" w:type="dxa"/>
            <w:vAlign w:val="center"/>
          </w:tcPr>
          <w:p w14:paraId="7BD5E05E" w14:textId="77777777" w:rsidR="00743633" w:rsidRDefault="00000000">
            <w:pPr>
              <w:cnfStyle w:val="000000100000" w:firstRow="0" w:lastRow="0" w:firstColumn="0" w:lastColumn="0" w:oddVBand="0" w:evenVBand="0" w:oddHBand="1" w:evenHBand="0" w:firstRowFirstColumn="0" w:firstRowLastColumn="0" w:lastRowFirstColumn="0" w:lastRowLastColumn="0"/>
            </w:pPr>
            <w:r>
              <w:t>Design mappings, identity resolution, versioning, data-quality checks and controlled promotion.</w:t>
            </w:r>
          </w:p>
        </w:tc>
        <w:tc>
          <w:tcPr>
            <w:tcW w:w="2880" w:type="dxa"/>
            <w:vAlign w:val="center"/>
          </w:tcPr>
          <w:p w14:paraId="570D7D05" w14:textId="77777777" w:rsidR="00743633" w:rsidRDefault="00000000">
            <w:pPr>
              <w:cnfStyle w:val="000000100000" w:firstRow="0" w:lastRow="0" w:firstColumn="0" w:lastColumn="0" w:oddVBand="0" w:evenVBand="0" w:oddHBand="1" w:evenHBand="0" w:firstRowFirstColumn="0" w:firstRowLastColumn="0" w:lastRowFirstColumn="0" w:lastRowLastColumn="0"/>
            </w:pPr>
            <w:r>
              <w:t>CSS/qualified integration partner with Observability &amp; Security and data governance.</w:t>
            </w:r>
          </w:p>
        </w:tc>
      </w:tr>
      <w:tr w:rsidR="00743633" w14:paraId="4E75E0FF"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0567BBD0" w14:textId="77777777" w:rsidR="00743633" w:rsidRDefault="00000000">
            <w:r>
              <w:t>Proprietary network/OEM collectors</w:t>
            </w:r>
          </w:p>
        </w:tc>
        <w:tc>
          <w:tcPr>
            <w:tcW w:w="2880" w:type="dxa"/>
            <w:vAlign w:val="center"/>
          </w:tcPr>
          <w:p w14:paraId="779CBD67" w14:textId="77777777" w:rsidR="00743633" w:rsidRDefault="00000000">
            <w:pPr>
              <w:cnfStyle w:val="000000000000" w:firstRow="0" w:lastRow="0" w:firstColumn="0" w:lastColumn="0" w:oddVBand="0" w:evenVBand="0" w:oddHBand="0" w:evenHBand="0" w:firstRowFirstColumn="0" w:firstRowLastColumn="0" w:lastRowFirstColumn="0" w:lastRowLastColumn="0"/>
            </w:pPr>
            <w:r>
              <w:t>Confirm supported interfaces; build/test parsers or adapters where uncovered.</w:t>
            </w:r>
          </w:p>
        </w:tc>
        <w:tc>
          <w:tcPr>
            <w:tcW w:w="2880" w:type="dxa"/>
            <w:vAlign w:val="center"/>
          </w:tcPr>
          <w:p w14:paraId="531B0404" w14:textId="77777777" w:rsidR="00743633" w:rsidRDefault="00000000">
            <w:pPr>
              <w:cnfStyle w:val="000000000000" w:firstRow="0" w:lastRow="0" w:firstColumn="0" w:lastColumn="0" w:oddVBand="0" w:evenVBand="0" w:oddHBand="0" w:evenHBand="0" w:firstRowFirstColumn="0" w:firstRowLastColumn="0" w:lastRowFirstColumn="0" w:lastRowLastColumn="0"/>
            </w:pPr>
            <w:r>
              <w:t>Product team and OEM/vendor; CSS/partner implements the supported integration.</w:t>
            </w:r>
          </w:p>
        </w:tc>
      </w:tr>
      <w:tr w:rsidR="00743633" w14:paraId="08BEA4F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B4584C9" w14:textId="77777777" w:rsidR="00743633" w:rsidRDefault="00000000">
            <w:proofErr w:type="spellStart"/>
            <w:r>
              <w:t>Axian</w:t>
            </w:r>
            <w:proofErr w:type="spellEnd"/>
            <w:r>
              <w:t>-specific Log Analytics parsers and dashboards</w:t>
            </w:r>
          </w:p>
        </w:tc>
        <w:tc>
          <w:tcPr>
            <w:tcW w:w="2880" w:type="dxa"/>
            <w:vAlign w:val="center"/>
          </w:tcPr>
          <w:p w14:paraId="5503C6F2" w14:textId="77777777" w:rsidR="00743633" w:rsidRDefault="00000000">
            <w:pPr>
              <w:cnfStyle w:val="000000100000" w:firstRow="0" w:lastRow="0" w:firstColumn="0" w:lastColumn="0" w:oddVBand="0" w:evenVBand="0" w:oddHBand="1" w:evenHBand="0" w:firstRowFirstColumn="0" w:firstRowLastColumn="0" w:lastRowFirstColumn="0" w:lastRowLastColumn="0"/>
            </w:pPr>
            <w:r>
              <w:t>Create, test and lifecycle-manage sources, parsers, labels, dashboards and alert queries.</w:t>
            </w:r>
          </w:p>
        </w:tc>
        <w:tc>
          <w:tcPr>
            <w:tcW w:w="2880" w:type="dxa"/>
            <w:vAlign w:val="center"/>
          </w:tcPr>
          <w:p w14:paraId="0CF40709" w14:textId="77777777" w:rsidR="00743633" w:rsidRDefault="00000000">
            <w:pPr>
              <w:cnfStyle w:val="000000100000" w:firstRow="0" w:lastRow="0" w:firstColumn="0" w:lastColumn="0" w:oddVBand="0" w:evenVBand="0" w:oddHBand="1" w:evenHBand="0" w:firstRowFirstColumn="0" w:firstRowLastColumn="0" w:lastRowFirstColumn="0" w:lastRowLastColumn="0"/>
            </w:pPr>
            <w:r>
              <w:t>Observability &amp; Security with CSS/partner where required.</w:t>
            </w:r>
          </w:p>
        </w:tc>
      </w:tr>
      <w:tr w:rsidR="00743633" w14:paraId="40F01B93"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14CA354D" w14:textId="77777777" w:rsidR="00743633" w:rsidRDefault="00000000">
            <w:r>
              <w:lastRenderedPageBreak/>
              <w:t>Application telemetry</w:t>
            </w:r>
          </w:p>
        </w:tc>
        <w:tc>
          <w:tcPr>
            <w:tcW w:w="2880" w:type="dxa"/>
            <w:vAlign w:val="center"/>
          </w:tcPr>
          <w:p w14:paraId="2C6B8199" w14:textId="77777777" w:rsidR="00743633" w:rsidRDefault="00000000">
            <w:pPr>
              <w:cnfStyle w:val="000000000000" w:firstRow="0" w:lastRow="0" w:firstColumn="0" w:lastColumn="0" w:oddVBand="0" w:evenVBand="0" w:oddHBand="0" w:evenHBand="0" w:firstRowFirstColumn="0" w:firstRowLastColumn="0" w:lastRowFirstColumn="0" w:lastRowLastColumn="0"/>
            </w:pPr>
            <w:r>
              <w:t>Instrument applications and journeys; add service/resource attributes, trace propagation and SLOs.</w:t>
            </w:r>
          </w:p>
        </w:tc>
        <w:tc>
          <w:tcPr>
            <w:tcW w:w="2880" w:type="dxa"/>
            <w:vAlign w:val="center"/>
          </w:tcPr>
          <w:p w14:paraId="33578E05" w14:textId="77777777" w:rsidR="00743633" w:rsidRDefault="00000000">
            <w:pPr>
              <w:cnfStyle w:val="000000000000" w:firstRow="0" w:lastRow="0" w:firstColumn="0" w:lastColumn="0" w:oddVBand="0" w:evenVBand="0" w:oddHBand="0" w:evenHBand="0" w:firstRowFirstColumn="0" w:firstRowLastColumn="0" w:lastRowFirstColumn="0" w:lastRowLastColumn="0"/>
            </w:pPr>
            <w:r>
              <w:t>Application/product teams; Observability &amp; Security defines the standard.</w:t>
            </w:r>
          </w:p>
        </w:tc>
      </w:tr>
      <w:tr w:rsidR="00743633" w14:paraId="603657F6"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65EB45D" w14:textId="77777777" w:rsidR="00743633" w:rsidRDefault="00000000">
            <w:r>
              <w:t>Database Management/Ops Insights onboarding</w:t>
            </w:r>
          </w:p>
        </w:tc>
        <w:tc>
          <w:tcPr>
            <w:tcW w:w="2880" w:type="dxa"/>
            <w:vAlign w:val="center"/>
          </w:tcPr>
          <w:p w14:paraId="0A3A2516" w14:textId="77777777" w:rsidR="00743633" w:rsidRDefault="00000000">
            <w:pPr>
              <w:cnfStyle w:val="000000100000" w:firstRow="0" w:lastRow="0" w:firstColumn="0" w:lastColumn="0" w:oddVBand="0" w:evenVBand="0" w:oddHBand="1" w:evenHBand="0" w:firstRowFirstColumn="0" w:firstRowLastColumn="0" w:lastRowFirstColumn="0" w:lastRowLastColumn="0"/>
            </w:pPr>
            <w:r>
              <w:t>Configure target connectivity, agents, credentials, privileges and commercial scope.</w:t>
            </w:r>
          </w:p>
        </w:tc>
        <w:tc>
          <w:tcPr>
            <w:tcW w:w="2880" w:type="dxa"/>
            <w:vAlign w:val="center"/>
          </w:tcPr>
          <w:p w14:paraId="73AD738A" w14:textId="77777777" w:rsidR="00743633" w:rsidRDefault="00000000">
            <w:pPr>
              <w:cnfStyle w:val="000000100000" w:firstRow="0" w:lastRow="0" w:firstColumn="0" w:lastColumn="0" w:oddVBand="0" w:evenVBand="0" w:oddHBand="1" w:evenHBand="0" w:firstRowFirstColumn="0" w:firstRowLastColumn="0" w:lastRowFirstColumn="0" w:lastRowLastColumn="0"/>
            </w:pPr>
            <w:r>
              <w:t>Database/Oracle platform team; Operations (Pablo) participates in operations acceptance.</w:t>
            </w:r>
          </w:p>
        </w:tc>
      </w:tr>
      <w:tr w:rsidR="00743633" w14:paraId="58C23B8A" w14:textId="77777777" w:rsidTr="00743633">
        <w:tc>
          <w:tcPr>
            <w:cnfStyle w:val="001000000000" w:firstRow="0" w:lastRow="0" w:firstColumn="1" w:lastColumn="0" w:oddVBand="0" w:evenVBand="0" w:oddHBand="0" w:evenHBand="0" w:firstRowFirstColumn="0" w:firstRowLastColumn="0" w:lastRowFirstColumn="0" w:lastRowLastColumn="0"/>
            <w:tcW w:w="2880" w:type="dxa"/>
            <w:vAlign w:val="center"/>
          </w:tcPr>
          <w:p w14:paraId="1FD968B0" w14:textId="77777777" w:rsidR="00743633" w:rsidRDefault="00000000">
            <w:r>
              <w:t>Dedicated agentic incident commander</w:t>
            </w:r>
          </w:p>
        </w:tc>
        <w:tc>
          <w:tcPr>
            <w:tcW w:w="2880" w:type="dxa"/>
            <w:vAlign w:val="center"/>
          </w:tcPr>
          <w:p w14:paraId="7291E620" w14:textId="77777777" w:rsidR="00743633" w:rsidRDefault="00000000">
            <w:pPr>
              <w:cnfStyle w:val="000000000000" w:firstRow="0" w:lastRow="0" w:firstColumn="0" w:lastColumn="0" w:oddVBand="0" w:evenVBand="0" w:oddHBand="0" w:evenHBand="0" w:firstRowFirstColumn="0" w:firstRowLastColumn="0" w:lastRowFirstColumn="0" w:lastRowLastColumn="0"/>
            </w:pPr>
            <w:r>
              <w:t>Build retrieval, tool contracts, cross-domain evidence model, citations, guardrails, evaluation, audit and approval UX.</w:t>
            </w:r>
          </w:p>
        </w:tc>
        <w:tc>
          <w:tcPr>
            <w:tcW w:w="2880" w:type="dxa"/>
            <w:vAlign w:val="center"/>
          </w:tcPr>
          <w:p w14:paraId="623650AF" w14:textId="77777777" w:rsidR="00743633" w:rsidRDefault="00000000">
            <w:pPr>
              <w:cnfStyle w:val="000000000000" w:firstRow="0" w:lastRow="0" w:firstColumn="0" w:lastColumn="0" w:oddVBand="0" w:evenVBand="0" w:oddHBand="0" w:evenHBand="0" w:firstRowFirstColumn="0" w:firstRowLastColumn="0" w:lastRowFirstColumn="0" w:lastRowLastColumn="0"/>
            </w:pPr>
            <w:r>
              <w:t>OCI AI Team (Alex Negrea) with CSS/qualified AI partner; Observability &amp; Security, Operations and Security accept.</w:t>
            </w:r>
          </w:p>
        </w:tc>
      </w:tr>
      <w:tr w:rsidR="00743633" w14:paraId="1BA1C30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E73018A" w14:textId="77777777" w:rsidR="00743633" w:rsidRDefault="00000000">
            <w:r>
              <w:t>Production sizing and SLO/DR commitments</w:t>
            </w:r>
          </w:p>
        </w:tc>
        <w:tc>
          <w:tcPr>
            <w:tcW w:w="2880" w:type="dxa"/>
            <w:vAlign w:val="center"/>
          </w:tcPr>
          <w:p w14:paraId="0D0ECDE6" w14:textId="77777777" w:rsidR="00743633" w:rsidRDefault="00000000">
            <w:pPr>
              <w:cnfStyle w:val="000000100000" w:firstRow="0" w:lastRow="0" w:firstColumn="0" w:lastColumn="0" w:oddVBand="0" w:evenVBand="0" w:oddHBand="1" w:evenHBand="0" w:firstRowFirstColumn="0" w:firstRowLastColumn="0" w:lastRowFirstColumn="0" w:lastRowLastColumn="0"/>
            </w:pPr>
            <w:r>
              <w:t>Benchmark measured volume, cardinality, retention, query latency, failure, restore and failover.</w:t>
            </w:r>
          </w:p>
        </w:tc>
        <w:tc>
          <w:tcPr>
            <w:tcW w:w="2880" w:type="dxa"/>
            <w:vAlign w:val="center"/>
          </w:tcPr>
          <w:p w14:paraId="0BFD9DF7" w14:textId="77777777" w:rsidR="00743633" w:rsidRDefault="00000000">
            <w:pPr>
              <w:cnfStyle w:val="000000100000" w:firstRow="0" w:lastRow="0" w:firstColumn="0" w:lastColumn="0" w:oddVBand="0" w:evenVBand="0" w:oddHBand="1" w:evenHBand="0" w:firstRowFirstColumn="0" w:firstRowLastColumn="0" w:lastRowFirstColumn="0" w:lastRowLastColumn="0"/>
            </w:pPr>
            <w:r>
              <w:t xml:space="preserve">Joint Oracle/CSS/partner team; </w:t>
            </w:r>
            <w:proofErr w:type="spellStart"/>
            <w:r>
              <w:t>Axian</w:t>
            </w:r>
            <w:proofErr w:type="spellEnd"/>
            <w:r>
              <w:t xml:space="preserve"> owners sign acceptance.</w:t>
            </w:r>
          </w:p>
        </w:tc>
      </w:tr>
    </w:tbl>
    <w:p>
      <w:pPr>
        <w:pStyle w:val="Heading1"/>
        <w:pageBreakBefore/>
      </w:pPr>
      <w:r>
        <w:t>7. Solution bill of materials (BOM)</w:t>
      </w:r>
    </w:p>
    <w:p>
      <w:pPr>
        <w:jc w:val="both"/>
      </w:pPr>
      <w:r>
        <w:t>This BOM is a solution and procurement baseline, not a binding commercial quote. Exact service quantities and SKUs must be generated from measured discovery data and the applicable Oracle agreement. The current 2 TB/day figure is a planning input only until it is split by OPCO, region, telemetry type, searchable retention and archive retention.</w:t>
      </w:r>
    </w:p>
    <w:p>
      <w:pPr>
        <w:pStyle w:val="Heading2"/>
      </w:pPr>
      <w:r>
        <w:t>Platform and subscription BOM</w:t>
      </w:r>
    </w:p>
    <w:tbl>
      <w:tblPr>
        <w:tblStyle w:val="ListTable3"/>
        <w:tblW w:type="dxa" w:w="9468"/>
        <w:jc w:val="left"/>
        <w:tblLayout w:type="fixed"/>
        <w:tblLook w:firstColumn="1" w:firstRow="1" w:lastColumn="0" w:lastRow="0" w:noHBand="0" w:noVBand="1" w:val="04A0"/>
        <w:tblInd w:type="dxa" w:w="110"/>
      </w:tblPr>
      <w:tblGrid>
        <w:gridCol w:w="2260"/>
        <w:gridCol w:w="1600"/>
        <w:gridCol w:w="3020"/>
        <w:gridCol w:w="2588"/>
      </w:tblGrid>
      <w:tr>
        <w:trPr>
          <w:tblHeader w:val="true"/>
          <w:cantSplit/>
        </w:trPr>
        <w:tc>
          <w:tcPr>
            <w:tcW w:type="dxa" w:w="2260"/>
            <w:tcMar>
              <w:top w:w="90" w:type="dxa"/>
              <w:bottom w:w="90" w:type="dxa"/>
              <w:start w:w="110" w:type="dxa"/>
              <w:end w:w="110" w:type="dxa"/>
            </w:tcMar>
            <w:vAlign w:val="center"/>
          </w:tcPr>
          <w:p>
            <w:pPr>
              <w:spacing w:after="0" w:before="0" w:line="240" w:lineRule="auto"/>
            </w:pPr>
            <w:r>
              <w:rPr>
                <w:sz w:val="16"/>
              </w:rPr>
              <w:t>Layer / component</w:t>
            </w:r>
          </w:p>
        </w:tc>
        <w:tc>
          <w:tcPr>
            <w:tcW w:type="dxa" w:w="1600"/>
            <w:tcMar>
              <w:top w:w="90" w:type="dxa"/>
              <w:bottom w:w="90" w:type="dxa"/>
              <w:start w:w="110" w:type="dxa"/>
              <w:end w:w="110" w:type="dxa"/>
            </w:tcMar>
            <w:vAlign w:val="center"/>
          </w:tcPr>
          <w:p>
            <w:pPr>
              <w:spacing w:after="0" w:before="0" w:line="240" w:lineRule="auto"/>
            </w:pPr>
            <w:r>
              <w:rPr>
                <w:sz w:val="16"/>
              </w:rPr>
              <w:t>Status</w:t>
            </w:r>
          </w:p>
        </w:tc>
        <w:tc>
          <w:tcPr>
            <w:tcW w:type="dxa" w:w="3020"/>
            <w:tcMar>
              <w:top w:w="90" w:type="dxa"/>
              <w:bottom w:w="90" w:type="dxa"/>
              <w:start w:w="110" w:type="dxa"/>
              <w:end w:w="110" w:type="dxa"/>
            </w:tcMar>
            <w:vAlign w:val="center"/>
          </w:tcPr>
          <w:p>
            <w:pPr>
              <w:spacing w:after="0" w:before="0" w:line="240" w:lineRule="auto"/>
            </w:pPr>
            <w:r>
              <w:rPr>
                <w:sz w:val="16"/>
              </w:rPr>
              <w:t>Baseline quantity or sizing driver</w:t>
            </w:r>
          </w:p>
        </w:tc>
        <w:tc>
          <w:tcPr>
            <w:tcW w:type="dxa" w:w="2588"/>
            <w:tcMar>
              <w:top w:w="90" w:type="dxa"/>
              <w:bottom w:w="90" w:type="dxa"/>
              <w:start w:w="110" w:type="dxa"/>
              <w:end w:w="110" w:type="dxa"/>
            </w:tcMar>
            <w:vAlign w:val="center"/>
          </w:tcPr>
          <w:p>
            <w:pPr>
              <w:spacing w:after="0" w:before="0" w:line="240" w:lineRule="auto"/>
            </w:pPr>
            <w:r>
              <w:rPr>
                <w:sz w:val="16"/>
              </w:rPr>
              <w:t>Commercial / implementation note</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Oracle Communications Unified Assurance Hyperscale core</w:t>
            </w:r>
          </w:p>
        </w:tc>
        <w:tc>
          <w:tcPr>
            <w:tcW w:type="dxa" w:w="1600"/>
            <w:tcMar>
              <w:top w:w="90" w:type="dxa"/>
              <w:bottom w:w="90" w:type="dxa"/>
              <w:start w:w="110" w:type="dxa"/>
              <w:end w:w="110" w:type="dxa"/>
            </w:tcMar>
            <w:vAlign w:val="center"/>
          </w:tcPr>
          <w:p>
            <w:pPr>
              <w:spacing w:after="0" w:before="0" w:line="240" w:lineRule="auto"/>
              <w:jc w:val="center"/>
            </w:pPr>
            <w:r>
              <w:rPr>
                <w:sz w:val="16"/>
              </w:rPr>
              <w:t>Existing / Assurance dependency</w:t>
            </w:r>
          </w:p>
        </w:tc>
        <w:tc>
          <w:tcPr>
            <w:tcW w:type="dxa" w:w="3020"/>
            <w:tcMar>
              <w:top w:w="90" w:type="dxa"/>
              <w:bottom w:w="90" w:type="dxa"/>
              <w:start w:w="110" w:type="dxa"/>
              <w:end w:w="110" w:type="dxa"/>
            </w:tcMar>
            <w:vAlign w:val="center"/>
          </w:tcPr>
          <w:p>
            <w:pPr>
              <w:spacing w:after="0" w:before="0" w:line="240" w:lineRule="auto"/>
            </w:pPr>
            <w:r>
              <w:rPr>
                <w:sz w:val="16"/>
              </w:rPr>
              <w:t>One Group logical platform with production, non-production and DR capacity sized by event rate, topology size, service models, concurrent operators and OPCO isolation.</w:t>
            </w:r>
          </w:p>
        </w:tc>
        <w:tc>
          <w:tcPr>
            <w:tcW w:type="dxa" w:w="2588"/>
            <w:tcMar>
              <w:top w:w="90" w:type="dxa"/>
              <w:bottom w:w="90" w:type="dxa"/>
              <w:start w:w="110" w:type="dxa"/>
              <w:end w:w="110" w:type="dxa"/>
            </w:tcMar>
            <w:vAlign w:val="center"/>
          </w:tcPr>
          <w:p>
            <w:pPr>
              <w:spacing w:after="0" w:before="0" w:line="240" w:lineRule="auto"/>
            </w:pPr>
            <w:r>
              <w:rPr>
                <w:sz w:val="16"/>
              </w:rPr>
              <w:t>Supplied and licensed by the Assurance workstream; not priced in the OCI O&amp;M estimate.</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Unified Assurance collectors and source adapters</w:t>
            </w:r>
          </w:p>
        </w:tc>
        <w:tc>
          <w:tcPr>
            <w:tcW w:type="dxa" w:w="1600"/>
            <w:tcMar>
              <w:top w:w="90" w:type="dxa"/>
              <w:bottom w:w="90" w:type="dxa"/>
              <w:start w:w="110" w:type="dxa"/>
              <w:end w:w="110" w:type="dxa"/>
            </w:tcMar>
            <w:vAlign w:val="center"/>
          </w:tcPr>
          <w:p>
            <w:pPr>
              <w:spacing w:after="0" w:before="0" w:line="240" w:lineRule="auto"/>
              <w:jc w:val="center"/>
            </w:pPr>
            <w:r>
              <w:rPr>
                <w:sz w:val="16"/>
              </w:rPr>
              <w:t>Required dependency</w:t>
            </w:r>
          </w:p>
        </w:tc>
        <w:tc>
          <w:tcPr>
            <w:tcW w:type="dxa" w:w="3020"/>
            <w:tcMar>
              <w:top w:w="90" w:type="dxa"/>
              <w:bottom w:w="90" w:type="dxa"/>
              <w:start w:w="110" w:type="dxa"/>
              <w:end w:w="110" w:type="dxa"/>
            </w:tcMar>
            <w:vAlign w:val="center"/>
          </w:tcPr>
          <w:p>
            <w:pPr>
              <w:spacing w:after="0" w:before="0" w:line="240" w:lineRule="auto"/>
            </w:pPr>
            <w:r>
              <w:rPr>
                <w:sz w:val="16"/>
              </w:rPr>
              <w:t>Collector capacity per OPCO, failure domain and source type; count from the approved telecom, infrastructure, OEM and application interface catalogue.</w:t>
            </w:r>
          </w:p>
        </w:tc>
        <w:tc>
          <w:tcPr>
            <w:tcW w:type="dxa" w:w="2588"/>
            <w:tcMar>
              <w:top w:w="90" w:type="dxa"/>
              <w:bottom w:w="90" w:type="dxa"/>
              <w:start w:w="110" w:type="dxa"/>
              <w:end w:w="110" w:type="dxa"/>
            </w:tcMar>
            <w:vAlign w:val="center"/>
          </w:tcPr>
          <w:p>
            <w:pPr>
              <w:spacing w:after="0" w:before="0" w:line="240" w:lineRule="auto"/>
            </w:pPr>
            <w:r>
              <w:rPr>
                <w:sz w:val="16"/>
              </w:rPr>
              <w:t>Assurance/product teams confirm supported collectors; uncovered proprietary interfaces require CSS/partner work.</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Unified Assurance native ServiceNow Adapter</w:t>
            </w:r>
          </w:p>
        </w:tc>
        <w:tc>
          <w:tcPr>
            <w:tcW w:type="dxa" w:w="1600"/>
            <w:tcMar>
              <w:top w:w="90" w:type="dxa"/>
              <w:bottom w:w="90" w:type="dxa"/>
              <w:start w:w="110" w:type="dxa"/>
              <w:end w:w="110" w:type="dxa"/>
            </w:tcMar>
            <w:vAlign w:val="center"/>
          </w:tcPr>
          <w:p>
            <w:pPr>
              <w:spacing w:after="0" w:before="0" w:line="240" w:lineRule="auto"/>
              <w:jc w:val="center"/>
            </w:pPr>
            <w:r>
              <w:rPr>
                <w:sz w:val="16"/>
              </w:rPr>
              <w:t>Required interface</w:t>
            </w:r>
          </w:p>
        </w:tc>
        <w:tc>
          <w:tcPr>
            <w:tcW w:type="dxa" w:w="3020"/>
            <w:tcMar>
              <w:top w:w="90" w:type="dxa"/>
              <w:bottom w:w="90" w:type="dxa"/>
              <w:start w:w="110" w:type="dxa"/>
              <w:end w:w="110" w:type="dxa"/>
            </w:tcMar>
            <w:vAlign w:val="center"/>
          </w:tcPr>
          <w:p>
            <w:pPr>
              <w:spacing w:after="0" w:before="0" w:line="240" w:lineRule="auto"/>
            </w:pPr>
            <w:r>
              <w:rPr>
                <w:sz w:val="16"/>
              </w:rPr>
              <w:t>One Group ServiceNow integration plus non-production test path; validate 50-300 tickets/day per OPCO, retries, idempotency and bidirectional state.</w:t>
            </w:r>
          </w:p>
        </w:tc>
        <w:tc>
          <w:tcPr>
            <w:tcW w:type="dxa" w:w="2588"/>
            <w:tcMar>
              <w:top w:w="90" w:type="dxa"/>
              <w:bottom w:w="90" w:type="dxa"/>
              <w:start w:w="110" w:type="dxa"/>
              <w:end w:w="110" w:type="dxa"/>
            </w:tcMar>
            <w:vAlign w:val="center"/>
          </w:tcPr>
          <w:p>
            <w:pPr>
              <w:spacing w:after="0" w:before="0" w:line="240" w:lineRule="auto"/>
            </w:pPr>
            <w:r>
              <w:rPr>
                <w:sz w:val="16"/>
              </w:rPr>
              <w:t>Verify UA adapter entitlement. This remains the only incident create/update/close path; no OIC SKU is included.</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Oracle Enterprise Manager Cloud Control, repository and Management Agents</w:t>
            </w:r>
          </w:p>
        </w:tc>
        <w:tc>
          <w:tcPr>
            <w:tcW w:type="dxa" w:w="1600"/>
            <w:tcMar>
              <w:top w:w="90" w:type="dxa"/>
              <w:bottom w:w="90" w:type="dxa"/>
              <w:start w:w="110" w:type="dxa"/>
              <w:end w:w="110" w:type="dxa"/>
            </w:tcMar>
            <w:vAlign w:val="center"/>
          </w:tcPr>
          <w:p>
            <w:pPr>
              <w:spacing w:after="0" w:before="0" w:line="240" w:lineRule="auto"/>
              <w:jc w:val="center"/>
            </w:pPr>
            <w:r>
              <w:rPr>
                <w:sz w:val="16"/>
              </w:rPr>
              <w:t>Existing / conditional</w:t>
            </w:r>
          </w:p>
        </w:tc>
        <w:tc>
          <w:tcPr>
            <w:tcW w:type="dxa" w:w="3020"/>
            <w:tcMar>
              <w:top w:w="90" w:type="dxa"/>
              <w:bottom w:w="90" w:type="dxa"/>
              <w:start w:w="110" w:type="dxa"/>
              <w:end w:w="110" w:type="dxa"/>
            </w:tcMar>
            <w:vAlign w:val="center"/>
          </w:tcPr>
          <w:p>
            <w:pPr>
              <w:spacing w:after="0" w:before="0" w:line="240" w:lineRule="auto"/>
            </w:pPr>
            <w:r>
              <w:rPr>
                <w:sz w:val="16"/>
              </w:rPr>
              <w:t>Reuse the approved OEM estate; validate OMS/repository HA, target count, plug-ins, agent versions, API/export load and DR.</w:t>
            </w:r>
          </w:p>
        </w:tc>
        <w:tc>
          <w:tcPr>
            <w:tcW w:type="dxa" w:w="2588"/>
            <w:tcMar>
              <w:top w:w="90" w:type="dxa"/>
              <w:bottom w:w="90" w:type="dxa"/>
              <w:start w:w="110" w:type="dxa"/>
              <w:end w:w="110" w:type="dxa"/>
            </w:tcMar>
            <w:vAlign w:val="center"/>
          </w:tcPr>
          <w:p>
            <w:pPr>
              <w:spacing w:after="0" w:before="0" w:line="240" w:lineRule="auto"/>
            </w:pPr>
            <w:r>
              <w:rPr>
                <w:sz w:val="16"/>
              </w:rPr>
              <w:t>Operations involvement (Pablo) is required. New OEM infrastructure is not assumed until discovery identifies a gap.</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OEM Diagnostics, Tuning and other applicable Management Packs</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w:t>
            </w:r>
          </w:p>
        </w:tc>
        <w:tc>
          <w:tcPr>
            <w:tcW w:type="dxa" w:w="3020"/>
            <w:tcMar>
              <w:top w:w="90" w:type="dxa"/>
              <w:bottom w:w="90" w:type="dxa"/>
              <w:start w:w="110" w:type="dxa"/>
              <w:end w:w="110" w:type="dxa"/>
            </w:tcMar>
            <w:vAlign w:val="center"/>
          </w:tcPr>
          <w:p>
            <w:pPr>
              <w:spacing w:after="0" w:before="0" w:line="240" w:lineRule="auto"/>
            </w:pPr>
            <w:r>
              <w:rPr>
                <w:sz w:val="16"/>
              </w:rPr>
              <w:t>Quantity follows the applicable license metric and managed-target scope. Enable only the pack features selected by the database/OEM team.</w:t>
            </w:r>
          </w:p>
        </w:tc>
        <w:tc>
          <w:tcPr>
            <w:tcW w:type="dxa" w:w="2588"/>
            <w:tcMar>
              <w:top w:w="90" w:type="dxa"/>
              <w:bottom w:w="90" w:type="dxa"/>
              <w:start w:w="110" w:type="dxa"/>
              <w:end w:w="110" w:type="dxa"/>
            </w:tcMar>
            <w:vAlign w:val="center"/>
          </w:tcPr>
          <w:p>
            <w:pPr>
              <w:spacing w:after="0" w:before="0" w:line="240" w:lineRule="auto"/>
            </w:pPr>
            <w:r>
              <w:rPr>
                <w:sz w:val="16"/>
              </w:rPr>
              <w:t>Entitlement must be verified before use; no pack is assumed merely because OEM is installed.</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Monitoring</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Compartments, custom metric streams, dimensions, alarms, notification fan-out and query volume; separate Group and OPCO scopes.</w:t>
            </w:r>
          </w:p>
        </w:tc>
        <w:tc>
          <w:tcPr>
            <w:tcW w:type="dxa" w:w="2588"/>
            <w:tcMar>
              <w:top w:w="90" w:type="dxa"/>
              <w:bottom w:w="90" w:type="dxa"/>
              <w:start w:w="110" w:type="dxa"/>
              <w:end w:w="110" w:type="dxa"/>
            </w:tcMar>
            <w:vAlign w:val="center"/>
          </w:tcPr>
          <w:p>
            <w:pPr>
              <w:spacing w:after="0" w:before="0" w:line="240" w:lineRule="auto"/>
            </w:pPr>
            <w:r>
              <w:rPr>
                <w:sz w:val="16"/>
              </w:rPr>
              <w:t>Use the current Oracle rate card/Cost Estimator after metric cardinality and alarm design are known.</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Logging</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Daily service/custom log ingestion, active search retention, log groups and cross-region/residency routing.</w:t>
            </w:r>
          </w:p>
        </w:tc>
        <w:tc>
          <w:tcPr>
            <w:tcW w:type="dxa" w:w="2588"/>
            <w:tcMar>
              <w:top w:w="90" w:type="dxa"/>
              <w:bottom w:w="90" w:type="dxa"/>
              <w:start w:w="110" w:type="dxa"/>
              <w:end w:w="110" w:type="dxa"/>
            </w:tcMar>
            <w:vAlign w:val="center"/>
          </w:tcPr>
          <w:p>
            <w:pPr>
              <w:spacing w:after="0" w:before="0" w:line="240" w:lineRule="auto"/>
            </w:pPr>
            <w:r>
              <w:rPr>
                <w:sz w:val="16"/>
              </w:rPr>
              <w:t>Product teams own log quality; exclude unapproved raw payloads and duplicate ingestion.</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Connector Hub</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Service connectors per source/destination/residency route, including Log Analytics, Object Storage, Streaming, Notifications and Functions.</w:t>
            </w:r>
          </w:p>
        </w:tc>
        <w:tc>
          <w:tcPr>
            <w:tcW w:type="dxa" w:w="2588"/>
            <w:tcMar>
              <w:top w:w="90" w:type="dxa"/>
              <w:bottom w:w="90" w:type="dxa"/>
              <w:start w:w="110" w:type="dxa"/>
              <w:end w:w="110" w:type="dxa"/>
            </w:tcMar>
            <w:vAlign w:val="center"/>
          </w:tcPr>
          <w:p>
            <w:pPr>
              <w:spacing w:after="0" w:before="0" w:line="240" w:lineRule="auto"/>
            </w:pPr>
            <w:r>
              <w:rPr>
                <w:sz w:val="16"/>
              </w:rPr>
              <w:t>Validate delivery semantics, duplicate handling, dead-letter/replay design and route-health monitoring.</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Log Analytics</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GB/day of selected analytical logs, searchable retention, entities, sources, parsers, scheduled tasks, dashboards and concurrent users.</w:t>
            </w:r>
          </w:p>
        </w:tc>
        <w:tc>
          <w:tcPr>
            <w:tcW w:type="dxa" w:w="2588"/>
            <w:tcMar>
              <w:top w:w="90" w:type="dxa"/>
              <w:bottom w:w="90" w:type="dxa"/>
              <w:start w:w="110" w:type="dxa"/>
              <w:end w:w="110" w:type="dxa"/>
            </w:tcMar>
            <w:vAlign w:val="center"/>
          </w:tcPr>
          <w:p>
            <w:pPr>
              <w:spacing w:after="0" w:before="0" w:line="240" w:lineRule="auto"/>
            </w:pPr>
            <w:r>
              <w:rPr>
                <w:sz w:val="16"/>
              </w:rPr>
              <w:t>Do not size from the full 2 TB/day figure without filtering and tiering. LoganAI/model usage is assessed separately.</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Log Analytics Kubernetes Monitoring Solution</w:t>
            </w:r>
          </w:p>
        </w:tc>
        <w:tc>
          <w:tcPr>
            <w:tcW w:type="dxa" w:w="1600"/>
            <w:tcMar>
              <w:top w:w="90" w:type="dxa"/>
              <w:bottom w:w="90" w:type="dxa"/>
              <w:start w:w="110" w:type="dxa"/>
              <w:end w:w="110" w:type="dxa"/>
            </w:tcMar>
            <w:vAlign w:val="center"/>
          </w:tcPr>
          <w:p>
            <w:pPr>
              <w:spacing w:after="0" w:before="0" w:line="240" w:lineRule="auto"/>
              <w:jc w:val="center"/>
            </w:pPr>
            <w:r>
              <w:rPr>
                <w:sz w:val="16"/>
              </w:rPr>
              <w:t>Required for approved OKE clusters</w:t>
            </w:r>
          </w:p>
        </w:tc>
        <w:tc>
          <w:tcPr>
            <w:tcW w:type="dxa" w:w="3020"/>
            <w:tcMar>
              <w:top w:w="90" w:type="dxa"/>
              <w:bottom w:w="90" w:type="dxa"/>
              <w:start w:w="110" w:type="dxa"/>
              <w:end w:w="110" w:type="dxa"/>
            </w:tcMar>
            <w:vAlign w:val="center"/>
          </w:tcPr>
          <w:p>
            <w:pPr>
              <w:spacing w:after="0" w:before="0" w:line="240" w:lineRule="auto"/>
            </w:pPr>
            <w:r>
              <w:rPr>
                <w:sz w:val="16"/>
              </w:rPr>
              <w:t>One deployment per cluster; size by clusters, nodes, pods, namespaces, log volume, object-state volume and retention.</w:t>
            </w:r>
          </w:p>
        </w:tc>
        <w:tc>
          <w:tcPr>
            <w:tcW w:type="dxa" w:w="2588"/>
            <w:tcMar>
              <w:top w:w="90" w:type="dxa"/>
              <w:bottom w:w="90" w:type="dxa"/>
              <w:start w:w="110" w:type="dxa"/>
              <w:end w:w="110" w:type="dxa"/>
            </w:tcMar>
            <w:vAlign w:val="center"/>
          </w:tcPr>
          <w:p>
            <w:pPr>
              <w:spacing w:after="0" w:before="0" w:line="240" w:lineRule="auto"/>
            </w:pPr>
            <w:r>
              <w:rPr>
                <w:sz w:val="16"/>
              </w:rPr>
              <w:t>Private OKE clusters use the supported manual deployment path; cluster access remains with the platform team.</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LoganAI</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w:t>
            </w:r>
          </w:p>
        </w:tc>
        <w:tc>
          <w:tcPr>
            <w:tcW w:type="dxa" w:w="3020"/>
            <w:tcMar>
              <w:top w:w="90" w:type="dxa"/>
              <w:bottom w:w="90" w:type="dxa"/>
              <w:start w:w="110" w:type="dxa"/>
              <w:end w:w="110" w:type="dxa"/>
            </w:tcMar>
            <w:vAlign w:val="center"/>
          </w:tcPr>
          <w:p>
            <w:pPr>
              <w:spacing w:after="0" w:before="0" w:line="240" w:lineRule="auto"/>
            </w:pPr>
            <w:r>
              <w:rPr>
                <w:sz w:val="16"/>
              </w:rPr>
              <w:t>Enabled users, investigation frequency, selected logs/metrics and model calls after realm/region and residency validation.</w:t>
            </w:r>
          </w:p>
        </w:tc>
        <w:tc>
          <w:tcPr>
            <w:tcW w:type="dxa" w:w="2588"/>
            <w:tcMar>
              <w:top w:w="90" w:type="dxa"/>
              <w:bottom w:w="90" w:type="dxa"/>
              <w:start w:w="110" w:type="dxa"/>
              <w:end w:w="110" w:type="dxa"/>
            </w:tcMar>
            <w:vAlign w:val="center"/>
          </w:tcPr>
          <w:p>
            <w:pPr>
              <w:spacing w:after="0" w:before="0" w:line="240" w:lineRule="auto"/>
            </w:pPr>
            <w:r>
              <w:rPr>
                <w:sz w:val="16"/>
              </w:rPr>
              <w:t>Analyst assistance only; not the dedicated incident commander. Human validation and GenAI consumption apply.</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Application Performance Monitoring</w:t>
            </w:r>
          </w:p>
        </w:tc>
        <w:tc>
          <w:tcPr>
            <w:tcW w:type="dxa" w:w="1600"/>
            <w:tcMar>
              <w:top w:w="90" w:type="dxa"/>
              <w:bottom w:w="90" w:type="dxa"/>
              <w:start w:w="110" w:type="dxa"/>
              <w:end w:w="110" w:type="dxa"/>
            </w:tcMar>
            <w:vAlign w:val="center"/>
          </w:tcPr>
          <w:p>
            <w:pPr>
              <w:spacing w:after="0" w:before="0" w:line="240" w:lineRule="auto"/>
              <w:jc w:val="center"/>
            </w:pPr>
            <w:r>
              <w:rPr>
                <w:sz w:val="16"/>
              </w:rPr>
              <w:t>Required for priority applications</w:t>
            </w:r>
          </w:p>
        </w:tc>
        <w:tc>
          <w:tcPr>
            <w:tcW w:type="dxa" w:w="3020"/>
            <w:tcMar>
              <w:top w:w="90" w:type="dxa"/>
              <w:bottom w:w="90" w:type="dxa"/>
              <w:start w:w="110" w:type="dxa"/>
              <w:end w:w="110" w:type="dxa"/>
            </w:tcMar>
            <w:vAlign w:val="center"/>
          </w:tcPr>
          <w:p>
            <w:pPr>
              <w:spacing w:after="0" w:before="0" w:line="240" w:lineRule="auto"/>
            </w:pPr>
            <w:r>
              <w:rPr>
                <w:sz w:val="16"/>
              </w:rPr>
              <w:t>APM domains by isolation model; size by application servers, spans, browser sessions, synthetic monitors/vantage points and retention.</w:t>
            </w:r>
          </w:p>
        </w:tc>
        <w:tc>
          <w:tcPr>
            <w:tcW w:type="dxa" w:w="2588"/>
            <w:tcMar>
              <w:top w:w="90" w:type="dxa"/>
              <w:bottom w:w="90" w:type="dxa"/>
              <w:start w:w="110" w:type="dxa"/>
              <w:end w:w="110" w:type="dxa"/>
            </w:tcMar>
            <w:vAlign w:val="center"/>
          </w:tcPr>
          <w:p>
            <w:pPr>
              <w:spacing w:after="0" w:before="0" w:line="240" w:lineRule="auto"/>
            </w:pPr>
            <w:r>
              <w:rPr>
                <w:sz w:val="16"/>
              </w:rPr>
              <w:t>Application teams instrument Java, .NET, PHP and APIs and provide service IDs, journeys and SLOs.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Management Agent and Management Gateway</w:t>
            </w:r>
          </w:p>
        </w:tc>
        <w:tc>
          <w:tcPr>
            <w:tcW w:type="dxa" w:w="1600"/>
            <w:tcMar>
              <w:top w:w="90" w:type="dxa"/>
              <w:bottom w:w="90" w:type="dxa"/>
              <w:start w:w="110" w:type="dxa"/>
              <w:end w:w="110" w:type="dxa"/>
            </w:tcMar>
            <w:vAlign w:val="center"/>
          </w:tcPr>
          <w:p>
            <w:pPr>
              <w:spacing w:after="0" w:before="0" w:line="240" w:lineRule="auto"/>
              <w:jc w:val="center"/>
            </w:pPr>
            <w:r>
              <w:rPr>
                <w:sz w:val="16"/>
              </w:rPr>
              <w:t>Required where hybrid collection applies</w:t>
            </w:r>
          </w:p>
        </w:tc>
        <w:tc>
          <w:tcPr>
            <w:tcW w:type="dxa" w:w="3020"/>
            <w:tcMar>
              <w:top w:w="90" w:type="dxa"/>
              <w:bottom w:w="90" w:type="dxa"/>
              <w:start w:w="110" w:type="dxa"/>
              <w:end w:w="110" w:type="dxa"/>
            </w:tcMar>
            <w:vAlign w:val="center"/>
          </w:tcPr>
          <w:p>
            <w:pPr>
              <w:spacing w:after="0" w:before="0" w:line="240" w:lineRule="auto"/>
            </w:pPr>
            <w:r>
              <w:rPr>
                <w:sz w:val="16"/>
              </w:rPr>
              <w:t>Agents per supported target and redundant gateways per disconnected/private network zone; include non-production and DR.</w:t>
            </w:r>
          </w:p>
        </w:tc>
        <w:tc>
          <w:tcPr>
            <w:tcW w:type="dxa" w:w="2588"/>
            <w:tcMar>
              <w:top w:w="90" w:type="dxa"/>
              <w:bottom w:w="90" w:type="dxa"/>
              <w:start w:w="110" w:type="dxa"/>
              <w:end w:w="110" w:type="dxa"/>
            </w:tcMar>
            <w:vAlign w:val="center"/>
          </w:tcPr>
          <w:p>
            <w:pPr>
              <w:spacing w:after="0" w:before="0" w:line="240" w:lineRule="auto"/>
            </w:pPr>
            <w:r>
              <w:rPr>
                <w:sz w:val="16"/>
              </w:rPr>
              <w:t>Distinct from OEM Management Agents. Validate proxy, ports, certificates, upgrade and failure-recovery procedures.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Database Management</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w:t>
            </w:r>
          </w:p>
        </w:tc>
        <w:tc>
          <w:tcPr>
            <w:tcW w:type="dxa" w:w="3020"/>
            <w:tcMar>
              <w:top w:w="90" w:type="dxa"/>
              <w:bottom w:w="90" w:type="dxa"/>
              <w:start w:w="110" w:type="dxa"/>
              <w:end w:w="110" w:type="dxa"/>
            </w:tcMar>
            <w:vAlign w:val="center"/>
          </w:tcPr>
          <w:p>
            <w:pPr>
              <w:spacing w:after="0" w:before="0" w:line="240" w:lineRule="auto"/>
            </w:pPr>
            <w:r>
              <w:rPr>
                <w:sz w:val="16"/>
              </w:rPr>
              <w:t>Managed database/host count, deployment type, collection method, retention and administrative scope.</w:t>
            </w:r>
          </w:p>
        </w:tc>
        <w:tc>
          <w:tcPr>
            <w:tcW w:type="dxa" w:w="2588"/>
            <w:tcMar>
              <w:top w:w="90" w:type="dxa"/>
              <w:bottom w:w="90" w:type="dxa"/>
              <w:start w:w="110" w:type="dxa"/>
              <w:end w:w="110" w:type="dxa"/>
            </w:tcMar>
            <w:vAlign w:val="center"/>
          </w:tcPr>
          <w:p>
            <w:pPr>
              <w:spacing w:after="0" w:before="0" w:line="240" w:lineRule="auto"/>
            </w:pPr>
            <w:r>
              <w:rPr>
                <w:sz w:val="16"/>
              </w:rPr>
              <w:t>Database team supplies connectivity, credentials, privileges and commercial approval.</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Operations Insights</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w:t>
            </w:r>
          </w:p>
        </w:tc>
        <w:tc>
          <w:tcPr>
            <w:tcW w:type="dxa" w:w="3020"/>
            <w:tcMar>
              <w:top w:w="90" w:type="dxa"/>
              <w:bottom w:w="90" w:type="dxa"/>
              <w:start w:w="110" w:type="dxa"/>
              <w:end w:w="110" w:type="dxa"/>
            </w:tcMar>
            <w:vAlign w:val="center"/>
          </w:tcPr>
          <w:p>
            <w:pPr>
              <w:spacing w:after="0" w:before="0" w:line="240" w:lineRule="auto"/>
            </w:pPr>
            <w:r>
              <w:rPr>
                <w:sz w:val="16"/>
              </w:rPr>
              <w:t>Enabled database/host resources, historical capacity data, SQL insights scope and forecast horizon.</w:t>
            </w:r>
          </w:p>
        </w:tc>
        <w:tc>
          <w:tcPr>
            <w:tcW w:type="dxa" w:w="2588"/>
            <w:tcMar>
              <w:top w:w="90" w:type="dxa"/>
              <w:bottom w:w="90" w:type="dxa"/>
              <w:start w:w="110" w:type="dxa"/>
              <w:end w:w="110" w:type="dxa"/>
            </w:tcMar>
            <w:vAlign w:val="center"/>
          </w:tcPr>
          <w:p>
            <w:pPr>
              <w:spacing w:after="0" w:before="0" w:line="240" w:lineRule="auto"/>
            </w:pPr>
            <w:r>
              <w:rPr>
                <w:sz w:val="16"/>
              </w:rPr>
              <w:t>Database/OEM team validates prerequisites and operational use of findings.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Notifications and Events</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Topics, subscriptions, event rules, endpoints, retry policy and regional/OPCO fan-out.</w:t>
            </w:r>
          </w:p>
        </w:tc>
        <w:tc>
          <w:tcPr>
            <w:tcW w:type="dxa" w:w="2588"/>
            <w:tcMar>
              <w:top w:w="90" w:type="dxa"/>
              <w:bottom w:w="90" w:type="dxa"/>
              <w:start w:w="110" w:type="dxa"/>
              <w:end w:w="110" w:type="dxa"/>
            </w:tcMar>
            <w:vAlign w:val="center"/>
          </w:tcPr>
          <w:p>
            <w:pPr>
              <w:spacing w:after="0" w:before="0" w:line="240" w:lineRule="auto"/>
            </w:pPr>
            <w:r>
              <w:rPr>
                <w:sz w:val="16"/>
              </w:rPr>
              <w:t>Used for governed notification and automation entry points; UA remains the incident-policy authority.</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Object Storage and Archive Storage</w:t>
            </w:r>
          </w:p>
        </w:tc>
        <w:tc>
          <w:tcPr>
            <w:tcW w:type="dxa" w:w="1600"/>
            <w:tcMar>
              <w:top w:w="90" w:type="dxa"/>
              <w:bottom w:w="90" w:type="dxa"/>
              <w:start w:w="110" w:type="dxa"/>
              <w:end w:w="110" w:type="dxa"/>
            </w:tcMar>
            <w:vAlign w:val="center"/>
          </w:tcPr>
          <w:p>
            <w:pPr>
              <w:spacing w:after="0" w:before="0" w:line="240" w:lineRule="auto"/>
              <w:jc w:val="center"/>
            </w:pPr>
            <w:r>
              <w:rPr>
                <w:sz w:val="16"/>
              </w:rPr>
              <w:t>Required OCI O&amp;M</w:t>
            </w:r>
          </w:p>
        </w:tc>
        <w:tc>
          <w:tcPr>
            <w:tcW w:type="dxa" w:w="3020"/>
            <w:tcMar>
              <w:top w:w="90" w:type="dxa"/>
              <w:bottom w:w="90" w:type="dxa"/>
              <w:start w:w="110" w:type="dxa"/>
              <w:end w:w="110" w:type="dxa"/>
            </w:tcMar>
            <w:vAlign w:val="center"/>
          </w:tcPr>
          <w:p>
            <w:pPr>
              <w:spacing w:after="0" w:before="0" w:line="240" w:lineRule="auto"/>
            </w:pPr>
            <w:r>
              <w:rPr>
                <w:sz w:val="16"/>
              </w:rPr>
              <w:t>Raw/evidence GB per day, 6-12 month retention by data class, lifecycle tiers, replay frequency, replication and retrieval expectations.</w:t>
            </w:r>
          </w:p>
        </w:tc>
        <w:tc>
          <w:tcPr>
            <w:tcW w:type="dxa" w:w="2588"/>
            <w:tcMar>
              <w:top w:w="90" w:type="dxa"/>
              <w:bottom w:w="90" w:type="dxa"/>
              <w:start w:w="110" w:type="dxa"/>
              <w:end w:w="110" w:type="dxa"/>
            </w:tcMar>
            <w:vAlign w:val="center"/>
          </w:tcPr>
          <w:p>
            <w:pPr>
              <w:spacing w:after="0" w:before="0" w:line="240" w:lineRule="auto"/>
            </w:pPr>
            <w:r>
              <w:rPr>
                <w:sz w:val="16"/>
              </w:rPr>
              <w:t>Apply residency, encryption, legal-hold and lifecycle rules before costing.</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Streaming and/or Queue</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w:t>
            </w:r>
          </w:p>
        </w:tc>
        <w:tc>
          <w:tcPr>
            <w:tcW w:type="dxa" w:w="3020"/>
            <w:tcMar>
              <w:top w:w="90" w:type="dxa"/>
              <w:bottom w:w="90" w:type="dxa"/>
              <w:start w:w="110" w:type="dxa"/>
              <w:end w:w="110" w:type="dxa"/>
            </w:tcMar>
            <w:vAlign w:val="center"/>
          </w:tcPr>
          <w:p>
            <w:pPr>
              <w:spacing w:after="0" w:before="0" w:line="240" w:lineRule="auto"/>
            </w:pPr>
            <w:r>
              <w:rPr>
                <w:sz w:val="16"/>
              </w:rPr>
              <w:t>Partition/throughput, message size, retention, consumer groups, backlog and replay requirements for routes needing buffering.</w:t>
            </w:r>
          </w:p>
        </w:tc>
        <w:tc>
          <w:tcPr>
            <w:tcW w:type="dxa" w:w="2588"/>
            <w:tcMar>
              <w:top w:w="90" w:type="dxa"/>
              <w:bottom w:w="90" w:type="dxa"/>
              <w:start w:w="110" w:type="dxa"/>
              <w:end w:w="110" w:type="dxa"/>
            </w:tcMar>
            <w:vAlign w:val="center"/>
          </w:tcPr>
          <w:p>
            <w:pPr>
              <w:spacing w:after="0" w:before="0" w:line="240" w:lineRule="auto"/>
            </w:pPr>
            <w:r>
              <w:rPr>
                <w:sz w:val="16"/>
              </w:rPr>
              <w:t>Include only where measured throughput or decoupling requirements exceed direct connector/function patterns.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Generative AI project, Responses API and model inference</w:t>
            </w:r>
          </w:p>
        </w:tc>
        <w:tc>
          <w:tcPr>
            <w:tcW w:type="dxa" w:w="1600"/>
            <w:tcMar>
              <w:top w:w="90" w:type="dxa"/>
              <w:bottom w:w="90" w:type="dxa"/>
              <w:start w:w="110" w:type="dxa"/>
              <w:end w:w="110" w:type="dxa"/>
            </w:tcMar>
            <w:vAlign w:val="center"/>
          </w:tcPr>
          <w:p>
            <w:pPr>
              <w:spacing w:after="0" w:before="0" w:line="240" w:lineRule="auto"/>
              <w:jc w:val="center"/>
            </w:pPr>
            <w:r>
              <w:rPr>
                <w:sz w:val="16"/>
              </w:rPr>
              <w:t>Required for the custom incident agent</w:t>
            </w:r>
          </w:p>
        </w:tc>
        <w:tc>
          <w:tcPr>
            <w:tcW w:type="dxa" w:w="3020"/>
            <w:tcMar>
              <w:top w:w="90" w:type="dxa"/>
              <w:bottom w:w="90" w:type="dxa"/>
              <w:start w:w="110" w:type="dxa"/>
              <w:end w:w="110" w:type="dxa"/>
            </w:tcMar>
            <w:vAlign w:val="center"/>
          </w:tcPr>
          <w:p>
            <w:pPr>
              <w:spacing w:after="0" w:before="0" w:line="240" w:lineRule="auto"/>
            </w:pPr>
            <w:r>
              <w:rPr>
                <w:sz w:val="16"/>
              </w:rPr>
              <w:t>One project per approved isolation/environment pattern; size by incidents, turns, input/output tokens, reasoning level, concurrency and one-month-plus evidence context.</w:t>
            </w:r>
          </w:p>
        </w:tc>
        <w:tc>
          <w:tcPr>
            <w:tcW w:type="dxa" w:w="2588"/>
            <w:tcMar>
              <w:top w:w="90" w:type="dxa"/>
              <w:bottom w:w="90" w:type="dxa"/>
              <w:start w:w="110" w:type="dxa"/>
              <w:end w:w="110" w:type="dxa"/>
            </w:tcMar>
            <w:vAlign w:val="center"/>
          </w:tcPr>
          <w:p>
            <w:pPr>
              <w:spacing w:after="0" w:before="0" w:line="240" w:lineRule="auto"/>
            </w:pPr>
            <w:r>
              <w:rPr>
                <w:sz w:val="16"/>
              </w:rPr>
              <w:t>OCI AI Team involvement (Alex Negrea) is required. Model/region, quota, retention, evaluation and residency must be accepted.</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Generative AI Conversations, Files and Vector Stores</w:t>
            </w:r>
          </w:p>
        </w:tc>
        <w:tc>
          <w:tcPr>
            <w:tcW w:type="dxa" w:w="1600"/>
            <w:tcMar>
              <w:top w:w="90" w:type="dxa"/>
              <w:bottom w:w="90" w:type="dxa"/>
              <w:start w:w="110" w:type="dxa"/>
              <w:end w:w="110" w:type="dxa"/>
            </w:tcMar>
            <w:vAlign w:val="center"/>
          </w:tcPr>
          <w:p>
            <w:pPr>
              <w:spacing w:after="0" w:before="0" w:line="240" w:lineRule="auto"/>
              <w:jc w:val="center"/>
            </w:pPr>
            <w:r>
              <w:rPr>
                <w:sz w:val="16"/>
              </w:rPr>
              <w:t>Conditional agent capability</w:t>
            </w:r>
          </w:p>
        </w:tc>
        <w:tc>
          <w:tcPr>
            <w:tcW w:type="dxa" w:w="3020"/>
            <w:tcMar>
              <w:top w:w="90" w:type="dxa"/>
              <w:bottom w:w="90" w:type="dxa"/>
              <w:start w:w="110" w:type="dxa"/>
              <w:end w:w="110" w:type="dxa"/>
            </w:tcMar>
            <w:vAlign w:val="center"/>
          </w:tcPr>
          <w:p>
            <w:pPr>
              <w:spacing w:after="0" w:before="0" w:line="240" w:lineRule="auto"/>
            </w:pPr>
            <w:r>
              <w:rPr>
                <w:sz w:val="16"/>
              </w:rPr>
              <w:t>Conversation count/retention, runbook and evidence corpus size, vector-store growth, file ingestion and retrieval calls.</w:t>
            </w:r>
          </w:p>
        </w:tc>
        <w:tc>
          <w:tcPr>
            <w:tcW w:type="dxa" w:w="2588"/>
            <w:tcMar>
              <w:top w:w="90" w:type="dxa"/>
              <w:bottom w:w="90" w:type="dxa"/>
              <w:start w:w="110" w:type="dxa"/>
              <w:end w:w="110" w:type="dxa"/>
            </w:tcMar>
            <w:vAlign w:val="center"/>
          </w:tcPr>
          <w:p>
            <w:pPr>
              <w:spacing w:after="0" w:before="0" w:line="240" w:lineRule="auto"/>
            </w:pPr>
            <w:r>
              <w:rPr>
                <w:sz w:val="16"/>
              </w:rPr>
              <w:t>Include only the approved memory/RAG pattern; source provenance, deletion and access isolation are acceptance gates.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API Gateway</w:t>
            </w:r>
          </w:p>
        </w:tc>
        <w:tc>
          <w:tcPr>
            <w:tcW w:type="dxa" w:w="1600"/>
            <w:tcMar>
              <w:top w:w="90" w:type="dxa"/>
              <w:bottom w:w="90" w:type="dxa"/>
              <w:start w:w="110" w:type="dxa"/>
              <w:end w:w="110" w:type="dxa"/>
            </w:tcMar>
            <w:vAlign w:val="center"/>
          </w:tcPr>
          <w:p>
            <w:pPr>
              <w:spacing w:after="0" w:before="0" w:line="240" w:lineRule="auto"/>
              <w:jc w:val="center"/>
            </w:pPr>
            <w:r>
              <w:rPr>
                <w:sz w:val="16"/>
              </w:rPr>
              <w:t>Required for the governed tool plane</w:t>
            </w:r>
          </w:p>
        </w:tc>
        <w:tc>
          <w:tcPr>
            <w:tcW w:type="dxa" w:w="3020"/>
            <w:tcMar>
              <w:top w:w="90" w:type="dxa"/>
              <w:bottom w:w="90" w:type="dxa"/>
              <w:start w:w="110" w:type="dxa"/>
              <w:end w:w="110" w:type="dxa"/>
            </w:tcMar>
            <w:vAlign w:val="center"/>
          </w:tcPr>
          <w:p>
            <w:pPr>
              <w:spacing w:after="0" w:before="0" w:line="240" w:lineRule="auto"/>
            </w:pPr>
            <w:r>
              <w:rPr>
                <w:sz w:val="16"/>
              </w:rPr>
              <w:t>Private/approved public endpoints, requests, payload size, rate limits, custom domains, certificates and environment/region count.</w:t>
            </w:r>
          </w:p>
        </w:tc>
        <w:tc>
          <w:tcPr>
            <w:tcW w:type="dxa" w:w="2588"/>
            <w:tcMar>
              <w:top w:w="90" w:type="dxa"/>
              <w:bottom w:w="90" w:type="dxa"/>
              <w:start w:w="110" w:type="dxa"/>
              <w:end w:w="110" w:type="dxa"/>
            </w:tcMar>
            <w:vAlign w:val="center"/>
          </w:tcPr>
          <w:p>
            <w:pPr>
              <w:spacing w:after="0" w:before="0" w:line="240" w:lineRule="auto"/>
            </w:pPr>
            <w:r>
              <w:rPr>
                <w:sz w:val="16"/>
              </w:rPr>
              <w:t>Exposes only allowlisted UA, OCI, OEM/vendor, ServiceNow/CMDB-read and customer API contracts.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Functions</w:t>
            </w:r>
          </w:p>
        </w:tc>
        <w:tc>
          <w:tcPr>
            <w:tcW w:type="dxa" w:w="1600"/>
            <w:tcMar>
              <w:top w:w="90" w:type="dxa"/>
              <w:bottom w:w="90" w:type="dxa"/>
              <w:start w:w="110" w:type="dxa"/>
              <w:end w:w="110" w:type="dxa"/>
            </w:tcMar>
            <w:vAlign w:val="center"/>
          </w:tcPr>
          <w:p>
            <w:pPr>
              <w:spacing w:after="0" w:before="0" w:line="240" w:lineRule="auto"/>
              <w:jc w:val="center"/>
            </w:pPr>
            <w:r>
              <w:rPr>
                <w:sz w:val="16"/>
              </w:rPr>
              <w:t>Required for bounded API adapters</w:t>
            </w:r>
          </w:p>
        </w:tc>
        <w:tc>
          <w:tcPr>
            <w:tcW w:type="dxa" w:w="3020"/>
            <w:tcMar>
              <w:top w:w="90" w:type="dxa"/>
              <w:bottom w:w="90" w:type="dxa"/>
              <w:start w:w="110" w:type="dxa"/>
              <w:end w:w="110" w:type="dxa"/>
            </w:tcMar>
            <w:vAlign w:val="center"/>
          </w:tcPr>
          <w:p>
            <w:pPr>
              <w:spacing w:after="0" w:before="0" w:line="240" w:lineRule="auto"/>
            </w:pPr>
            <w:r>
              <w:rPr>
                <w:sz w:val="16"/>
              </w:rPr>
              <w:t>Function count, invocations, execution time, memory, concurrency, network access, retries and deployment environments.</w:t>
            </w:r>
          </w:p>
        </w:tc>
        <w:tc>
          <w:tcPr>
            <w:tcW w:type="dxa" w:w="2588"/>
            <w:tcMar>
              <w:top w:w="90" w:type="dxa"/>
              <w:bottom w:w="90" w:type="dxa"/>
              <w:start w:w="110" w:type="dxa"/>
              <w:end w:w="110" w:type="dxa"/>
            </w:tcMar>
            <w:vAlign w:val="center"/>
          </w:tcPr>
          <w:p>
            <w:pPr>
              <w:spacing w:after="0" w:before="0" w:line="240" w:lineRule="auto"/>
            </w:pPr>
            <w:r>
              <w:rPr>
                <w:sz w:val="16"/>
              </w:rPr>
              <w:t>CSS/partner develops schema validation, redaction and adapters. Read-only is default; mutations require approval and rollback evidence.</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IAM, Vault, Audit and Cloud Guard</w:t>
            </w:r>
          </w:p>
        </w:tc>
        <w:tc>
          <w:tcPr>
            <w:tcW w:type="dxa" w:w="1600"/>
            <w:tcMar>
              <w:top w:w="90" w:type="dxa"/>
              <w:bottom w:w="90" w:type="dxa"/>
              <w:start w:w="110" w:type="dxa"/>
              <w:end w:w="110" w:type="dxa"/>
            </w:tcMar>
            <w:vAlign w:val="center"/>
          </w:tcPr>
          <w:p>
            <w:pPr>
              <w:spacing w:after="0" w:before="0" w:line="240" w:lineRule="auto"/>
              <w:jc w:val="center"/>
            </w:pPr>
            <w:r>
              <w:rPr>
                <w:sz w:val="16"/>
              </w:rPr>
              <w:t>Required security baseline</w:t>
            </w:r>
          </w:p>
        </w:tc>
        <w:tc>
          <w:tcPr>
            <w:tcW w:type="dxa" w:w="3020"/>
            <w:tcMar>
              <w:top w:w="90" w:type="dxa"/>
              <w:bottom w:w="90" w:type="dxa"/>
              <w:start w:w="110" w:type="dxa"/>
              <w:end w:w="110" w:type="dxa"/>
            </w:tcMar>
            <w:vAlign w:val="center"/>
          </w:tcPr>
          <w:p>
            <w:pPr>
              <w:spacing w:after="0" w:before="0" w:line="240" w:lineRule="auto"/>
            </w:pPr>
            <w:r>
              <w:rPr>
                <w:sz w:val="16"/>
              </w:rPr>
              <w:t>Compartments, groups/dynamic groups, policies, secrets/keys, rotation, audit retention, detector/target scope and OPCO isolation.</w:t>
            </w:r>
          </w:p>
        </w:tc>
        <w:tc>
          <w:tcPr>
            <w:tcW w:type="dxa" w:w="2588"/>
            <w:tcMar>
              <w:top w:w="90" w:type="dxa"/>
              <w:bottom w:w="90" w:type="dxa"/>
              <w:start w:w="110" w:type="dxa"/>
              <w:end w:w="110" w:type="dxa"/>
            </w:tcMar>
            <w:vAlign w:val="center"/>
          </w:tcPr>
          <w:p>
            <w:pPr>
              <w:spacing w:after="0" w:before="0" w:line="240" w:lineRule="auto"/>
            </w:pPr>
            <w:r>
              <w:rPr>
                <w:sz w:val="16"/>
              </w:rPr>
              <w:t>Observability &amp; Security defines controls; product teams request least-privilege access to their resources.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Private networking, DNS, certificates and WAF where public exposure is approved</w:t>
            </w:r>
          </w:p>
        </w:tc>
        <w:tc>
          <w:tcPr>
            <w:tcW w:type="dxa" w:w="1600"/>
            <w:tcMar>
              <w:top w:w="90" w:type="dxa"/>
              <w:bottom w:w="90" w:type="dxa"/>
              <w:start w:w="110" w:type="dxa"/>
              <w:end w:w="110" w:type="dxa"/>
            </w:tcMar>
            <w:vAlign w:val="center"/>
          </w:tcPr>
          <w:p>
            <w:pPr>
              <w:spacing w:after="0" w:before="0" w:line="240" w:lineRule="auto"/>
              <w:jc w:val="center"/>
            </w:pPr>
            <w:r>
              <w:rPr>
                <w:sz w:val="16"/>
              </w:rPr>
              <w:t>External dependency / conditional</w:t>
            </w:r>
          </w:p>
        </w:tc>
        <w:tc>
          <w:tcPr>
            <w:tcW w:type="dxa" w:w="3020"/>
            <w:tcMar>
              <w:top w:w="90" w:type="dxa"/>
              <w:bottom w:w="90" w:type="dxa"/>
              <w:start w:w="110" w:type="dxa"/>
              <w:end w:w="110" w:type="dxa"/>
            </w:tcMar>
            <w:vAlign w:val="center"/>
          </w:tcPr>
          <w:p>
            <w:pPr>
              <w:spacing w:after="0" w:before="0" w:line="240" w:lineRule="auto"/>
            </w:pPr>
            <w:r>
              <w:rPr>
                <w:sz w:val="16"/>
              </w:rPr>
              <w:t>Connectivity per OPCO and region, private endpoints, DRG/VPN/FastConnect capacity, DNS zones, certificates and WAF policies.</w:t>
            </w:r>
          </w:p>
        </w:tc>
        <w:tc>
          <w:tcPr>
            <w:tcW w:type="dxa" w:w="2588"/>
            <w:tcMar>
              <w:top w:w="90" w:type="dxa"/>
              <w:bottom w:w="90" w:type="dxa"/>
              <w:start w:w="110" w:type="dxa"/>
              <w:end w:w="110" w:type="dxa"/>
            </w:tcMar>
            <w:vAlign w:val="center"/>
          </w:tcPr>
          <w:p>
            <w:pPr>
              <w:spacing w:after="0" w:before="0" w:line="240" w:lineRule="auto"/>
            </w:pPr>
            <w:r>
              <w:rPr>
                <w:sz w:val="16"/>
              </w:rPr>
              <w:t>Network/security product teams provide these components. They are dependencies, not part of the OCI O&amp;M service estimate.</w:t>
            </w:r>
          </w:p>
        </w:tc>
      </w:tr>
    </w:tbl>
    <w:p>
      <w:pPr>
        <w:pStyle w:val="Heading2"/>
      </w:pPr>
      <w:r>
        <w:t>Reference configuration assumptions</w:t>
      </w:r>
    </w:p>
    <w:p>
      <w:pPr>
        <w:pStyle w:val="Smallbullet"/>
      </w:pPr>
      <w:r>
        <w:t>Production and non-production are required; DR resources are duplicated in a second approved region only after service availability, residency and the stated RTO/RPO are validated.</w:t>
      </w:r>
    </w:p>
    <w:p>
      <w:pPr>
        <w:pStyle w:val="Smallbullet"/>
      </w:pPr>
      <w:r>
        <w:t>Retention is 6-12 months by data class, with searchable, analytical and archive tiers; at least one month of approved history is planned for AI use cases.</w:t>
      </w:r>
    </w:p>
    <w:p>
      <w:pPr>
        <w:pStyle w:val="Smallbullet"/>
      </w:pPr>
      <w:r>
        <w:t>All commercial quantities remain TBD after discovery; the Oracle Cloud Cost Estimator is evaluation guidance and the applicable Oracle quote/rate card is authoritative.</w:t>
      </w:r>
    </w:p>
    <w:p>
      <w:pPr>
        <w:pStyle w:val="Heading2"/>
      </w:pPr>
      <w:r>
        <w:t>Implementation and professional-services BOM</w:t>
      </w:r>
    </w:p>
    <w:tbl>
      <w:tblPr>
        <w:tblStyle w:val="ListTable3"/>
        <w:tblW w:type="dxa" w:w="9468"/>
        <w:jc w:val="left"/>
        <w:tblLayout w:type="fixed"/>
        <w:tblLook w:firstColumn="1" w:firstRow="1" w:lastColumn="0" w:lastRow="0" w:noHBand="0" w:noVBand="1" w:val="04A0"/>
        <w:tblInd w:type="dxa" w:w="110"/>
      </w:tblPr>
      <w:tblGrid>
        <w:gridCol w:w="2260"/>
        <w:gridCol w:w="4100"/>
        <w:gridCol w:w="3108"/>
      </w:tblGrid>
      <w:tr>
        <w:trPr>
          <w:tblHeader w:val="true"/>
          <w:cantSplit/>
        </w:trPr>
        <w:tc>
          <w:tcPr>
            <w:tcW w:type="dxa" w:w="2260"/>
            <w:tcMar>
              <w:top w:w="90" w:type="dxa"/>
              <w:bottom w:w="90" w:type="dxa"/>
              <w:start w:w="110" w:type="dxa"/>
              <w:end w:w="110" w:type="dxa"/>
            </w:tcMar>
            <w:vAlign w:val="center"/>
          </w:tcPr>
          <w:p>
            <w:pPr>
              <w:spacing w:after="0" w:before="0" w:line="240" w:lineRule="auto"/>
            </w:pPr>
            <w:r>
              <w:rPr>
                <w:sz w:val="16"/>
              </w:rPr>
              <w:t>Work package</w:t>
            </w:r>
          </w:p>
        </w:tc>
        <w:tc>
          <w:tcPr>
            <w:tcW w:type="dxa" w:w="4100"/>
            <w:tcMar>
              <w:top w:w="90" w:type="dxa"/>
              <w:bottom w:w="90" w:type="dxa"/>
              <w:start w:w="110" w:type="dxa"/>
              <w:end w:w="110" w:type="dxa"/>
            </w:tcMar>
            <w:vAlign w:val="center"/>
          </w:tcPr>
          <w:p>
            <w:pPr>
              <w:spacing w:after="0" w:before="0" w:line="240" w:lineRule="auto"/>
            </w:pPr>
            <w:r>
              <w:rPr>
                <w:sz w:val="16"/>
              </w:rPr>
              <w:t>Deliverable</w:t>
            </w:r>
          </w:p>
        </w:tc>
        <w:tc>
          <w:tcPr>
            <w:tcW w:type="dxa" w:w="3108"/>
            <w:tcMar>
              <w:top w:w="90" w:type="dxa"/>
              <w:bottom w:w="90" w:type="dxa"/>
              <w:start w:w="110" w:type="dxa"/>
              <w:end w:w="110" w:type="dxa"/>
            </w:tcMar>
            <w:vAlign w:val="center"/>
          </w:tcPr>
          <w:p>
            <w:pPr>
              <w:spacing w:after="0" w:before="0" w:line="240" w:lineRule="auto"/>
            </w:pPr>
            <w:r>
              <w:rPr>
                <w:sz w:val="16"/>
              </w:rPr>
              <w:t>Sizing / acceptance basis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Discovery and detailed design</w:t>
            </w:r>
          </w:p>
        </w:tc>
        <w:tc>
          <w:tcPr>
            <w:tcW w:type="dxa" w:w="4100"/>
            <w:tcMar>
              <w:top w:w="90" w:type="dxa"/>
              <w:bottom w:w="90" w:type="dxa"/>
              <w:start w:w="110" w:type="dxa"/>
              <w:end w:w="110" w:type="dxa"/>
            </w:tcMar>
            <w:vAlign w:val="center"/>
          </w:tcPr>
          <w:p>
            <w:pPr>
              <w:spacing w:after="0" w:before="0" w:line="240" w:lineRule="auto"/>
            </w:pPr>
            <w:r>
              <w:rPr>
                <w:sz w:val="16"/>
              </w:rPr>
              <w:t>Source inventory, volume/cardinality study, retention/residency classes, target architecture, security model and final commercial BOM.</w:t>
            </w:r>
          </w:p>
        </w:tc>
        <w:tc>
          <w:tcPr>
            <w:tcW w:type="dxa" w:w="3108"/>
            <w:tcMar>
              <w:top w:w="90" w:type="dxa"/>
              <w:bottom w:w="90" w:type="dxa"/>
              <w:start w:w="110" w:type="dxa"/>
              <w:end w:w="110" w:type="dxa"/>
            </w:tcMar>
            <w:vAlign w:val="center"/>
          </w:tcPr>
          <w:p>
            <w:pPr>
              <w:spacing w:after="0" w:before="0" w:line="240" w:lineRule="auto"/>
            </w:pPr>
            <w:r>
              <w:rPr>
                <w:sz w:val="16"/>
              </w:rPr>
              <w:t>All OPCOs and priority tools sampled; 2 TB/day and ticket-volume assumptions reconciled.</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OCI observability foundation</w:t>
            </w:r>
          </w:p>
        </w:tc>
        <w:tc>
          <w:tcPr>
            <w:tcW w:type="dxa" w:w="4100"/>
            <w:tcMar>
              <w:top w:w="90" w:type="dxa"/>
              <w:bottom w:w="90" w:type="dxa"/>
              <w:start w:w="110" w:type="dxa"/>
              <w:end w:w="110" w:type="dxa"/>
            </w:tcMar>
            <w:vAlign w:val="center"/>
          </w:tcPr>
          <w:p>
            <w:pPr>
              <w:spacing w:after="0" w:before="0" w:line="240" w:lineRule="auto"/>
            </w:pPr>
            <w:r>
              <w:rPr>
                <w:sz w:val="16"/>
              </w:rPr>
              <w:t>Compartments, IAM, Vault, log groups, Monitoring, Logging, Connector Hub, Notifications, Object Storage and monitor-the-monitoring controls.</w:t>
            </w:r>
          </w:p>
        </w:tc>
        <w:tc>
          <w:tcPr>
            <w:tcW w:type="dxa" w:w="3108"/>
            <w:tcMar>
              <w:top w:w="90" w:type="dxa"/>
              <w:bottom w:w="90" w:type="dxa"/>
              <w:start w:w="110" w:type="dxa"/>
              <w:end w:w="110" w:type="dxa"/>
            </w:tcMar>
            <w:vAlign w:val="center"/>
          </w:tcPr>
          <w:p>
            <w:pPr>
              <w:spacing w:after="0" w:before="0" w:line="240" w:lineRule="auto"/>
            </w:pPr>
            <w:r>
              <w:rPr>
                <w:sz w:val="16"/>
              </w:rPr>
              <w:t>Infrastructure-as-code, least privilege, operational alarms and non-production validation.</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Source onboarding and normalization</w:t>
            </w:r>
          </w:p>
        </w:tc>
        <w:tc>
          <w:tcPr>
            <w:tcW w:type="dxa" w:w="4100"/>
            <w:tcMar>
              <w:top w:w="90" w:type="dxa"/>
              <w:bottom w:w="90" w:type="dxa"/>
              <w:start w:w="110" w:type="dxa"/>
              <w:end w:w="110" w:type="dxa"/>
            </w:tcMar>
            <w:vAlign w:val="center"/>
          </w:tcPr>
          <w:p>
            <w:pPr>
              <w:spacing w:after="0" w:before="0" w:line="240" w:lineRule="auto"/>
            </w:pPr>
            <w:r>
              <w:rPr>
                <w:sz w:val="16"/>
              </w:rPr>
              <w:t>Supported agents/collectors, Log Analytics parsers, canonical IDs, enrichment, quality checks, replay and UA forwarding.</w:t>
            </w:r>
          </w:p>
        </w:tc>
        <w:tc>
          <w:tcPr>
            <w:tcW w:type="dxa" w:w="3108"/>
            <w:tcMar>
              <w:top w:w="90" w:type="dxa"/>
              <w:bottom w:w="90" w:type="dxa"/>
              <w:start w:w="110" w:type="dxa"/>
              <w:end w:w="110" w:type="dxa"/>
            </w:tcMar>
            <w:vAlign w:val="center"/>
          </w:tcPr>
          <w:p>
            <w:pPr>
              <w:spacing w:after="0" w:before="0" w:line="240" w:lineRule="auto"/>
            </w:pPr>
            <w:r>
              <w:rPr>
                <w:sz w:val="16"/>
              </w:rPr>
              <w:t>Priority interface catalogue; completeness, latency, duplicate and loss tests.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OKE and application observability</w:t>
            </w:r>
          </w:p>
        </w:tc>
        <w:tc>
          <w:tcPr>
            <w:tcW w:type="dxa" w:w="4100"/>
            <w:tcMar>
              <w:top w:w="90" w:type="dxa"/>
              <w:bottom w:w="90" w:type="dxa"/>
              <w:start w:w="110" w:type="dxa"/>
              <w:end w:w="110" w:type="dxa"/>
            </w:tcMar>
            <w:vAlign w:val="center"/>
          </w:tcPr>
          <w:p>
            <w:pPr>
              <w:spacing w:after="0" w:before="0" w:line="240" w:lineRule="auto"/>
            </w:pPr>
            <w:r>
              <w:rPr>
                <w:sz w:val="16"/>
              </w:rPr>
              <w:t>Kubernetes Monitoring Solution, APM/OpenTelemetry instrumentation, synthetic journeys, dashboards and SLO alarms.</w:t>
            </w:r>
          </w:p>
        </w:tc>
        <w:tc>
          <w:tcPr>
            <w:tcW w:type="dxa" w:w="3108"/>
            <w:tcMar>
              <w:top w:w="90" w:type="dxa"/>
              <w:bottom w:w="90" w:type="dxa"/>
              <w:start w:w="110" w:type="dxa"/>
              <w:end w:w="110" w:type="dxa"/>
            </w:tcMar>
            <w:vAlign w:val="center"/>
          </w:tcPr>
          <w:p>
            <w:pPr>
              <w:spacing w:after="0" w:before="0" w:line="240" w:lineRule="auto"/>
            </w:pPr>
            <w:r>
              <w:rPr>
                <w:sz w:val="16"/>
              </w:rPr>
              <w:t>Approved clusters and priority applications; trace continuity and failure-injection evidence.</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OEM and native ServiceNow integration</w:t>
            </w:r>
          </w:p>
        </w:tc>
        <w:tc>
          <w:tcPr>
            <w:tcW w:type="dxa" w:w="4100"/>
            <w:tcMar>
              <w:top w:w="90" w:type="dxa"/>
              <w:bottom w:w="90" w:type="dxa"/>
              <w:start w:w="110" w:type="dxa"/>
              <w:end w:w="110" w:type="dxa"/>
            </w:tcMar>
            <w:vAlign w:val="center"/>
          </w:tcPr>
          <w:p>
            <w:pPr>
              <w:spacing w:after="0" w:before="0" w:line="240" w:lineRule="auto"/>
            </w:pPr>
            <w:r>
              <w:rPr>
                <w:sz w:val="16"/>
              </w:rPr>
              <w:t>OEM export/context mapping into UA and UA native ServiceNow Adapter workflow validation.</w:t>
            </w:r>
          </w:p>
        </w:tc>
        <w:tc>
          <w:tcPr>
            <w:tcW w:type="dxa" w:w="3108"/>
            <w:tcMar>
              <w:top w:w="90" w:type="dxa"/>
              <w:bottom w:w="90" w:type="dxa"/>
              <w:start w:w="110" w:type="dxa"/>
              <w:end w:w="110" w:type="dxa"/>
            </w:tcMar>
            <w:vAlign w:val="center"/>
          </w:tcPr>
          <w:p>
            <w:pPr>
              <w:spacing w:after="0" w:before="0" w:line="240" w:lineRule="auto"/>
            </w:pPr>
            <w:r>
              <w:rPr>
                <w:sz w:val="16"/>
              </w:rPr>
              <w:t>Operations (Pablo), OEM and ITSM acceptance; entitlement, idempotency, retry and outage-recovery tests.</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Dashboards, alerts and runbooks</w:t>
            </w:r>
          </w:p>
        </w:tc>
        <w:tc>
          <w:tcPr>
            <w:tcW w:type="dxa" w:w="4100"/>
            <w:tcMar>
              <w:top w:w="90" w:type="dxa"/>
              <w:bottom w:w="90" w:type="dxa"/>
              <w:start w:w="110" w:type="dxa"/>
              <w:end w:w="110" w:type="dxa"/>
            </w:tcMar>
            <w:vAlign w:val="center"/>
          </w:tcPr>
          <w:p>
            <w:pPr>
              <w:spacing w:after="0" w:before="0" w:line="240" w:lineRule="auto"/>
            </w:pPr>
            <w:r>
              <w:rPr>
                <w:sz w:val="16"/>
              </w:rPr>
              <w:t>Group/OPCO views, alarm standards, suppression, maintenance windows, escalation policy and evidence links.</w:t>
            </w:r>
          </w:p>
        </w:tc>
        <w:tc>
          <w:tcPr>
            <w:tcW w:type="dxa" w:w="3108"/>
            <w:tcMar>
              <w:top w:w="90" w:type="dxa"/>
              <w:bottom w:w="90" w:type="dxa"/>
              <w:start w:w="110" w:type="dxa"/>
              <w:end w:w="110" w:type="dxa"/>
            </w:tcMar>
            <w:vAlign w:val="center"/>
          </w:tcPr>
          <w:p>
            <w:pPr>
              <w:spacing w:after="0" w:before="0" w:line="240" w:lineRule="auto"/>
            </w:pPr>
            <w:r>
              <w:rPr>
                <w:sz w:val="16"/>
              </w:rPr>
              <w:t>Versioned KPI/SLO catalogue and signed use-case acceptance.</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Dedicated incident-commander agent</w:t>
            </w:r>
          </w:p>
        </w:tc>
        <w:tc>
          <w:tcPr>
            <w:tcW w:type="dxa" w:w="4100"/>
            <w:tcMar>
              <w:top w:w="90" w:type="dxa"/>
              <w:bottom w:w="90" w:type="dxa"/>
              <w:start w:w="110" w:type="dxa"/>
              <w:end w:w="110" w:type="dxa"/>
            </w:tcMar>
            <w:vAlign w:val="center"/>
          </w:tcPr>
          <w:p>
            <w:pPr>
              <w:spacing w:after="0" w:before="0" w:line="240" w:lineRule="auto"/>
            </w:pPr>
            <w:r>
              <w:rPr>
                <w:sz w:val="16"/>
              </w:rPr>
              <w:t>Responses API coordinator, governed RAG, API Gateway/Functions tools, citations, evidence package, guardrails, evaluation and approval UX.</w:t>
            </w:r>
          </w:p>
        </w:tc>
        <w:tc>
          <w:tcPr>
            <w:tcW w:type="dxa" w:w="3108"/>
            <w:tcMar>
              <w:top w:w="90" w:type="dxa"/>
              <w:bottom w:w="90" w:type="dxa"/>
              <w:start w:w="110" w:type="dxa"/>
              <w:end w:w="110" w:type="dxa"/>
            </w:tcMar>
            <w:vAlign w:val="center"/>
          </w:tcPr>
          <w:p>
            <w:pPr>
              <w:spacing w:after="0" w:before="0" w:line="240" w:lineRule="auto"/>
            </w:pPr>
            <w:r>
              <w:rPr>
                <w:sz w:val="16"/>
              </w:rPr>
              <w:t>OCI AI Team (Alex Negrea), CSS/qualified partner and Security acceptance; read-only PoV before any mutation discussion.</w:t>
            </w:r>
          </w:p>
        </w:tc>
      </w:tr>
      <w:tr>
        <w:trPr>
          <w:cantSplit/>
        </w:trPr>
        <w:tc>
          <w:tcPr>
            <w:tcW w:type="dxa" w:w="2260"/>
            <w:tcMar>
              <w:top w:w="90" w:type="dxa"/>
              <w:bottom w:w="90" w:type="dxa"/>
              <w:start w:w="110" w:type="dxa"/>
              <w:end w:w="110" w:type="dxa"/>
            </w:tcMar>
            <w:vAlign w:val="center"/>
          </w:tcPr>
          <w:p>
            <w:pPr>
              <w:spacing w:after="0" w:before="0" w:line="240" w:lineRule="auto"/>
            </w:pPr>
            <w:r>
              <w:rPr>
                <w:b/>
                <w:sz w:val="16"/>
              </w:rPr>
              <w:t>PoV, resilience and handover</w:t>
            </w:r>
          </w:p>
        </w:tc>
        <w:tc>
          <w:tcPr>
            <w:tcW w:type="dxa" w:w="4100"/>
            <w:tcMar>
              <w:top w:w="90" w:type="dxa"/>
              <w:bottom w:w="90" w:type="dxa"/>
              <w:start w:w="110" w:type="dxa"/>
              <w:end w:w="110" w:type="dxa"/>
            </w:tcMar>
            <w:vAlign w:val="center"/>
          </w:tcPr>
          <w:p>
            <w:pPr>
              <w:spacing w:after="0" w:before="0" w:line="240" w:lineRule="auto"/>
            </w:pPr>
            <w:r>
              <w:rPr>
                <w:sz w:val="16"/>
              </w:rPr>
              <w:t>Load, scale, HA/DR, security, data-residency and restore tests; runbooks, training, support and rollback package.</w:t>
            </w:r>
          </w:p>
        </w:tc>
        <w:tc>
          <w:tcPr>
            <w:tcW w:type="dxa" w:w="3108"/>
            <w:tcMar>
              <w:top w:w="90" w:type="dxa"/>
              <w:bottom w:w="90" w:type="dxa"/>
              <w:start w:w="110" w:type="dxa"/>
              <w:end w:w="110" w:type="dxa"/>
            </w:tcMar>
            <w:vAlign w:val="center"/>
          </w:tcPr>
          <w:p>
            <w:pPr>
              <w:spacing w:after="0" w:before="0" w:line="240" w:lineRule="auto"/>
            </w:pPr>
            <w:r>
              <w:rPr>
                <w:sz w:val="16"/>
              </w:rPr>
              <w:t>Signed acceptance metrics, four-hour RTO, five-to-fifteen-minute RPO and support/escalation readiness.</w:t>
            </w:r>
          </w:p>
        </w:tc>
      </w:tr>
    </w:tbl>
    <w:p w14:paraId="27C4BE03" w14:textId="77777777" w:rsidR="00743633" w:rsidRDefault="00000000">
      <w:pPr>
        <w:pStyle w:val="Heading1"/>
      </w:pPr>
      <w:r>
        <w:t>8. Official Oracle references</w:t>
      </w:r>
    </w:p>
    <w:p w14:paraId="41BA4F55" w14:textId="77777777" w:rsidR="00743633" w:rsidRDefault="00000000">
      <w:pPr>
        <w:pStyle w:val="Smallbullet"/>
        <w:spacing w:before="0" w:after="20" w:line="240" w:lineRule="auto"/>
      </w:pPr>
      <w:r>
        <w:rPr>
          <w:sz w:val="16"/>
        </w:rPr>
        <w:t>OCI Monitoring: https://docs.oracle.com/en-us/iaas/Content/Monitoring/home.htm</w:t>
      </w:r>
    </w:p>
    <w:p w14:paraId="23824C58" w14:textId="77777777" w:rsidR="00743633" w:rsidRDefault="00000000">
      <w:pPr>
        <w:pStyle w:val="Smallbullet"/>
        <w:spacing w:before="0" w:after="20" w:line="240" w:lineRule="auto"/>
      </w:pPr>
      <w:r>
        <w:rPr>
          <w:sz w:val="16"/>
        </w:rPr>
        <w:t>OCI Logging: https://docs.oracle.com/en-us/iaas/Content/Logging/home.htm</w:t>
      </w:r>
    </w:p>
    <w:p w14:paraId="58B784FD" w14:textId="77777777" w:rsidR="00743633" w:rsidRDefault="00000000">
      <w:pPr>
        <w:pStyle w:val="Smallbullet"/>
        <w:spacing w:before="0" w:after="20" w:line="240" w:lineRule="auto"/>
      </w:pPr>
      <w:r>
        <w:rPr>
          <w:sz w:val="16"/>
        </w:rPr>
        <w:t>Connector Hub: https://docs.oracle.com/en-us/iaas/Content/connector-hub/overview.htm</w:t>
      </w:r>
    </w:p>
    <w:p w14:paraId="1375C085" w14:textId="77777777" w:rsidR="00743633" w:rsidRDefault="00000000">
      <w:pPr>
        <w:pStyle w:val="Smallbullet"/>
        <w:spacing w:before="0" w:after="20" w:line="240" w:lineRule="auto"/>
      </w:pPr>
      <w:r>
        <w:rPr>
          <w:sz w:val="16"/>
        </w:rPr>
        <w:t>OCI Log Analytics: https://docs.oracle.com/en-us/iaas/log-analytics/doc/logging-analytics1.html</w:t>
      </w:r>
    </w:p>
    <w:p w14:paraId="2767634B" w14:textId="77777777" w:rsidR="00743633" w:rsidRDefault="00000000">
      <w:pPr>
        <w:pStyle w:val="Smallbullet"/>
        <w:spacing w:before="0" w:after="20" w:line="240" w:lineRule="auto"/>
      </w:pPr>
      <w:r>
        <w:rPr>
          <w:sz w:val="16"/>
        </w:rPr>
        <w:t>Kubernetes Monitoring Solution: https://docs.oracle.com/en-us/iaas/log-analytics/doc/kubernetes-solution.html</w:t>
      </w:r>
    </w:p>
    <w:p w14:paraId="4458F7D5" w14:textId="77777777" w:rsidR="00743633" w:rsidRDefault="00000000">
      <w:pPr>
        <w:pStyle w:val="Smallbullet"/>
        <w:spacing w:before="0" w:after="20" w:line="240" w:lineRule="auto"/>
      </w:pPr>
      <w:proofErr w:type="spellStart"/>
      <w:r>
        <w:rPr>
          <w:sz w:val="16"/>
        </w:rPr>
        <w:t>LoganAI</w:t>
      </w:r>
      <w:proofErr w:type="spellEnd"/>
      <w:r>
        <w:rPr>
          <w:sz w:val="16"/>
        </w:rPr>
        <w:t>: https://docs.oracle.com/en-us/iaas/log-analytics/doc/use-loganai.html</w:t>
      </w:r>
    </w:p>
    <w:p w14:paraId="24287A13" w14:textId="77777777" w:rsidR="00743633" w:rsidRDefault="00000000">
      <w:pPr>
        <w:pStyle w:val="Smallbullet"/>
        <w:spacing w:before="0" w:after="20" w:line="240" w:lineRule="auto"/>
      </w:pPr>
      <w:proofErr w:type="spellStart"/>
      <w:r>
        <w:rPr>
          <w:sz w:val="16"/>
        </w:rPr>
        <w:t>LoganAI</w:t>
      </w:r>
      <w:proofErr w:type="spellEnd"/>
      <w:r>
        <w:rPr>
          <w:sz w:val="16"/>
        </w:rPr>
        <w:t xml:space="preserve"> prerequisites: https://docs.oracle.com/en-us/iaas/log-analytics/doc/prerequisites-using-loganai.html</w:t>
      </w:r>
    </w:p>
    <w:p w14:paraId="3FE0009F" w14:textId="77777777" w:rsidR="00743633" w:rsidRDefault="00000000">
      <w:pPr>
        <w:pStyle w:val="Smallbullet"/>
        <w:spacing w:before="0" w:after="20" w:line="240" w:lineRule="auto"/>
      </w:pPr>
      <w:r>
        <w:rPr>
          <w:sz w:val="16"/>
        </w:rPr>
        <w:t>OCI Application Performance Monitoring: https://docs.oracle.com/en-us/iaas/application-performance-monitoring/home.htm</w:t>
      </w:r>
    </w:p>
    <w:p w14:paraId="0F84A5D0" w14:textId="77777777" w:rsidR="00743633" w:rsidRDefault="00000000">
      <w:pPr>
        <w:pStyle w:val="Smallbullet"/>
        <w:spacing w:before="0" w:after="20" w:line="240" w:lineRule="auto"/>
      </w:pPr>
      <w:r>
        <w:rPr>
          <w:sz w:val="16"/>
        </w:rPr>
        <w:t>OCI Management Agent: https://docs.oracle.com/en-us/iaas/management-agents/home.htm</w:t>
      </w:r>
    </w:p>
    <w:p w14:paraId="6ED9CC11" w14:textId="77777777" w:rsidR="00743633" w:rsidRDefault="00000000">
      <w:pPr>
        <w:pStyle w:val="Smallbullet"/>
        <w:spacing w:before="0" w:after="20" w:line="240" w:lineRule="auto"/>
      </w:pPr>
      <w:r>
        <w:rPr>
          <w:sz w:val="16"/>
        </w:rPr>
        <w:t>OCI Database Management: https://docs.oracle.com/en-us/iaas/database-management/home.htm</w:t>
      </w:r>
    </w:p>
    <w:p w14:paraId="34768829" w14:textId="77777777" w:rsidR="00743633" w:rsidRDefault="00000000">
      <w:pPr>
        <w:pStyle w:val="Smallbullet"/>
        <w:spacing w:before="0" w:after="20" w:line="240" w:lineRule="auto"/>
      </w:pPr>
      <w:r>
        <w:rPr>
          <w:sz w:val="16"/>
        </w:rPr>
        <w:t>OCI Operations Insights: https://docs.oracle.com/en-us/iaas/operations-insights/home.htm</w:t>
      </w:r>
    </w:p>
    <w:p w14:paraId="42525A98" w14:textId="77777777" w:rsidR="00743633" w:rsidRDefault="00000000">
      <w:pPr>
        <w:pStyle w:val="Smallbullet"/>
        <w:spacing w:before="0" w:after="20" w:line="240" w:lineRule="auto"/>
      </w:pPr>
      <w:r>
        <w:rPr>
          <w:sz w:val="16"/>
        </w:rPr>
        <w:t>OCI Notifications: https://docs.oracle.com/en-us/iaas/Content/Notification/home.htm</w:t>
      </w:r>
    </w:p>
    <w:p w14:paraId="6C6A60EB" w14:textId="77777777" w:rsidR="00743633" w:rsidRDefault="00000000">
      <w:pPr>
        <w:pStyle w:val="Smallbullet"/>
        <w:spacing w:before="0" w:after="20" w:line="240" w:lineRule="auto"/>
      </w:pPr>
      <w:r>
        <w:rPr>
          <w:sz w:val="16"/>
        </w:rPr>
        <w:t>OCI Events: https://docs.oracle.com/en-us/iaas/Content/Events/home.htm</w:t>
      </w:r>
    </w:p>
    <w:p w14:paraId="48150032" w14:textId="77777777" w:rsidR="00743633" w:rsidRDefault="00000000">
      <w:pPr>
        <w:pStyle w:val="Smallbullet"/>
        <w:spacing w:before="0" w:after="20" w:line="240" w:lineRule="auto"/>
      </w:pPr>
      <w:r>
        <w:rPr>
          <w:sz w:val="16"/>
        </w:rPr>
        <w:t>Unified Assurance ServiceNow Adapter licensing: https://docs.oracle.com/en/industries/communications/unified-assurance/7.0/enterprise-licensing-info/licensing-information.html</w:t>
      </w:r>
    </w:p>
    <w:p w14:paraId="68B55C7F" w14:textId="77777777" w:rsidR="00743633" w:rsidRDefault="00000000">
      <w:pPr>
        <w:pStyle w:val="Smallbullet"/>
        <w:spacing w:before="0" w:after="20" w:line="240" w:lineRule="auto"/>
      </w:pPr>
      <w:r>
        <w:rPr>
          <w:sz w:val="16"/>
        </w:rPr>
        <w:t>Enterprise Manager architecture: https://docs.oracle.com/en/enterprise-manager/cloud-control/enterprise-manager-cloud-control/13.5/emcon/enterprise-manager-architecture.html</w:t>
      </w:r>
    </w:p>
    <w:p w14:paraId="10AA6847" w14:textId="77777777" w:rsidR="00743633" w:rsidRDefault="00000000">
      <w:pPr>
        <w:pStyle w:val="Smallbullet"/>
        <w:spacing w:before="0" w:after="20" w:line="240" w:lineRule="auto"/>
      </w:pPr>
      <w:r>
        <w:rPr>
          <w:sz w:val="16"/>
        </w:rPr>
        <w:t>Enterprise Manager Management Pack licensing: https://docs.oracle.com/en/enterprise-manager/cloud-control/enterprise-manager-cloud-control/13.5/oemli/enterprise-database-management.html</w:t>
      </w:r>
    </w:p>
    <w:p w14:paraId="746F3419" w14:textId="77777777" w:rsidR="00512A22" w:rsidRDefault="00000000">
      <w:pPr>
        <w:pStyle w:val="Smallbullet"/>
        <w:spacing w:before="0" w:after="20" w:line="240" w:lineRule="auto"/>
      </w:pPr>
      <w:r>
        <w:rPr>
          <w:sz w:val="16"/>
        </w:rPr>
        <w:t>Building agents in OCI Generative AI: https://docs.oracle.com/en-us/iaas/Content/generative-ai/building-agents.htm</w:t>
      </w:r>
    </w:p>
    <w:p w14:paraId="692E87C9" w14:textId="77777777" w:rsidR="00512A22" w:rsidRDefault="00000000">
      <w:pPr>
        <w:pStyle w:val="Smallbullet"/>
        <w:spacing w:before="0" w:after="20" w:line="240" w:lineRule="auto"/>
      </w:pPr>
      <w:r>
        <w:rPr>
          <w:sz w:val="16"/>
        </w:rPr>
        <w:t>OCI Responses API: https://docs.oracle.com/en-us/iaas/Content/generative-ai/responses-api.htm</w:t>
      </w:r>
    </w:p>
    <w:p w14:paraId="391C08A8" w14:textId="77777777" w:rsidR="00512A22" w:rsidRDefault="00000000">
      <w:pPr>
        <w:pStyle w:val="Smallbullet"/>
        <w:spacing w:before="0" w:after="20" w:line="240" w:lineRule="auto"/>
      </w:pPr>
      <w:r>
        <w:rPr>
          <w:sz w:val="16"/>
        </w:rPr>
        <w:t>OCI API Gateway overview: https://docs.oracle.com/en-us/iaas/Content/APIGateway/Concepts/apigatewayoverview.htm</w:t>
      </w:r>
    </w:p>
    <w:p w14:paraId="0384D852" w14:textId="77777777" w:rsidR="00512A22" w:rsidRDefault="00000000">
      <w:pPr>
        <w:pStyle w:val="Smallbullet"/>
        <w:spacing w:before="0" w:after="20" w:line="240" w:lineRule="auto"/>
      </w:pPr>
      <w:r>
        <w:rPr>
          <w:sz w:val="16"/>
        </w:rPr>
        <w:t>OCI Functions overview: https://docs.oracle.com/en-us/iaas/Content/Functions/Concepts/functionsoverview.htm</w:t>
      </w:r>
    </w:p>
    <w:p>
      <w:pPr>
        <w:pStyle w:val="Smallbullet"/>
        <w:spacing w:before="0" w:after="20" w:line="240" w:lineRule="auto"/>
      </w:pPr>
      <w:r>
        <w:rPr>
          <w:sz w:val="16"/>
        </w:rPr>
        <w:t>Enterprise AI Agents in OCI Generative AI: https://docs.oracle.com/en-us/iaas/Content/generative-ai/agents.htm</w:t>
      </w:r>
    </w:p>
    <w:p>
      <w:pPr>
        <w:pStyle w:val="Smallbullet"/>
        <w:spacing w:before="0" w:after="20" w:line="240" w:lineRule="auto"/>
      </w:pPr>
      <w:r>
        <w:rPr>
          <w:sz w:val="16"/>
        </w:rPr>
        <w:t>Estimating OCI monthly costs: https://docs.oracle.com/en-us/iaas/Content/Billing/Tasks/signingup_topic-Estimating_Costs.htm</w:t>
      </w:r>
    </w:p>
    <w:p w14:paraId="1A6B799D" w14:textId="77777777" w:rsidR="00BA4521" w:rsidRPr="007E586A" w:rsidRDefault="00BA4521" w:rsidP="007E586A">
      <w:pPr>
        <w:pStyle w:val="Connectwithuslastpage"/>
      </w:pPr>
      <w:r w:rsidRPr="007E586A">
        <w:lastRenderedPageBreak/>
        <w:t>Connect with us</w:t>
      </w:r>
    </w:p>
    <w:p w14:paraId="28253BE0"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3776D0EC" w14:textId="77777777" w:rsidR="00BA4521" w:rsidRPr="00374647" w:rsidRDefault="00890A2C" w:rsidP="00BA4521">
      <w:pPr>
        <w:pStyle w:val="CopyrightsocialURL"/>
      </w:pPr>
      <w:r>
        <w:rPr>
          <w:noProof/>
          <w14:numSpacing w14:val="default"/>
        </w:rPr>
        <w:drawing>
          <wp:anchor distT="0" distB="0" distL="114300" distR="114300" simplePos="0" relativeHeight="251657216" behindDoc="0" locked="0" layoutInCell="1" allowOverlap="1" wp14:anchorId="0D5EA3D0" wp14:editId="3EACA084">
            <wp:simplePos x="0" y="0"/>
            <wp:positionH relativeFrom="column">
              <wp:posOffset>2357</wp:posOffset>
            </wp:positionH>
            <wp:positionV relativeFrom="paragraph">
              <wp:posOffset>20023</wp:posOffset>
            </wp:positionV>
            <wp:extent cx="137133" cy="136573"/>
            <wp:effectExtent l="0" t="0" r="0" b="0"/>
            <wp:wrapNone/>
            <wp:docPr id="27" name="Blogs" descr="Image: image6.png">
              <a:hlinkClick xmlns:a="http://schemas.openxmlformats.org/drawingml/2006/main" r:id="rId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20"/>
                      <a:extLst>
                        <a:ext uri="{C183D7F6-B498-43B3-948B-1728B52AA6E4}">
                          <adec:decorative xmlns:adec="http://schemas.microsoft.com/office/drawing/2017/decorative" val="1"/>
                        </a:ext>
                      </a:extLst>
                    </pic:cNvPr>
                    <pic:cNvPicPr>
                      <a:picLocks noChangeAspect="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5EDAFC4F" wp14:editId="7F96BFEA">
            <wp:simplePos x="0" y="0"/>
            <wp:positionH relativeFrom="column">
              <wp:posOffset>1373681</wp:posOffset>
            </wp:positionH>
            <wp:positionV relativeFrom="paragraph">
              <wp:posOffset>16261</wp:posOffset>
            </wp:positionV>
            <wp:extent cx="137133" cy="136573"/>
            <wp:effectExtent l="0" t="0" r="0" b="0"/>
            <wp:wrapNone/>
            <wp:docPr id="28" name="Facebook" descr="Image: image7.png">
              <a:hlinkClick xmlns:a="http://schemas.openxmlformats.org/drawingml/2006/main" r:id="rId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2"/>
                      <a:extLst>
                        <a:ext uri="{C183D7F6-B498-43B3-948B-1728B52AA6E4}">
                          <adec:decorative xmlns:adec="http://schemas.microsoft.com/office/drawing/2017/decorative" val="1"/>
                        </a:ext>
                      </a:extLst>
                    </pic:cNvPr>
                    <pic:cNvPicPr>
                      <a:picLocks noChangeAspect="1"/>
                    </pic:cNvPicPr>
                  </pic:nvPicPr>
                  <pic:blipFill>
                    <a:blip r:embed="rId23">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17154F5E" wp14:editId="554D7DA6">
            <wp:simplePos x="0" y="0"/>
            <wp:positionH relativeFrom="column">
              <wp:posOffset>2967896</wp:posOffset>
            </wp:positionH>
            <wp:positionV relativeFrom="paragraph">
              <wp:posOffset>16261</wp:posOffset>
            </wp:positionV>
            <wp:extent cx="137133" cy="136573"/>
            <wp:effectExtent l="0" t="0" r="0" b="0"/>
            <wp:wrapNone/>
            <wp:docPr id="29" name="Twitter" descr="Image: image8.png">
              <a:hlinkClick xmlns:a="http://schemas.openxmlformats.org/drawingml/2006/main" r:id="rId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4"/>
                      <a:extLst>
                        <a:ext uri="{C183D7F6-B498-43B3-948B-1728B52AA6E4}">
                          <adec:decorative xmlns:adec="http://schemas.microsoft.com/office/drawing/2017/decorative" val="1"/>
                        </a:ext>
                      </a:extLst>
                    </pic:cNvPr>
                    <pic:cNvPicPr>
                      <a:picLocks noChangeAspect="1"/>
                    </pic:cNvPicPr>
                  </pic:nvPicPr>
                  <pic:blipFill>
                    <a:blip r:embed="rId25">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C11326846643463C9B13912AA0C543F3"/>
        </w:placeholder>
      </w:sdtPr>
      <w:sdtEndPr>
        <w:rPr>
          <w:color w:val="2C5967"/>
          <w:u w:val="single"/>
        </w:rPr>
      </w:sdtEndPr>
      <w:sdtContent>
        <w:p w14:paraId="6439D1B0"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3D719D">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92E329E" w14:textId="77777777"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37760E">
      <w:headerReference w:type="default" r:id="rId26"/>
      <w:footerReference w:type="default" r:id="rId27"/>
      <w:headerReference w:type="first" r:id="rId28"/>
      <w:footerReference w:type="first" r:id="rId29"/>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80526" w14:textId="77777777" w:rsidR="00052FF2" w:rsidRDefault="00052FF2" w:rsidP="00FD7E8E">
      <w:pPr>
        <w:spacing w:after="0" w:line="240" w:lineRule="auto"/>
      </w:pPr>
      <w:r>
        <w:separator/>
      </w:r>
    </w:p>
  </w:endnote>
  <w:endnote w:type="continuationSeparator" w:id="0">
    <w:p w14:paraId="7B19D79D" w14:textId="77777777" w:rsidR="00052FF2" w:rsidRDefault="00052FF2"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B9CC" w14:textId="77777777" w:rsidR="00D354EE" w:rsidRDefault="00D354EE">
    <w:pPr>
      <w:pStyle w:val="Footer"/>
    </w:pPr>
    <w:r>
      <w:rPr>
        <w:noProof/>
        <w14:numSpacing w14:val="default"/>
      </w:rPr>
      <mc:AlternateContent>
        <mc:Choice Requires="wps">
          <w:drawing>
            <wp:anchor distT="0" distB="0" distL="0" distR="0" simplePos="0" relativeHeight="251688960" behindDoc="0" locked="0" layoutInCell="1" allowOverlap="1" wp14:anchorId="0C1ECB52" wp14:editId="54EB5157">
              <wp:simplePos x="635" y="635"/>
              <wp:positionH relativeFrom="page">
                <wp:align>left</wp:align>
              </wp:positionH>
              <wp:positionV relativeFrom="page">
                <wp:align>bottom</wp:align>
              </wp:positionV>
              <wp:extent cx="2940685" cy="368300"/>
              <wp:effectExtent l="0" t="0" r="5715" b="0"/>
              <wp:wrapNone/>
              <wp:docPr id="728127791"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1ECB52" id="_x0000_t202" coordsize="21600,21600" o:spt="202" path="m,l,21600r21600,l21600,xe">
              <v:stroke joinstyle="miter"/>
              <v:path gradientshapeok="t" o:connecttype="rect"/>
            </v:shapetype>
            <v:shape id="Text Box 9" o:spid="_x0000_s1028" type="#_x0000_t202" alt="Confidential - Oracle Restricted \Employees Only" style="position:absolute;margin-left:0;margin-top:0;width:231.55pt;height:29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oCsFA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" filled="f" stroked="f">
              <v:textbox style="mso-fit-shape-to-text:t" inset="20pt,0,0,15pt">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9A357" w14:textId="77777777" w:rsidR="00743633" w:rsidRDefault="007436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E259D" w14:textId="77777777" w:rsidR="00D354EE" w:rsidRDefault="00D354EE">
    <w:pPr>
      <w:pStyle w:val="Footer"/>
    </w:pPr>
    <w:r>
      <w:rPr>
        <w:noProof/>
        <w14:numSpacing w14:val="default"/>
      </w:rPr>
      <mc:AlternateContent>
        <mc:Choice Requires="wps">
          <w:drawing>
            <wp:anchor distT="0" distB="0" distL="0" distR="0" simplePos="0" relativeHeight="251687936" behindDoc="0" locked="0" layoutInCell="1" allowOverlap="1" wp14:anchorId="018B9B97" wp14:editId="6933DF47">
              <wp:simplePos x="635" y="635"/>
              <wp:positionH relativeFrom="page">
                <wp:align>left</wp:align>
              </wp:positionH>
              <wp:positionV relativeFrom="page">
                <wp:align>bottom</wp:align>
              </wp:positionV>
              <wp:extent cx="2940685" cy="368300"/>
              <wp:effectExtent l="0" t="0" r="5715" b="0"/>
              <wp:wrapNone/>
              <wp:docPr id="1543388404"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B9B97" id="_x0000_t202" coordsize="21600,21600" o:spt="202" path="m,l,21600r21600,l21600,xe">
              <v:stroke joinstyle="miter"/>
              <v:path gradientshapeok="t" o:connecttype="rect"/>
            </v:shapetype>
            <v:shape id="Text Box 8" o:spid="_x0000_s1030" type="#_x0000_t202" alt="Confidential - Oracle Restricted \Employees Only" style="position:absolute;margin-left:0;margin-top:0;width:231.55pt;height:29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CnCZykVAgAAIgQAAA4AAAAAAAAAAAAAAAAALgIAAGRycy9lMm9Eb2MueG1sUEsBAi0AFAAGAAgA&#13;&#10;AAAhADaFapfeAAAACQEAAA8AAAAAAAAAAAAAAAAAbwQAAGRycy9kb3ducmV2LnhtbFBLBQYAAAAA&#13;&#10;BAAEAPMAAAB6BQAAAAA=&#13;&#10;" filled="f" stroked="f">
              <v:textbox style="mso-fit-shape-to-text:t" inset="20pt,0,0,15pt">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E4CE7" w14:textId="77777777" w:rsidR="00B142E7" w:rsidRPr="00B71DD7" w:rsidRDefault="00D354EE" w:rsidP="0019626E">
    <w:pPr>
      <w:pStyle w:val="Footer"/>
      <w:rPr>
        <w:b/>
        <w:lang w:val="en-GB"/>
      </w:rPr>
    </w:pPr>
    <w:r>
      <w:fldChar w:fldCharType="begin"/>
    </w:r>
    <w:r>
      <w:instrText xml:space="preserve"> PAGE </w:instrText>
    </w:r>
    <w:r>
      <w:fldChar w:fldCharType="separate"/>
    </w:r>
    <w:r>
      <w:t>1</w:t>
    </w:r>
    <w:r>
      <w:fldChar w:fldCharType="end"/>
    </w:r>
    <w:r>
      <w:tab/>
      <w:t xml:space="preserve">AXIAN OCI Observability &amp; Management RFP </w:t>
    </w:r>
    <w:proofErr w:type="gramStart"/>
    <w:r>
      <w:t>Answers  /</w:t>
    </w:r>
    <w:proofErr w:type="gramEnd"/>
    <w:r>
      <w:t xml:space="preserve">  Version 1.3</w:t>
    </w:r>
  </w:p>
  <w:p w14:paraId="28890C1E" w14:textId="77777777" w:rsidR="00B142E7" w:rsidRPr="00B71DD7" w:rsidRDefault="00B142E7" w:rsidP="0019626E">
    <w:pPr>
      <w:pStyle w:val="Footerline26pt"/>
      <w:rPr>
        <w:lang w:val="en-GB"/>
      </w:rPr>
    </w:pPr>
    <w:r w:rsidRPr="00B71DD7">
      <w:rPr>
        <w:lang w:val="en-GB"/>
      </w:rPr>
      <w:tab/>
      <w:t xml:space="preserve">Copyright © </w:t>
    </w:r>
    <w:r w:rsidR="00D354EE">
      <w:rPr>
        <w:noProof/>
        <w:lang w:val="en-GB"/>
      </w:rPr>
      <w:t>2026</w:t>
    </w:r>
    <w:r w:rsidRPr="00B71DD7">
      <w:rPr>
        <w:lang w:val="en-GB"/>
      </w:rPr>
      <w:t xml:space="preserve">, Oracle and/or its </w:t>
    </w:r>
    <w:proofErr w:type="gramStart"/>
    <w:r w:rsidRPr="00B71DD7">
      <w:rPr>
        <w:lang w:val="en-GB"/>
      </w:rPr>
      <w:t>affiliates  /</w:t>
    </w:r>
    <w:proofErr w:type="gramEnd"/>
    <w:r w:rsidRPr="00B71DD7">
      <w:rPr>
        <w:lang w:val="en-GB"/>
      </w:rPr>
      <w:t xml:space="preserve">  </w:t>
    </w:r>
    <w:r w:rsidR="00D354EE">
      <w:rPr>
        <w:noProof/>
        <w:lang w:val="en-GB"/>
      </w:rPr>
      <w:t>Confidential – Oracle 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AAE71" w14:textId="77777777" w:rsidR="00FD7E8E" w:rsidRDefault="00D354EE">
    <w:pPr>
      <w:pStyle w:val="Footer"/>
    </w:pPr>
    <w:r>
      <w:rPr>
        <w:noProof/>
        <w14:numSpacing w14:val="default"/>
      </w:rPr>
      <mc:AlternateContent>
        <mc:Choice Requires="wps">
          <w:drawing>
            <wp:anchor distT="0" distB="0" distL="0" distR="0" simplePos="0" relativeHeight="251691008" behindDoc="0" locked="0" layoutInCell="1" allowOverlap="1" wp14:anchorId="1C39EA51" wp14:editId="5076D570">
              <wp:simplePos x="635" y="635"/>
              <wp:positionH relativeFrom="page">
                <wp:align>left</wp:align>
              </wp:positionH>
              <wp:positionV relativeFrom="page">
                <wp:align>bottom</wp:align>
              </wp:positionV>
              <wp:extent cx="2940685" cy="368300"/>
              <wp:effectExtent l="0" t="0" r="5715" b="0"/>
              <wp:wrapNone/>
              <wp:docPr id="1809966648" name="Text Box 11"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9EA51" id="_x0000_t202" coordsize="21600,21600" o:spt="202" path="m,l,21600r21600,l21600,xe">
              <v:stroke joinstyle="miter"/>
              <v:path gradientshapeok="t" o:connecttype="rect"/>
            </v:shapetype>
            <v:shape id="Text Box 11" o:spid="_x0000_s1033" type="#_x0000_t202" alt="Confidential - Oracle Restricted \Employees Only" style="position:absolute;margin-left:0;margin-top:0;width:231.55pt;height:29pt;z-index:25169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HhUlGsVAgAAIgQAAA4AAAAAAAAAAAAAAAAALgIAAGRycy9lMm9Eb2MueG1sUEsBAi0AFAAGAAgA&#13;&#10;AAAhADaFapfeAAAACQEAAA8AAAAAAAAAAAAAAAAAbwQAAGRycy9kb3ducmV2LnhtbFBLBQYAAAAA&#13;&#10;BAAEAPMAAAB6BQAAAAA=&#13;&#10;" filled="f" stroked="f">
              <v:textbox style="mso-fit-shape-to-text:t" inset="20pt,0,0,15pt">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C10FB7" w14:textId="77777777" w:rsidR="00052FF2" w:rsidRDefault="00052FF2" w:rsidP="00FD7E8E">
      <w:pPr>
        <w:spacing w:after="0" w:line="240" w:lineRule="auto"/>
      </w:pPr>
      <w:r>
        <w:separator/>
      </w:r>
    </w:p>
  </w:footnote>
  <w:footnote w:type="continuationSeparator" w:id="0">
    <w:p w14:paraId="2BD81237" w14:textId="77777777" w:rsidR="00052FF2" w:rsidRDefault="00052FF2"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9066D" w14:textId="77777777" w:rsidR="00D354EE" w:rsidRDefault="00D354EE">
    <w:pPr>
      <w:pStyle w:val="Header"/>
    </w:pPr>
    <w:r>
      <w:rPr>
        <w:noProof/>
        <w14:numSpacing w14:val="default"/>
      </w:rPr>
      <mc:AlternateContent>
        <mc:Choice Requires="wps">
          <w:drawing>
            <wp:anchor distT="0" distB="0" distL="0" distR="0" simplePos="0" relativeHeight="251683840" behindDoc="0" locked="0" layoutInCell="1" allowOverlap="1" wp14:anchorId="5A42D92D" wp14:editId="062E4AAA">
              <wp:simplePos x="635" y="635"/>
              <wp:positionH relativeFrom="page">
                <wp:align>left</wp:align>
              </wp:positionH>
              <wp:positionV relativeFrom="page">
                <wp:align>top</wp:align>
              </wp:positionV>
              <wp:extent cx="2940685" cy="368300"/>
              <wp:effectExtent l="0" t="0" r="5715" b="0"/>
              <wp:wrapNone/>
              <wp:docPr id="14825046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42D92D" id="_x0000_t202" coordsize="21600,21600" o:spt="202" path="m,l,21600r21600,l21600,xe">
              <v:stroke joinstyle="miter"/>
              <v:path gradientshapeok="t" o:connecttype="rect"/>
            </v:shapetype>
            <v:shape id="Text Box 4" o:spid="_x0000_s1026" type="#_x0000_t202" alt="Confidential - Oracle Restricted \Employees Only" style="position:absolute;margin-left:0;margin-top:0;width:231.55pt;height:29pt;z-index:2516838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" filled="f" stroked="f">
              <v:textbox style="mso-fit-shape-to-text:t" inset="20pt,15pt,0,0">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9DDBA" w14:textId="77777777" w:rsidR="00950F82" w:rsidRDefault="00D354EE">
    <w:pPr>
      <w:pStyle w:val="Header"/>
    </w:pPr>
    <w:r>
      <w:rPr>
        <w:noProof/>
        <w14:numSpacing w14:val="default"/>
      </w:rPr>
      <mc:AlternateContent>
        <mc:Choice Requires="wps">
          <w:drawing>
            <wp:anchor distT="0" distB="0" distL="0" distR="0" simplePos="0" relativeHeight="251684864" behindDoc="0" locked="0" layoutInCell="1" allowOverlap="1" wp14:anchorId="24B59775" wp14:editId="27997661">
              <wp:simplePos x="635" y="635"/>
              <wp:positionH relativeFrom="page">
                <wp:align>left</wp:align>
              </wp:positionH>
              <wp:positionV relativeFrom="page">
                <wp:align>top</wp:align>
              </wp:positionV>
              <wp:extent cx="2940685" cy="368300"/>
              <wp:effectExtent l="0" t="0" r="5715" b="0"/>
              <wp:wrapNone/>
              <wp:docPr id="102219815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B59775"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9pt;z-index:2516848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" filled="f" stroked="f">
              <v:textbox style="mso-fit-shape-to-text:t" inset="20pt,15pt,0,0">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5240D2">
      <w:rPr>
        <w:noProof/>
        <w14:numSpacing w14:val="default"/>
      </w:rPr>
      <w:drawing>
        <wp:anchor distT="0" distB="0" distL="114300" distR="114300" simplePos="0" relativeHeight="251681792" behindDoc="0" locked="0" layoutInCell="1" allowOverlap="1" wp14:anchorId="2851FBEB" wp14:editId="51EF2C74">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descr="Image: item1.xm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7AE3199D" wp14:editId="17C3032B">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486B" w14:textId="77777777" w:rsidR="00BA4521" w:rsidRDefault="00D354EE" w:rsidP="00176836">
    <w:pPr>
      <w:pStyle w:val="Header"/>
      <w:spacing w:after="0"/>
    </w:pPr>
    <w:r>
      <w:rPr>
        <w:noProof/>
        <w14:numSpacing w14:val="default"/>
      </w:rPr>
      <mc:AlternateContent>
        <mc:Choice Requires="wps">
          <w:drawing>
            <wp:anchor distT="0" distB="0" distL="0" distR="0" simplePos="0" relativeHeight="251682816" behindDoc="0" locked="0" layoutInCell="1" allowOverlap="1" wp14:anchorId="133714E4" wp14:editId="11EB259B">
              <wp:simplePos x="635" y="635"/>
              <wp:positionH relativeFrom="page">
                <wp:align>left</wp:align>
              </wp:positionH>
              <wp:positionV relativeFrom="page">
                <wp:align>top</wp:align>
              </wp:positionV>
              <wp:extent cx="2940685" cy="368300"/>
              <wp:effectExtent l="0" t="0" r="5715" b="0"/>
              <wp:wrapNone/>
              <wp:docPr id="20964739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3714E4" id="_x0000_t202" coordsize="21600,21600" o:spt="202" path="m,l,21600r21600,l21600,xe">
              <v:stroke joinstyle="miter"/>
              <v:path gradientshapeok="t" o:connecttype="rect"/>
            </v:shapetype>
            <v:shape id="Text Box 3" o:spid="_x0000_s1029" type="#_x0000_t202" alt="Confidential - Oracle Restricted \Employees Only" style="position:absolute;margin-left:0;margin-top:0;width:231.55pt;height:29pt;z-index:2516828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lCQFA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" filled="f" stroked="f">
              <v:textbox style="mso-fit-shape-to-text:t" inset="20pt,15pt,0,0">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8B45C4">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A50E8"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80CA" w14:textId="77777777" w:rsidR="00CB4C56" w:rsidRDefault="00D354EE">
    <w:pPr>
      <w:pStyle w:val="Header"/>
    </w:pPr>
    <w:r>
      <w:rPr>
        <w:noProof/>
        <w14:numSpacing w14:val="default"/>
      </w:rPr>
      <mc:AlternateContent>
        <mc:Choice Requires="wps">
          <w:drawing>
            <wp:anchor distT="0" distB="0" distL="0" distR="0" simplePos="0" relativeHeight="251686912" behindDoc="0" locked="0" layoutInCell="1" allowOverlap="1" wp14:anchorId="2301978D" wp14:editId="70D4B2BA">
              <wp:simplePos x="0" y="0"/>
              <wp:positionH relativeFrom="page">
                <wp:align>left</wp:align>
              </wp:positionH>
              <wp:positionV relativeFrom="page">
                <wp:align>top</wp:align>
              </wp:positionV>
              <wp:extent cx="2940685" cy="368300"/>
              <wp:effectExtent l="0" t="0" r="5715" b="0"/>
              <wp:wrapNone/>
              <wp:docPr id="1234579667" name="Text Box 7"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01978D" id="_x0000_t202" coordsize="21600,21600" o:spt="202" path="m,l,21600r21600,l21600,xe">
              <v:stroke joinstyle="miter"/>
              <v:path gradientshapeok="t" o:connecttype="rect"/>
            </v:shapetype>
            <v:shape id="Text Box 7" o:spid="_x0000_s1031" type="#_x0000_t202" alt="Confidential - Oracle Restricted \Employees Only" style="position:absolute;margin-left:0;margin-top:0;width:231.55pt;height:29pt;z-index:2516869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rcV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T4f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BHircVFQIAACIEAAAOAAAAAAAAAAAAAAAAAC4CAABkcnMvZTJvRG9jLnhtbFBLAQItABQABgAI&#13;&#10;AAAAIQCTG4yC3wAAAAkBAAAPAAAAAAAAAAAAAAAAAG8EAABkcnMvZG93bnJldi54bWxQSwUGAAAA&#13;&#10;AAQABADzAAAAewUAAAAA&#13;&#10;" filled="f" stroked="f">
              <v:textbox style="mso-fit-shape-to-text:t" inset="20pt,15pt,0,0">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D169B4">
      <w:rPr>
        <w:noProof/>
        <w14:numSpacing w14:val="default"/>
      </w:rPr>
      <w:drawing>
        <wp:inline distT="0" distB="0" distL="0" distR="0" wp14:anchorId="1BFC92BB" wp14:editId="4395D6E4">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B1958" w14:textId="77777777" w:rsidR="00FD7E8E" w:rsidRDefault="00D354EE" w:rsidP="00176836">
    <w:pPr>
      <w:pStyle w:val="Header"/>
      <w:spacing w:after="0"/>
    </w:pPr>
    <w:r>
      <w:rPr>
        <w:noProof/>
        <w14:numSpacing w14:val="default"/>
      </w:rPr>
      <mc:AlternateContent>
        <mc:Choice Requires="wps">
          <w:drawing>
            <wp:anchor distT="0" distB="0" distL="0" distR="0" simplePos="0" relativeHeight="251685888" behindDoc="0" locked="0" layoutInCell="1" allowOverlap="1" wp14:anchorId="0F355B9E" wp14:editId="315F807F">
              <wp:simplePos x="635" y="635"/>
              <wp:positionH relativeFrom="page">
                <wp:align>left</wp:align>
              </wp:positionH>
              <wp:positionV relativeFrom="page">
                <wp:align>top</wp:align>
              </wp:positionV>
              <wp:extent cx="2940685" cy="368300"/>
              <wp:effectExtent l="0" t="0" r="5715" b="0"/>
              <wp:wrapNone/>
              <wp:docPr id="694659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355B9E" id="_x0000_t202" coordsize="21600,21600" o:spt="202" path="m,l,21600r21600,l21600,xe">
              <v:stroke joinstyle="miter"/>
              <v:path gradientshapeok="t" o:connecttype="rect"/>
            </v:shapetype>
            <v:shape id="Text Box 6" o:spid="_x0000_s1032" type="#_x0000_t202" alt="Confidential - Oracle Restricted \Employees Only" style="position:absolute;margin-left:0;margin-top:0;width:231.55pt;height:29pt;z-index:2516858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ERX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z4b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AWHERXFQIAACIEAAAOAAAAAAAAAAAAAAAAAC4CAABkcnMvZTJvRG9jLnhtbFBLAQItABQABgAI&#13;&#10;AAAAIQCTG4yC3wAAAAkBAAAPAAAAAAAAAAAAAAAAAG8EAABkcnMvZG93bnJldi54bWxQSwUGAAAA&#13;&#10;AAQABADzAAAAewUAAAAA&#13;&#10;" filled="f" stroked="f">
              <v:textbox style="mso-fit-shape-to-text:t" inset="20pt,15pt,0,0">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FD7E8E">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00FD7E8E">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descr="Im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00FD7E8E">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E62E8"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removePersonalInformation/>
  <w:removeDateAndTime/>
  <w:displayBackgroundShape/>
  <w:proofState w:spelling="clean" w:grammar="clean"/>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10BF"/>
    <w:rsid w:val="00014373"/>
    <w:rsid w:val="0002195F"/>
    <w:rsid w:val="000229A0"/>
    <w:rsid w:val="00052FF2"/>
    <w:rsid w:val="00072882"/>
    <w:rsid w:val="00077536"/>
    <w:rsid w:val="00083116"/>
    <w:rsid w:val="00087EA3"/>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D5880"/>
    <w:rsid w:val="001E694A"/>
    <w:rsid w:val="001F4250"/>
    <w:rsid w:val="001F6553"/>
    <w:rsid w:val="0020210E"/>
    <w:rsid w:val="002055C5"/>
    <w:rsid w:val="00210226"/>
    <w:rsid w:val="002110CD"/>
    <w:rsid w:val="0021247A"/>
    <w:rsid w:val="002148B1"/>
    <w:rsid w:val="00214D31"/>
    <w:rsid w:val="002319F6"/>
    <w:rsid w:val="00262B68"/>
    <w:rsid w:val="00267632"/>
    <w:rsid w:val="002752F7"/>
    <w:rsid w:val="00276AE9"/>
    <w:rsid w:val="00281F62"/>
    <w:rsid w:val="00282C1F"/>
    <w:rsid w:val="0028542C"/>
    <w:rsid w:val="002862B3"/>
    <w:rsid w:val="00286615"/>
    <w:rsid w:val="002927BB"/>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6F6B"/>
    <w:rsid w:val="0033755E"/>
    <w:rsid w:val="003405AD"/>
    <w:rsid w:val="003426B0"/>
    <w:rsid w:val="00366652"/>
    <w:rsid w:val="0037760E"/>
    <w:rsid w:val="003A241C"/>
    <w:rsid w:val="003C5F6D"/>
    <w:rsid w:val="003D14C9"/>
    <w:rsid w:val="003D314D"/>
    <w:rsid w:val="003D719D"/>
    <w:rsid w:val="00401CE2"/>
    <w:rsid w:val="004164B3"/>
    <w:rsid w:val="00422D87"/>
    <w:rsid w:val="0043382D"/>
    <w:rsid w:val="004378B2"/>
    <w:rsid w:val="004520D7"/>
    <w:rsid w:val="00467D2F"/>
    <w:rsid w:val="00470D93"/>
    <w:rsid w:val="00485F82"/>
    <w:rsid w:val="00497325"/>
    <w:rsid w:val="004A2948"/>
    <w:rsid w:val="004C0965"/>
    <w:rsid w:val="004D1B86"/>
    <w:rsid w:val="004D54ED"/>
    <w:rsid w:val="004E7CAA"/>
    <w:rsid w:val="004F0FD1"/>
    <w:rsid w:val="004F5001"/>
    <w:rsid w:val="004F6AB9"/>
    <w:rsid w:val="00502458"/>
    <w:rsid w:val="00503540"/>
    <w:rsid w:val="005074F5"/>
    <w:rsid w:val="00507E0B"/>
    <w:rsid w:val="00512A22"/>
    <w:rsid w:val="0052231F"/>
    <w:rsid w:val="005240D2"/>
    <w:rsid w:val="00535373"/>
    <w:rsid w:val="00560D0D"/>
    <w:rsid w:val="005617A1"/>
    <w:rsid w:val="005813C7"/>
    <w:rsid w:val="00593CF7"/>
    <w:rsid w:val="005A0F74"/>
    <w:rsid w:val="005B1838"/>
    <w:rsid w:val="005C1255"/>
    <w:rsid w:val="005D55AE"/>
    <w:rsid w:val="005E25D7"/>
    <w:rsid w:val="006018A1"/>
    <w:rsid w:val="0060361E"/>
    <w:rsid w:val="006056F2"/>
    <w:rsid w:val="00611325"/>
    <w:rsid w:val="00621BC3"/>
    <w:rsid w:val="00641336"/>
    <w:rsid w:val="00643CC0"/>
    <w:rsid w:val="00654DA5"/>
    <w:rsid w:val="00681A58"/>
    <w:rsid w:val="00693327"/>
    <w:rsid w:val="006A6555"/>
    <w:rsid w:val="006B005F"/>
    <w:rsid w:val="006B17D3"/>
    <w:rsid w:val="006B6995"/>
    <w:rsid w:val="006C705C"/>
    <w:rsid w:val="006D2620"/>
    <w:rsid w:val="006F193D"/>
    <w:rsid w:val="006F25D1"/>
    <w:rsid w:val="00704C4C"/>
    <w:rsid w:val="00714B31"/>
    <w:rsid w:val="007205DC"/>
    <w:rsid w:val="0073126C"/>
    <w:rsid w:val="00732DF7"/>
    <w:rsid w:val="007413CF"/>
    <w:rsid w:val="00742A1E"/>
    <w:rsid w:val="00743633"/>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82A9A"/>
    <w:rsid w:val="00885250"/>
    <w:rsid w:val="00887EEB"/>
    <w:rsid w:val="00890A2C"/>
    <w:rsid w:val="00893A5E"/>
    <w:rsid w:val="008B45C4"/>
    <w:rsid w:val="008B5EFA"/>
    <w:rsid w:val="008B6724"/>
    <w:rsid w:val="008B7232"/>
    <w:rsid w:val="008C562D"/>
    <w:rsid w:val="008C6334"/>
    <w:rsid w:val="008D56F5"/>
    <w:rsid w:val="008E0FD1"/>
    <w:rsid w:val="008E76A0"/>
    <w:rsid w:val="008F3240"/>
    <w:rsid w:val="009026AD"/>
    <w:rsid w:val="00904326"/>
    <w:rsid w:val="00921496"/>
    <w:rsid w:val="00950F82"/>
    <w:rsid w:val="00955E01"/>
    <w:rsid w:val="009674E3"/>
    <w:rsid w:val="00976291"/>
    <w:rsid w:val="009A4090"/>
    <w:rsid w:val="009E5261"/>
    <w:rsid w:val="009F2299"/>
    <w:rsid w:val="009F39E2"/>
    <w:rsid w:val="009F3F22"/>
    <w:rsid w:val="009F6C7E"/>
    <w:rsid w:val="00A301A4"/>
    <w:rsid w:val="00A45601"/>
    <w:rsid w:val="00A52674"/>
    <w:rsid w:val="00A6042A"/>
    <w:rsid w:val="00A614F6"/>
    <w:rsid w:val="00A6165D"/>
    <w:rsid w:val="00A63B84"/>
    <w:rsid w:val="00A6528F"/>
    <w:rsid w:val="00A67D13"/>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16475"/>
    <w:rsid w:val="00C36AFF"/>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354E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D36D3"/>
    <w:rsid w:val="00ED7FD1"/>
    <w:rsid w:val="00EE7801"/>
    <w:rsid w:val="00F17ABA"/>
    <w:rsid w:val="00F23CFC"/>
    <w:rsid w:val="00F32F09"/>
    <w:rsid w:val="00F33C5B"/>
    <w:rsid w:val="00F431A3"/>
    <w:rsid w:val="00F56A46"/>
    <w:rsid w:val="00F6133C"/>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2BF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blogs.oracle.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witter.com/oracle"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facebook.com/Oracle/" TargetMode="External"/><Relationship Id="rId27" Type="http://schemas.openxmlformats.org/officeDocument/2006/relationships/footer" Target="footer4.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96F03"/>
    <w:rsid w:val="001E3C0D"/>
    <w:rsid w:val="00206DD2"/>
    <w:rsid w:val="00246830"/>
    <w:rsid w:val="00252A05"/>
    <w:rsid w:val="00261515"/>
    <w:rsid w:val="002A74D0"/>
    <w:rsid w:val="002C61B4"/>
    <w:rsid w:val="002D24DC"/>
    <w:rsid w:val="002E5A8B"/>
    <w:rsid w:val="00381E2D"/>
    <w:rsid w:val="00397810"/>
    <w:rsid w:val="003E10A3"/>
    <w:rsid w:val="00496AF1"/>
    <w:rsid w:val="004D1B26"/>
    <w:rsid w:val="004D68DD"/>
    <w:rsid w:val="004E7818"/>
    <w:rsid w:val="004F0FD1"/>
    <w:rsid w:val="00596AE8"/>
    <w:rsid w:val="005B1928"/>
    <w:rsid w:val="005E349D"/>
    <w:rsid w:val="0061307A"/>
    <w:rsid w:val="006E0B75"/>
    <w:rsid w:val="006E7173"/>
    <w:rsid w:val="006F031B"/>
    <w:rsid w:val="00720A67"/>
    <w:rsid w:val="0073626F"/>
    <w:rsid w:val="00845933"/>
    <w:rsid w:val="0085513F"/>
    <w:rsid w:val="008A0638"/>
    <w:rsid w:val="008B0107"/>
    <w:rsid w:val="008E20F8"/>
    <w:rsid w:val="00904326"/>
    <w:rsid w:val="00954E3C"/>
    <w:rsid w:val="00985B5D"/>
    <w:rsid w:val="009C1210"/>
    <w:rsid w:val="00A406FC"/>
    <w:rsid w:val="00A52307"/>
    <w:rsid w:val="00A631EA"/>
    <w:rsid w:val="00B56B56"/>
    <w:rsid w:val="00C14309"/>
    <w:rsid w:val="00C35585"/>
    <w:rsid w:val="00C917E3"/>
    <w:rsid w:val="00CB1FD7"/>
    <w:rsid w:val="00CD2CB5"/>
    <w:rsid w:val="00D870D7"/>
    <w:rsid w:val="00DD779A"/>
    <w:rsid w:val="00E377F9"/>
    <w:rsid w:val="00E5672F"/>
    <w:rsid w:val="00E7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1E2D"/>
    <w:rPr>
      <w:color w:val="AE562C"/>
    </w:rPr>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racle Accessible Tech OCI DB_Pine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Pine 10: Light fill_Black text">
      <a:srgbClr val="F3FCF7"/>
    </a:custClr>
    <a:custClr name="Pine 20: Light fill_Black text">
      <a:srgbClr val="E9F9EE"/>
    </a:custClr>
    <a:custClr name="Pine 30: Light fill_Black text">
      <a:srgbClr val="E0F5E7"/>
    </a:custClr>
    <a:custClr name="text Pine 40: Light fill_Black text">
      <a:srgbClr val="CBE9D6"/>
    </a:custClr>
    <a:custClr name="Pine 50: Light fill_Black text">
      <a:srgbClr val="B7D9C2"/>
    </a:custClr>
    <a:custClr name="Pine 60: Light fill_Black text">
      <a:srgbClr val="99C2A6"/>
    </a:custClr>
    <a:custClr name="Pine 70: Light fill_Black text">
      <a:srgbClr val="86B596"/>
    </a:custClr>
    <a:custClr name="Pine 80: Light fill_Black text">
      <a:srgbClr val="74A683"/>
    </a:custClr>
    <a:custClr name="Pine 90: Light fill_Black text">
      <a:srgbClr val="5C9260"/>
    </a:custClr>
    <a:custClr name="Pine 100: Dark fill_White text">
      <a:srgbClr val="40825C"/>
    </a:custClr>
    <a:custClr name="Pine 110: Dark fill_White text">
      <a:srgbClr val="467553"/>
    </a:custClr>
    <a:custClr name="Pine 120: Dark fill_White text">
      <a:srgbClr val="3F6B4B"/>
    </a:custClr>
    <a:custClr name="Pine 130: Dark fill_White text">
      <a:srgbClr val="3A6145"/>
    </a:custClr>
    <a:custClr name="Pine 140: Dark fill_White text">
      <a:srgbClr val="33553C"/>
    </a:custClr>
    <a:custClr name="Pine 150: Dark fill_White text">
      <a:srgbClr val="2C4A35"/>
    </a:custClr>
    <a:custClr name="Pine 160: Dark fill_White text">
      <a:srgbClr val="253D2C"/>
    </a:custClr>
    <a:custClr name="Pine 170: Dark fill_White text">
      <a:srgbClr val="1E3224"/>
    </a:custClr>
    <a:custClr name="Pine 180: Dark fill_White text">
      <a:srgbClr val="132318"/>
    </a:custClr>
    <a:custClr name="Pine 190: Dark fill_White text">
      <a:srgbClr val="0D170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CED5B20-3A94-474C-B908-E179A7112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1bc670c8-2630-4dd0-931d-25b41b564648"/>
    <ds:schemaRef ds:uri="2b7a8bc4-d0b7-4a32-a3af-8e1f6549293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56821B-EB34-4B83-91A2-97F15DCB6642}">
  <ds:schemaRefs>
    <ds:schemaRef ds:uri="Microsoft.SharePoint.Taxonomy.ContentTypeSync"/>
  </ds:schemaRefs>
</ds:datastoreItem>
</file>

<file path=customXml/itemProps4.xml><?xml version="1.0" encoding="utf-8"?>
<ds:datastoreItem xmlns:ds="http://schemas.openxmlformats.org/officeDocument/2006/customXml" ds:itemID="{2BD138B9-7A29-4EA8-BC11-74016C521C97}">
  <ds:schemaRefs>
    <ds:schemaRef ds:uri="http://schemas.microsoft.com/sharepoint/v3/contenttype/forms"/>
  </ds:schemaRefs>
</ds:datastoreItem>
</file>

<file path=customXml/itemProps5.xml><?xml version="1.0" encoding="utf-8"?>
<ds:datastoreItem xmlns:ds="http://schemas.openxmlformats.org/officeDocument/2006/customXml" ds:itemID="{3D08F974-56E4-450E-8A3B-66F7EC8E057C}">
  <ds:schemaRefs>
    <ds:schemaRef ds:uri="http://schemas.microsoft.com/office/2006/metadata/properties"/>
    <ds:schemaRef ds:uri="http://schemas.microsoft.com/office/infopath/2007/PartnerControls"/>
    <ds:schemaRef ds:uri="2b7a8bc4-d0b7-4a32-a3af-8e1f6549293e"/>
    <ds:schemaRef ds:uri="f085ca05-1a56-417b-bcef-25b3bd9988f8"/>
    <ds:schemaRef ds:uri="1bc670c8-2630-4dd0-931d-25b41b564648"/>
    <ds:schemaRef ds:uri="http://schemas.microsoft.com/sharepoint/v3/fields"/>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4399</Words>
  <Characters>25078</Characters>
  <Application>Microsoft Office Word</Application>
  <DocSecurity>0</DocSecurity>
  <Lines>208</Lines>
  <Paragraphs>58</Paragraphs>
  <ScaleCrop>false</ScaleCrop>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AXIAN OCI Observability &amp; Management RFP Answers</dc:title>
  <dc:subject>AXIAN Group Centralized Monitoring and Observability RFP response</dc:subject>
  <dc:creator/>
  <cp:keywords>Unified Assurance; OCI Observability and Management; Log Analytics; Oracle Enterprise Manager; ServiceNow; AXIAN</cp:keywords>
  <dc:description>Added solution, subscription and professional-services BOM with discovery-based sizing and licensing boundaries.</dc:description>
  <cp:lastModifiedBy/>
  <cp:revision>1</cp:revision>
  <dcterms:created xsi:type="dcterms:W3CDTF">2023-03-01T19:19:00Z</dcterms:created>
  <dcterms:modified xsi:type="dcterms:W3CDTF">2026-08-03T13:12:00Z</dcterms:modified>
  <cp:category>Oracle Technical Marketing</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y fmtid="{D5CDD505-2E9C-101B-9397-08002B2CF9AE}" pid="4" name="ClassificationContentMarkingHeaderShapeIds">
    <vt:lpwstr>c7ef725,585d39b5,3ced818b,423f767,499630d3</vt:lpwstr>
  </property>
  <property fmtid="{D5CDD505-2E9C-101B-9397-08002B2CF9AE}" pid="5" name="ClassificationContentMarkingHeaderFontProps">
    <vt:lpwstr>#000000,10,Aptos</vt:lpwstr>
  </property>
  <property fmtid="{D5CDD505-2E9C-101B-9397-08002B2CF9AE}" pid="6" name="ClassificationContentMarkingHeaderText">
    <vt:lpwstr>Confidential - Oracle Restricted \Employees Only</vt:lpwstr>
  </property>
  <property fmtid="{D5CDD505-2E9C-101B-9397-08002B2CF9AE}" pid="7" name="ClassificationContentMarkingFooterShapeIds">
    <vt:lpwstr>5bfe3cf4,2b66592f,5bb95bb1,6be1e638,49e5cd9</vt:lpwstr>
  </property>
  <property fmtid="{D5CDD505-2E9C-101B-9397-08002B2CF9AE}" pid="8" name="ClassificationContentMarkingFooterFontProps">
    <vt:lpwstr>#000000,10,Aptos</vt:lpwstr>
  </property>
  <property fmtid="{D5CDD505-2E9C-101B-9397-08002B2CF9AE}" pid="9" name="ClassificationContentMarkingFooterText">
    <vt:lpwstr>Confidential - Oracle Restricted \Employees Only</vt:lpwstr>
  </property>
</Properties>
</file>