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0070C0"/>
          <w:sz w:val="20"/>
        </w:rPr>
        <w:t>LAGOS BUSINESS SCHOOL  |  MIPF BOOT CAMP, DAY 1</w:t>
      </w:r>
    </w:p>
    <w:p>
      <w:pPr>
        <w:spacing w:after="40"/>
      </w:pPr>
      <w:r>
        <w:rPr>
          <w:b/>
          <w:i w:val="0"/>
          <w:color w:val="002060"/>
          <w:sz w:val="40"/>
        </w:rPr>
        <w:t>Pre-read Primer: Infrastructure Finance Essentials</w:t>
      </w:r>
    </w:p>
    <w:p>
      <w:pPr>
        <w:spacing w:after="160"/>
      </w:pPr>
      <w:r>
        <w:rPr>
          <w:b w:val="0"/>
          <w:i w:val="0"/>
          <w:color w:val="595959"/>
          <w:sz w:val="20"/>
        </w:rPr>
        <w:t>For MIPF Day 1, Modules 1 &amp; 2, 14 October 2026  |  Prof. Bongo Adi, Lagos Business School</w:t>
      </w:r>
    </w:p>
    <w:tbl>
      <w:tblPr>
        <w:tblStyle w:val="TableGrid"/>
        <w:tblW w:type="auto" w:w="0"/>
        <w:tblLook w:firstColumn="1" w:firstRow="1" w:lastColumn="0" w:lastRow="0" w:noHBand="0" w:noVBand="1" w:val="04A0"/>
      </w:tblPr>
      <w:tblGrid>
        <w:gridCol w:w="9638"/>
      </w:tblGrid>
      <w:tr>
        <w:tc>
          <w:tcPr>
            <w:tcW w:type="dxa" w:w="9638"/>
            <w:shd w:val="clear" w:color="auto" w:fill="DDEBF7"/>
          </w:tcPr>
          <w:p>
            <w:r/>
            <w:r>
              <w:rPr>
                <w:b/>
                <w:color w:val="002060"/>
                <w:sz w:val="21"/>
              </w:rPr>
              <w:t>Reading time: about 15 minutes.</w:t>
            </w:r>
            <w:r>
              <w:rPr>
                <w:b w:val="0"/>
                <w:color w:val="002060"/>
                <w:sz w:val="21"/>
              </w:rPr>
              <w:t xml:space="preserve"> No prior project finance knowledge is assumed. Day 1 builds on these ideas using one running case, Project Sahel Sun, a 50MW solar plant.</w:t>
            </w:r>
          </w:p>
        </w:tc>
      </w:tr>
    </w:tbl>
    <w:p>
      <w:pPr>
        <w:spacing w:after="40"/>
      </w:pPr>
    </w:p>
    <w:p>
      <w:pPr>
        <w:pStyle w:val="Heading2"/>
      </w:pPr>
      <w:r>
        <w:t>1. What is project finance?</w:t>
      </w:r>
    </w:p>
    <w:p>
      <w:r>
        <w:rPr>
          <w:b w:val="0"/>
          <w:i w:val="0"/>
        </w:rPr>
        <w:t xml:space="preserve">Project finance is a way of raising long-term debt for a large project by lending to a new company created only for that project (a </w:t>
      </w:r>
      <w:r>
        <w:rPr>
          <w:b/>
          <w:i w:val="0"/>
        </w:rPr>
        <w:t>Special Purpose Vehicle, SPV</w:t>
      </w:r>
      <w:r>
        <w:rPr>
          <w:b w:val="0"/>
          <w:i w:val="0"/>
        </w:rPr>
        <w:t>) and relying on the project's own cash flow for repayment, rather than on the balance sheet of the sponsors who own it. Because lenders cannot fall back on the sponsors, they study the project's risks in detail and insist that each risk is passed by contract to the party best able to carry it.</w:t>
      </w:r>
    </w:p>
    <w:tbl>
      <w:tblPr>
        <w:tblStyle w:val="TableGrid"/>
        <w:jc w:val="center"/>
        <w:tblLayout w:type="fixed"/>
        <w:tblLook w:firstColumn="1" w:firstRow="1" w:lastColumn="0" w:lastRow="0" w:noHBand="0" w:noVBand="1" w:val="04A0"/>
        <w:tblW w:w="9639" w:type="dxa"/>
        <w:tblLayout w:type="fixed"/>
      </w:tblPr>
      <w:tblGrid>
        <w:gridCol w:w="1984"/>
        <w:gridCol w:w="3685"/>
        <w:gridCol w:w="3969"/>
      </w:tblGrid>
      <w:tr>
        <w:tc>
          <w:tcPr>
            <w:tcW w:type="dxa" w:w="1984"/>
            <w:shd w:val="clear" w:color="auto" w:fill="002060"/>
          </w:tcPr>
          <w:p>
            <w:r/>
            <w:r>
              <w:rPr>
                <w:b/>
                <w:color w:val="FFFFFF"/>
                <w:sz w:val="20"/>
              </w:rPr>
            </w:r>
          </w:p>
        </w:tc>
        <w:tc>
          <w:tcPr>
            <w:tcW w:type="dxa" w:w="3685"/>
            <w:shd w:val="clear" w:color="auto" w:fill="002060"/>
          </w:tcPr>
          <w:p>
            <w:r/>
            <w:r>
              <w:rPr>
                <w:b/>
                <w:color w:val="FFFFFF"/>
                <w:sz w:val="20"/>
              </w:rPr>
              <w:t>Corporate finance</w:t>
            </w:r>
          </w:p>
        </w:tc>
        <w:tc>
          <w:tcPr>
            <w:tcW w:type="dxa" w:w="3969"/>
            <w:shd w:val="clear" w:color="auto" w:fill="002060"/>
          </w:tcPr>
          <w:p>
            <w:r/>
            <w:r>
              <w:rPr>
                <w:b/>
                <w:color w:val="FFFFFF"/>
                <w:sz w:val="20"/>
              </w:rPr>
              <w:t>Project finance</w:t>
            </w:r>
          </w:p>
        </w:tc>
      </w:tr>
      <w:tr>
        <w:tc>
          <w:tcPr>
            <w:tcW w:type="dxa" w:w="1984"/>
          </w:tcPr>
          <w:p>
            <w:r/>
            <w:r>
              <w:rPr>
                <w:sz w:val="20"/>
              </w:rPr>
              <w:t>Borrower</w:t>
            </w:r>
          </w:p>
        </w:tc>
        <w:tc>
          <w:tcPr>
            <w:tcW w:type="dxa" w:w="3685"/>
          </w:tcPr>
          <w:p>
            <w:r/>
            <w:r>
              <w:rPr>
                <w:sz w:val="20"/>
              </w:rPr>
              <w:t>Existing company</w:t>
            </w:r>
          </w:p>
        </w:tc>
        <w:tc>
          <w:tcPr>
            <w:tcW w:type="dxa" w:w="3969"/>
          </w:tcPr>
          <w:p>
            <w:r/>
            <w:r>
              <w:rPr>
                <w:sz w:val="20"/>
              </w:rPr>
              <w:t>New, single-purpose SPV</w:t>
            </w:r>
          </w:p>
        </w:tc>
      </w:tr>
      <w:tr>
        <w:tc>
          <w:tcPr>
            <w:tcW w:type="dxa" w:w="1984"/>
            <w:shd w:val="clear" w:color="auto" w:fill="EEF4FB"/>
          </w:tcPr>
          <w:p>
            <w:r/>
            <w:r>
              <w:rPr>
                <w:sz w:val="20"/>
              </w:rPr>
              <w:t>Lender relies on</w:t>
            </w:r>
          </w:p>
        </w:tc>
        <w:tc>
          <w:tcPr>
            <w:tcW w:type="dxa" w:w="3685"/>
            <w:shd w:val="clear" w:color="auto" w:fill="EEF4FB"/>
          </w:tcPr>
          <w:p>
            <w:r/>
            <w:r>
              <w:rPr>
                <w:sz w:val="20"/>
              </w:rPr>
              <w:t>The whole company's cash flow and assets</w:t>
            </w:r>
          </w:p>
        </w:tc>
        <w:tc>
          <w:tcPr>
            <w:tcW w:type="dxa" w:w="3969"/>
            <w:shd w:val="clear" w:color="auto" w:fill="EEF4FB"/>
          </w:tcPr>
          <w:p>
            <w:r/>
            <w:r>
              <w:rPr>
                <w:sz w:val="20"/>
              </w:rPr>
              <w:t>The project's cash flow (CFADS) and contracts</w:t>
            </w:r>
          </w:p>
        </w:tc>
      </w:tr>
      <w:tr>
        <w:tc>
          <w:tcPr>
            <w:tcW w:type="dxa" w:w="1984"/>
          </w:tcPr>
          <w:p>
            <w:r/>
            <w:r>
              <w:rPr>
                <w:sz w:val="20"/>
              </w:rPr>
              <w:t>Recourse</w:t>
            </w:r>
          </w:p>
        </w:tc>
        <w:tc>
          <w:tcPr>
            <w:tcW w:type="dxa" w:w="3685"/>
          </w:tcPr>
          <w:p>
            <w:r/>
            <w:r>
              <w:rPr>
                <w:sz w:val="20"/>
              </w:rPr>
              <w:t>Full</w:t>
            </w:r>
          </w:p>
        </w:tc>
        <w:tc>
          <w:tcPr>
            <w:tcW w:type="dxa" w:w="3969"/>
          </w:tcPr>
          <w:p>
            <w:r/>
            <w:r>
              <w:rPr>
                <w:sz w:val="20"/>
              </w:rPr>
              <w:t>None or limited (usually during construction)</w:t>
            </w:r>
          </w:p>
        </w:tc>
      </w:tr>
      <w:tr>
        <w:tc>
          <w:tcPr>
            <w:tcW w:type="dxa" w:w="1984"/>
            <w:shd w:val="clear" w:color="auto" w:fill="EEF4FB"/>
          </w:tcPr>
          <w:p>
            <w:r/>
            <w:r>
              <w:rPr>
                <w:sz w:val="20"/>
              </w:rPr>
              <w:t>Typical debt share</w:t>
            </w:r>
          </w:p>
        </w:tc>
        <w:tc>
          <w:tcPr>
            <w:tcW w:type="dxa" w:w="3685"/>
            <w:shd w:val="clear" w:color="auto" w:fill="EEF4FB"/>
          </w:tcPr>
          <w:p>
            <w:r/>
            <w:r>
              <w:rPr>
                <w:sz w:val="20"/>
              </w:rPr>
              <w:t>30–50%</w:t>
            </w:r>
          </w:p>
        </w:tc>
        <w:tc>
          <w:tcPr>
            <w:tcW w:type="dxa" w:w="3969"/>
            <w:shd w:val="clear" w:color="auto" w:fill="EEF4FB"/>
          </w:tcPr>
          <w:p>
            <w:r/>
            <w:r>
              <w:rPr>
                <w:sz w:val="20"/>
              </w:rPr>
              <w:t>60–80%</w:t>
            </w:r>
          </w:p>
        </w:tc>
      </w:tr>
    </w:tbl>
    <w:p>
      <w:pPr>
        <w:spacing w:after="40"/>
      </w:pPr>
    </w:p>
    <w:p>
      <w:pPr>
        <w:pStyle w:val="Heading2"/>
      </w:pPr>
      <w:r>
        <w:t>2. The numbers lenders care about</w:t>
      </w:r>
    </w:p>
    <w:p>
      <w:pPr>
        <w:pStyle w:val="ListBullet"/>
        <w:spacing w:after="40"/>
      </w:pPr>
      <w:r>
        <w:rPr>
          <w:b/>
        </w:rPr>
        <w:t>CFADS</w:t>
      </w:r>
      <w:r>
        <w:rPr>
          <w:b w:val="0"/>
        </w:rPr>
        <w:t xml:space="preserve"> (Cash Flow Available for Debt Service) = revenue − operating costs − tax (± working capital − maintenance capex).</w:t>
      </w:r>
    </w:p>
    <w:p>
      <w:pPr>
        <w:pStyle w:val="ListBullet"/>
        <w:spacing w:after="40"/>
      </w:pPr>
      <w:r>
        <w:rPr>
          <w:b/>
        </w:rPr>
        <w:t>DSCR</w:t>
      </w:r>
      <w:r>
        <w:rPr>
          <w:b w:val="0"/>
        </w:rPr>
        <w:t xml:space="preserve"> (Debt Service Cover Ratio) = CFADS ÷ debt service. A DSCR of 1.35x means the project earns ₦1.35 for every ₦1 it owes lenders that year.</w:t>
      </w:r>
    </w:p>
    <w:p>
      <w:pPr>
        <w:pStyle w:val="ListBullet"/>
        <w:spacing w:after="40"/>
      </w:pPr>
      <w:r>
        <w:rPr>
          <w:b/>
        </w:rPr>
        <w:t>Debt sizing</w:t>
      </w:r>
      <w:r>
        <w:rPr>
          <w:b w:val="0"/>
        </w:rPr>
        <w:t>: lenders set debt service equal to CFADS ÷ target DSCR each year (</w:t>
      </w:r>
      <w:r>
        <w:rPr>
          <w:b/>
        </w:rPr>
        <w:t>sculpting</w:t>
      </w:r>
      <w:r>
        <w:rPr>
          <w:b w:val="0"/>
        </w:rPr>
        <w:t xml:space="preserve">) and borrow the present value of that stream, capped by a maximum </w:t>
      </w:r>
      <w:r>
        <w:rPr>
          <w:b/>
        </w:rPr>
        <w:t>gearing</w:t>
      </w:r>
      <w:r>
        <w:rPr>
          <w:b w:val="0"/>
        </w:rPr>
        <w:t xml:space="preserve"> (e.g. 70% of cost).</w:t>
      </w:r>
    </w:p>
    <w:p>
      <w:pPr>
        <w:pStyle w:val="ListBullet"/>
        <w:spacing w:after="40"/>
      </w:pPr>
      <w:r>
        <w:rPr>
          <w:b/>
        </w:rPr>
        <w:t>LLCR</w:t>
      </w:r>
      <w:r>
        <w:rPr>
          <w:b w:val="0"/>
        </w:rPr>
        <w:t xml:space="preserve"> (Loan Life Cover Ratio) = present value of CFADS over the loan's life ÷ debt outstanding. It tests the whole loan, not one year.</w:t>
      </w:r>
    </w:p>
    <w:p>
      <w:pPr>
        <w:pStyle w:val="ListBullet"/>
        <w:spacing w:after="40"/>
      </w:pPr>
      <w:r>
        <w:rPr>
          <w:b/>
        </w:rPr>
        <w:t>Reserve accounts</w:t>
      </w:r>
      <w:r>
        <w:rPr>
          <w:b w:val="0"/>
        </w:rPr>
        <w:t xml:space="preserve"> (e.g. a Debt Service Reserve Account holding six months of debt service) buy time when cash flow dips.</w:t>
      </w:r>
    </w:p>
    <w:tbl>
      <w:tblPr>
        <w:tblStyle w:val="TableGrid"/>
        <w:tblW w:type="auto" w:w="0"/>
        <w:tblLook w:firstColumn="1" w:firstRow="1" w:lastColumn="0" w:lastRow="0" w:noHBand="0" w:noVBand="1" w:val="04A0"/>
      </w:tblPr>
      <w:tblGrid>
        <w:gridCol w:w="9638"/>
      </w:tblGrid>
      <w:tr>
        <w:tc>
          <w:tcPr>
            <w:tcW w:type="dxa" w:w="9638"/>
            <w:shd w:val="clear" w:color="auto" w:fill="DDEBF7"/>
          </w:tcPr>
          <w:p>
            <w:r/>
            <w:r>
              <w:rPr>
                <w:b/>
                <w:color w:val="002060"/>
                <w:sz w:val="21"/>
              </w:rPr>
              <w:t>Worked example (Sahel Sun, Year 1):</w:t>
            </w:r>
            <w:r>
              <w:rPr>
                <w:b w:val="0"/>
                <w:color w:val="002060"/>
                <w:sz w:val="21"/>
              </w:rPr>
              <w:t xml:space="preserve"> 91,980 MWh × US$95 = US$8.74m revenue; − US$1.10m opex; tax nil (holiday) → CFADS US$7.64m. At a 1.35x DSCR, debt service = US$5.66m. Over 15 years this supports ~US$37.4m of debt, 68% of the US$55m cost.</w:t>
            </w:r>
          </w:p>
        </w:tc>
      </w:tr>
    </w:tbl>
    <w:p>
      <w:pPr>
        <w:spacing w:after="40"/>
      </w:pPr>
    </w:p>
    <w:p>
      <w:pPr>
        <w:pStyle w:val="Heading2"/>
      </w:pPr>
      <w:r>
        <w:t>3. The capital stack and the waterfall</w:t>
      </w:r>
    </w:p>
    <w:p>
      <w:r>
        <w:rPr>
          <w:b w:val="0"/>
          <w:i w:val="0"/>
        </w:rPr>
        <w:t xml:space="preserve">The </w:t>
      </w:r>
      <w:r>
        <w:rPr>
          <w:b/>
          <w:i w:val="0"/>
        </w:rPr>
        <w:t>capital stack</w:t>
      </w:r>
      <w:r>
        <w:rPr>
          <w:b w:val="0"/>
          <w:i w:val="0"/>
        </w:rPr>
        <w:t xml:space="preserve"> is the mix of money that funds the project, ranked by who is paid first. </w:t>
      </w:r>
      <w:r>
        <w:rPr>
          <w:b/>
          <w:i w:val="0"/>
        </w:rPr>
        <w:t>Senior debt</w:t>
      </w:r>
      <w:r>
        <w:rPr>
          <w:b w:val="0"/>
          <w:i w:val="0"/>
        </w:rPr>
        <w:t xml:space="preserve"> is paid first and earns the lowest return; </w:t>
      </w:r>
      <w:r>
        <w:rPr>
          <w:b/>
          <w:i w:val="0"/>
        </w:rPr>
        <w:t>mezzanine</w:t>
      </w:r>
      <w:r>
        <w:rPr>
          <w:b w:val="0"/>
          <w:i w:val="0"/>
        </w:rPr>
        <w:t xml:space="preserve"> or </w:t>
      </w:r>
      <w:r>
        <w:rPr>
          <w:b/>
          <w:i w:val="0"/>
        </w:rPr>
        <w:t>shareholder loans</w:t>
      </w:r>
      <w:r>
        <w:rPr>
          <w:b w:val="0"/>
          <w:i w:val="0"/>
        </w:rPr>
        <w:t xml:space="preserve"> come next; </w:t>
      </w:r>
      <w:r>
        <w:rPr>
          <w:b/>
          <w:i w:val="0"/>
        </w:rPr>
        <w:t>equity</w:t>
      </w:r>
      <w:r>
        <w:rPr>
          <w:b w:val="0"/>
          <w:i w:val="0"/>
        </w:rPr>
        <w:t xml:space="preserve"> is paid last, absorbs losses first, and targets the highest return. The loan agreement enforces this order through a </w:t>
      </w:r>
      <w:r>
        <w:rPr>
          <w:b/>
          <w:i w:val="0"/>
        </w:rPr>
        <w:t>cash-flow waterfall</w:t>
      </w:r>
      <w:r>
        <w:rPr>
          <w:b w:val="0"/>
          <w:i w:val="0"/>
        </w:rPr>
        <w:t xml:space="preserve">: revenue pays operating costs, then senior debt, then reserves, then subordinated debt, and only then, if the DSCR is above a </w:t>
      </w:r>
      <w:r>
        <w:rPr>
          <w:b/>
          <w:i w:val="0"/>
        </w:rPr>
        <w:t>lock-up</w:t>
      </w:r>
      <w:r>
        <w:rPr>
          <w:b w:val="0"/>
          <w:i w:val="0"/>
        </w:rPr>
        <w:t xml:space="preserve"> level, dividends.</w:t>
      </w:r>
    </w:p>
    <w:p>
      <w:pPr>
        <w:pStyle w:val="Heading2"/>
      </w:pPr>
      <w:r>
        <w:t>4. Allocating risk</w:t>
      </w:r>
    </w:p>
    <w:p>
      <w:r>
        <w:rPr>
          <w:b w:val="0"/>
          <w:i w:val="0"/>
        </w:rPr>
        <w:t xml:space="preserve">The golden rule: give each risk to the party best able to </w:t>
      </w:r>
      <w:r>
        <w:rPr>
          <w:b/>
          <w:i w:val="0"/>
        </w:rPr>
        <w:t>control</w:t>
      </w:r>
      <w:r>
        <w:rPr>
          <w:b w:val="0"/>
          <w:i w:val="0"/>
        </w:rPr>
        <w:t xml:space="preserve"> it, or, if no one controls it, to the party that can </w:t>
      </w:r>
      <w:r>
        <w:rPr>
          <w:b/>
          <w:i w:val="0"/>
        </w:rPr>
        <w:t>absorb</w:t>
      </w:r>
      <w:r>
        <w:rPr>
          <w:b w:val="0"/>
          <w:i w:val="0"/>
        </w:rPr>
        <w:t xml:space="preserve"> it at the lowest cost.</w:t>
      </w:r>
    </w:p>
    <w:tbl>
      <w:tblPr>
        <w:tblStyle w:val="TableGrid"/>
        <w:jc w:val="center"/>
        <w:tblLayout w:type="fixed"/>
        <w:tblLook w:firstColumn="1" w:firstRow="1" w:lastColumn="0" w:lastRow="0" w:noHBand="0" w:noVBand="1" w:val="04A0"/>
        <w:tblW w:w="9639" w:type="dxa"/>
        <w:tblLayout w:type="fixed"/>
      </w:tblPr>
      <w:tblGrid>
        <w:gridCol w:w="2551"/>
        <w:gridCol w:w="2835"/>
        <w:gridCol w:w="4252"/>
      </w:tblGrid>
      <w:tr>
        <w:tc>
          <w:tcPr>
            <w:tcW w:type="dxa" w:w="2551"/>
            <w:shd w:val="clear" w:color="auto" w:fill="002060"/>
          </w:tcPr>
          <w:p>
            <w:r/>
            <w:r>
              <w:rPr>
                <w:b/>
                <w:color w:val="FFFFFF"/>
                <w:sz w:val="20"/>
              </w:rPr>
              <w:t>Risk</w:t>
            </w:r>
          </w:p>
        </w:tc>
        <w:tc>
          <w:tcPr>
            <w:tcW w:type="dxa" w:w="2835"/>
            <w:shd w:val="clear" w:color="auto" w:fill="002060"/>
          </w:tcPr>
          <w:p>
            <w:r/>
            <w:r>
              <w:rPr>
                <w:b/>
                <w:color w:val="FFFFFF"/>
                <w:sz w:val="20"/>
              </w:rPr>
              <w:t>Usually carried by</w:t>
            </w:r>
          </w:p>
        </w:tc>
        <w:tc>
          <w:tcPr>
            <w:tcW w:type="dxa" w:w="4252"/>
            <w:shd w:val="clear" w:color="auto" w:fill="002060"/>
          </w:tcPr>
          <w:p>
            <w:r/>
            <w:r>
              <w:rPr>
                <w:b/>
                <w:color w:val="FFFFFF"/>
                <w:sz w:val="20"/>
              </w:rPr>
              <w:t>Main instrument</w:t>
            </w:r>
          </w:p>
        </w:tc>
      </w:tr>
      <w:tr>
        <w:tc>
          <w:tcPr>
            <w:tcW w:type="dxa" w:w="2551"/>
          </w:tcPr>
          <w:p>
            <w:r/>
            <w:r>
              <w:rPr>
                <w:sz w:val="20"/>
              </w:rPr>
              <w:t>Construction cost &amp; delay</w:t>
            </w:r>
          </w:p>
        </w:tc>
        <w:tc>
          <w:tcPr>
            <w:tcW w:type="dxa" w:w="2835"/>
          </w:tcPr>
          <w:p>
            <w:r/>
            <w:r>
              <w:rPr>
                <w:sz w:val="20"/>
              </w:rPr>
              <w:t>EPC contractor, then sponsors</w:t>
            </w:r>
          </w:p>
        </w:tc>
        <w:tc>
          <w:tcPr>
            <w:tcW w:type="dxa" w:w="4252"/>
          </w:tcPr>
          <w:p>
            <w:r/>
            <w:r>
              <w:rPr>
                <w:sz w:val="20"/>
              </w:rPr>
              <w:t>Fixed-price EPC, liquidated damages, completion guarantee</w:t>
            </w:r>
          </w:p>
        </w:tc>
      </w:tr>
      <w:tr>
        <w:tc>
          <w:tcPr>
            <w:tcW w:type="dxa" w:w="2551"/>
            <w:shd w:val="clear" w:color="auto" w:fill="EEF4FB"/>
          </w:tcPr>
          <w:p>
            <w:r/>
            <w:r>
              <w:rPr>
                <w:sz w:val="20"/>
              </w:rPr>
              <w:t>Operating performance</w:t>
            </w:r>
          </w:p>
        </w:tc>
        <w:tc>
          <w:tcPr>
            <w:tcW w:type="dxa" w:w="2835"/>
            <w:shd w:val="clear" w:color="auto" w:fill="EEF4FB"/>
          </w:tcPr>
          <w:p>
            <w:r/>
            <w:r>
              <w:rPr>
                <w:sz w:val="20"/>
              </w:rPr>
              <w:t>O&amp;M operator / sponsors</w:t>
            </w:r>
          </w:p>
        </w:tc>
        <w:tc>
          <w:tcPr>
            <w:tcW w:type="dxa" w:w="4252"/>
            <w:shd w:val="clear" w:color="auto" w:fill="EEF4FB"/>
          </w:tcPr>
          <w:p>
            <w:r/>
            <w:r>
              <w:rPr>
                <w:sz w:val="20"/>
              </w:rPr>
              <w:t>O&amp;M contract, reserves</w:t>
            </w:r>
          </w:p>
        </w:tc>
      </w:tr>
      <w:tr>
        <w:tc>
          <w:tcPr>
            <w:tcW w:type="dxa" w:w="2551"/>
          </w:tcPr>
          <w:p>
            <w:r/>
            <w:r>
              <w:rPr>
                <w:sz w:val="20"/>
              </w:rPr>
              <w:t>Offtaker payment</w:t>
            </w:r>
          </w:p>
        </w:tc>
        <w:tc>
          <w:tcPr>
            <w:tcW w:type="dxa" w:w="2835"/>
          </w:tcPr>
          <w:p>
            <w:r/>
            <w:r>
              <w:rPr>
                <w:sz w:val="20"/>
              </w:rPr>
              <w:t>Offtaker, backed by guarantor</w:t>
            </w:r>
          </w:p>
        </w:tc>
        <w:tc>
          <w:tcPr>
            <w:tcW w:type="dxa" w:w="4252"/>
          </w:tcPr>
          <w:p>
            <w:r/>
            <w:r>
              <w:rPr>
                <w:sz w:val="20"/>
              </w:rPr>
              <w:t>Letter of credit, escrow, World Bank PRG</w:t>
            </w:r>
          </w:p>
        </w:tc>
      </w:tr>
      <w:tr>
        <w:tc>
          <w:tcPr>
            <w:tcW w:type="dxa" w:w="2551"/>
            <w:shd w:val="clear" w:color="auto" w:fill="EEF4FB"/>
          </w:tcPr>
          <w:p>
            <w:r/>
            <w:r>
              <w:rPr>
                <w:sz w:val="20"/>
              </w:rPr>
              <w:t>Currency</w:t>
            </w:r>
          </w:p>
        </w:tc>
        <w:tc>
          <w:tcPr>
            <w:tcW w:type="dxa" w:w="2835"/>
            <w:shd w:val="clear" w:color="auto" w:fill="EEF4FB"/>
          </w:tcPr>
          <w:p>
            <w:r/>
            <w:r>
              <w:rPr>
                <w:sz w:val="20"/>
              </w:rPr>
              <w:t>Offtaker via tariff indexation</w:t>
            </w:r>
          </w:p>
        </w:tc>
        <w:tc>
          <w:tcPr>
            <w:tcW w:type="dxa" w:w="4252"/>
            <w:shd w:val="clear" w:color="auto" w:fill="EEF4FB"/>
          </w:tcPr>
          <w:p>
            <w:r/>
            <w:r>
              <w:rPr>
                <w:sz w:val="20"/>
              </w:rPr>
              <w:t>FX pass-through, naira debt, MIGA</w:t>
            </w:r>
          </w:p>
        </w:tc>
      </w:tr>
      <w:tr>
        <w:tc>
          <w:tcPr>
            <w:tcW w:type="dxa" w:w="2551"/>
          </w:tcPr>
          <w:p>
            <w:r/>
            <w:r>
              <w:rPr>
                <w:sz w:val="20"/>
              </w:rPr>
              <w:t>Change in law / political</w:t>
            </w:r>
          </w:p>
        </w:tc>
        <w:tc>
          <w:tcPr>
            <w:tcW w:type="dxa" w:w="2835"/>
          </w:tcPr>
          <w:p>
            <w:r/>
            <w:r>
              <w:rPr>
                <w:sz w:val="20"/>
              </w:rPr>
              <w:t>Government</w:t>
            </w:r>
          </w:p>
        </w:tc>
        <w:tc>
          <w:tcPr>
            <w:tcW w:type="dxa" w:w="4252"/>
          </w:tcPr>
          <w:p>
            <w:r/>
            <w:r>
              <w:rPr>
                <w:sz w:val="20"/>
              </w:rPr>
              <w:t>Change-in-law clause, termination payments, MIGA</w:t>
            </w:r>
          </w:p>
        </w:tc>
      </w:tr>
    </w:tbl>
    <w:p>
      <w:pPr>
        <w:spacing w:after="40"/>
      </w:pPr>
    </w:p>
    <w:p>
      <w:pPr>
        <w:pStyle w:val="Heading2"/>
      </w:pPr>
      <w:r>
        <w:t>5. The Nigerian landscape in brief</w:t>
      </w:r>
    </w:p>
    <w:p>
      <w:pPr>
        <w:pStyle w:val="ListBullet"/>
        <w:spacing w:after="40"/>
      </w:pPr>
      <w:r>
        <w:rPr>
          <w:b/>
        </w:rPr>
        <w:t>Azura-Edo IPP</w:t>
      </w:r>
      <w:r>
        <w:rPr>
          <w:b w:val="0"/>
        </w:rPr>
        <w:t xml:space="preserve"> (financial close Dec 2015, ~US$876m) is Nigeria's reference project-finance deal: an SPV with a PPA with NBET, backed by a letter of credit, a World Bank Partial Risk Guarantee, an FGN put-call option and MIGA cover.</w:t>
      </w:r>
    </w:p>
    <w:p>
      <w:pPr>
        <w:pStyle w:val="ListBullet"/>
        <w:spacing w:after="40"/>
      </w:pPr>
      <w:r>
        <w:rPr>
          <w:b/>
        </w:rPr>
        <w:t>InfraCredit</w:t>
      </w:r>
      <w:r>
        <w:rPr>
          <w:b w:val="0"/>
        </w:rPr>
        <w:t xml:space="preserve"> (est. 2017, AAA(NG)) guarantees naira infrastructure bonds so that pension funds and insurers can lend long-term in local currency.</w:t>
      </w:r>
    </w:p>
    <w:p>
      <w:pPr>
        <w:pStyle w:val="ListBullet"/>
        <w:spacing w:after="40"/>
      </w:pPr>
      <w:r>
        <w:rPr>
          <w:b/>
        </w:rPr>
        <w:t>InfraCorp</w:t>
      </w:r>
      <w:r>
        <w:rPr>
          <w:b w:val="0"/>
        </w:rPr>
        <w:t>, promoted by the CBN, AFC and NSIA with a ₦1trn seed and ₦15trn target, has been reported as slow to deploy capital.</w:t>
      </w:r>
    </w:p>
    <w:p>
      <w:pPr>
        <w:pStyle w:val="ListBullet"/>
        <w:spacing w:after="40"/>
      </w:pPr>
      <w:r>
        <w:rPr>
          <w:b/>
        </w:rPr>
        <w:t>The CBN</w:t>
      </w:r>
      <w:r>
        <w:rPr>
          <w:b w:val="0"/>
        </w:rPr>
        <w:t xml:space="preserve"> has moved away from direct intervention lending (applications suspended December 2023) towards strengthening DFIs and the credit system.</w:t>
      </w:r>
    </w:p>
    <w:p>
      <w:pPr>
        <w:pStyle w:val="ListBullet"/>
        <w:spacing w:after="40"/>
      </w:pPr>
      <w:r>
        <w:rPr>
          <w:b/>
        </w:rPr>
        <w:t>PPPs</w:t>
      </w:r>
      <w:r>
        <w:rPr>
          <w:b w:val="0"/>
        </w:rPr>
        <w:t xml:space="preserve"> at federal level are governed by the </w:t>
      </w:r>
      <w:r>
        <w:rPr>
          <w:b/>
        </w:rPr>
        <w:t>ICRC Act 2005</w:t>
      </w:r>
      <w:r>
        <w:rPr>
          <w:b w:val="0"/>
        </w:rPr>
        <w:t xml:space="preserve">; states such as Lagos have their own laws. The </w:t>
      </w:r>
      <w:r>
        <w:rPr>
          <w:b/>
        </w:rPr>
        <w:t>Road Infrastructure Tax Credit Scheme (EO 007)</w:t>
      </w:r>
      <w:r>
        <w:rPr>
          <w:b w:val="0"/>
        </w:rPr>
        <w:t xml:space="preserve"> lets companies build roads against future tax.</w:t>
      </w:r>
    </w:p>
    <w:p>
      <w:pPr>
        <w:pStyle w:val="ListBullet"/>
        <w:spacing w:after="40"/>
      </w:pPr>
      <w:r>
        <w:rPr>
          <w:b/>
        </w:rPr>
        <w:t>ESG</w:t>
      </w:r>
      <w:r>
        <w:rPr>
          <w:b w:val="0"/>
        </w:rPr>
        <w:t xml:space="preserve"> standards: IFC Performance Standards, the Equator Principles and the </w:t>
      </w:r>
      <w:r>
        <w:rPr>
          <w:b/>
        </w:rPr>
        <w:t>Nigerian Sustainable Banking Principles (2012)</w:t>
      </w:r>
      <w:r>
        <w:rPr>
          <w:b w:val="0"/>
        </w:rPr>
        <w:t>.</w:t>
      </w:r>
    </w:p>
    <w:p>
      <w:pPr>
        <w:pStyle w:val="Heading2"/>
      </w:pPr>
      <w:r>
        <w:t>6. Three questions to think about before Day 1</w:t>
      </w:r>
    </w:p>
    <w:p>
      <w:pPr>
        <w:pStyle w:val="ListNumber"/>
        <w:spacing w:after="40"/>
      </w:pPr>
      <w:r>
        <w:rPr>
          <w:b w:val="0"/>
        </w:rPr>
        <w:t>What is the longest tenor your institution can lend in naira, and why?</w:t>
      </w:r>
    </w:p>
    <w:p>
      <w:pPr>
        <w:pStyle w:val="ListNumber"/>
        <w:spacing w:after="40"/>
      </w:pPr>
      <w:r>
        <w:rPr>
          <w:b w:val="0"/>
        </w:rPr>
        <w:t>In a Nigerian power project, who should carry naira devaluation risk?</w:t>
      </w:r>
    </w:p>
    <w:p>
      <w:pPr>
        <w:pStyle w:val="ListNumber"/>
        <w:spacing w:after="40"/>
      </w:pPr>
      <w:r>
        <w:rPr>
          <w:b w:val="0"/>
        </w:rPr>
        <w:t>Would you lend to a project where the sponsor put in only 10% equity? What would change your mind?</w:t>
      </w:r>
    </w:p>
    <w:p>
      <w:pPr>
        <w:pStyle w:val="Heading3"/>
      </w:pPr>
      <w:r>
        <w:t>Optional reading (in the course folder)</w:t>
      </w:r>
    </w:p>
    <w:p>
      <w:pPr>
        <w:pStyle w:val="ListBullet"/>
        <w:spacing w:after="40"/>
      </w:pPr>
      <w:r>
        <w:rPr>
          <w:b w:val="0"/>
        </w:rPr>
        <w:t>Yescombe, Principles of Project Finance: Ch. 2 (What is project finance?), Ch. 8–10 (commercial, macroeconomic and political risks).</w:t>
      </w:r>
    </w:p>
    <w:p>
      <w:pPr>
        <w:pStyle w:val="ListBullet"/>
        <w:spacing w:after="40"/>
      </w:pPr>
      <w:r>
        <w:rPr>
          <w:b w:val="0"/>
        </w:rPr>
        <w:t>Bodmer, Corporate and Project Finance Modeling: Ch. 12 (Adding debt to a corporate or project finance model).</w:t>
      </w:r>
    </w:p>
    <w:p>
      <w:pPr>
        <w:pStyle w:val="ListBullet"/>
        <w:spacing w:after="40"/>
      </w:pPr>
      <w:r>
        <w:rPr>
          <w:b w:val="0"/>
        </w:rPr>
        <w:t>Pignataro, Financial Modeling and Valuation: for readers who know corporate models and want the contrast.</w:t>
      </w:r>
    </w:p>
    <w:sectPr w:rsidR="00FC693F" w:rsidRPr="0006063C" w:rsidSect="00034616">
      <w:footerReference w:type="default" r:id="rId9"/>
      <w:head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MIPF Boot Camp, Day 1  |  Infrastructure Finance  |  14 October 2026  |  Prof. Bongo Adi, Lagos Business School</w:t>
    </w:r>
  </w:p>
  <w:p>
    <w:pPr>
      <w:jc w:val="center"/>
    </w:pPr>
    <w:r>
      <w:rPr>
        <w:color w:val="1C7293"/>
        <w:sz w:val="16"/>
      </w:rPr>
      <w:t>Prof Bongo Adi  |  +234 706 164 8699  |  badi@lbs.edu.ng  |  bongo.adi@fulbrightmail.org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042968" cy="360000"/>
          <wp:docPr id="3" name="Picture 3"/>
          <wp:cNvGraphicFramePr>
            <a:graphicFrameLocks noChangeAspect="1"/>
          </wp:cNvGraphicFramePr>
          <a:graphic>
            <a:graphicData uri="http://schemas.openxmlformats.org/drawingml/2006/picture">
              <pic:pic>
                <pic:nvPicPr>
                  <pic:cNvPr id="0" name="lbs-logo.png"/>
                  <pic:cNvPicPr/>
                </pic:nvPicPr>
                <pic:blipFill>
                  <a:blip r:embed="rId3"/>
                  <a:stretch>
                    <a:fillRect/>
                  </a:stretch>
                </pic:blipFill>
                <pic:spPr>
                  <a:xfrm>
                    <a:off x="0" y="0"/>
                    <a:ext cx="1042968" cy="360000"/>
                  </a:xfrm>
                  <a:prstGeom prst="rect"/>
                </pic:spPr>
              </pic:pic>
            </a:graphicData>
          </a:graphic>
        </wp:inline>
      </w:drawing>
    </w:r>
    <w:r>
      <w:drawing>
        <wp:inline xmlns:a="http://schemas.openxmlformats.org/drawingml/2006/main" xmlns:pic="http://schemas.openxmlformats.org/drawingml/2006/picture">
          <wp:extent cx="324000" cy="324000"/>
          <wp:docPr id="1" name="Picture 1"/>
          <wp:cNvGraphicFramePr>
            <a:graphicFrameLocks noChangeAspect="1"/>
          </wp:cNvGraphicFramePr>
          <a:graphic>
            <a:graphicData uri="http://schemas.openxmlformats.org/drawingml/2006/picture">
              <pic:pic>
                <pic:nvPicPr>
                  <pic:cNvPr id="0" name="mipf_hex_256.png"/>
                  <pic:cNvPicPr/>
                </pic:nvPicPr>
                <pic:blipFill>
                  <a:blip r:embed="rId1"/>
                  <a:stretch>
                    <a:fillRect/>
                  </a:stretch>
                </pic:blipFill>
                <pic:spPr>
                  <a:xfrm>
                    <a:off x="0" y="0"/>
                    <a:ext cx="324000" cy="324000"/>
                  </a:xfrm>
                  <a:prstGeom prst="rect"/>
                </pic:spPr>
              </pic:pic>
            </a:graphicData>
          </a:graphic>
        </wp:inline>
      </w:drawing>
    </w:r>
    <w:r>
      <w:t xml:space="preserve">  </w:t>
    </w:r>
    <w:r>
      <w:drawing>
        <wp:inline xmlns:a="http://schemas.openxmlformats.org/drawingml/2006/main" xmlns:pic="http://schemas.openxmlformats.org/drawingml/2006/picture">
          <wp:extent cx="324000" cy="324000"/>
          <wp:docPr id="2" name="Picture 2"/>
          <wp:cNvGraphicFramePr>
            <a:graphicFrameLocks noChangeAspect="1"/>
          </wp:cNvGraphicFramePr>
          <a:graphic>
            <a:graphicData uri="http://schemas.openxmlformats.org/drawingml/2006/picture">
              <pic:pic>
                <pic:nvPicPr>
                  <pic:cNvPr id="0" name="bongo_ai_hex_256.png"/>
                  <pic:cNvPicPr/>
                </pic:nvPicPr>
                <pic:blipFill>
                  <a:blip r:embed="rId2"/>
                  <a:stretch>
                    <a:fillRect/>
                  </a:stretch>
                </pic:blipFill>
                <pic:spPr>
                  <a:xfrm>
                    <a:off x="0" y="0"/>
                    <a:ext cx="324000" cy="324000"/>
                  </a:xfrm>
                  <a:prstGeom prst="rect"/>
                </pic:spPr>
              </pic:pic>
            </a:graphicData>
          </a:graphic>
        </wp:inline>
      </w:drawing>
    </w:r>
    <w:r>
      <w:t xml:space="preserve">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80"/>
      <w:outlineLvl w:val="0"/>
    </w:pPr>
    <w:rPr>
      <w:rFonts w:eastAsiaTheme="majorEastAsia" w:cstheme="majorBidi" w:ascii="Calibri" w:hAnsi="Calibri" w:cs="Calibri"/>
      <w:b/>
      <w:bCs/>
      <w:color w:val="00206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eastAsiaTheme="majorEastAsia" w:cstheme="majorBidi" w:ascii="Calibri" w:hAnsi="Calibri" w:cs="Calibri"/>
      <w:b/>
      <w:bCs/>
      <w:color w:val="0070C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eastAsiaTheme="majorEastAsia" w:cstheme="majorBidi" w:ascii="Calibri" w:hAnsi="Calibri" w:cs="Calibri"/>
      <w:b/>
      <w:bCs/>
      <w:color w:val="00206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