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834640" cy="978429"/>
            <wp:docPr id="1" name="Picture 1"/>
            <wp:cNvGraphicFramePr>
              <a:graphicFrameLocks noChangeAspect="1"/>
            </wp:cNvGraphicFramePr>
            <a:graphic>
              <a:graphicData uri="http://schemas.openxmlformats.org/drawingml/2006/picture">
                <pic:pic>
                  <pic:nvPicPr>
                    <pic:cNvPr id="0" name="lbs-logo.png"/>
                    <pic:cNvPicPr/>
                  </pic:nvPicPr>
                  <pic:blipFill>
                    <a:blip r:embed="rId11"/>
                    <a:stretch>
                      <a:fillRect/>
                    </a:stretch>
                  </pic:blipFill>
                  <pic:spPr>
                    <a:xfrm>
                      <a:off x="0" y="0"/>
                      <a:ext cx="2834640" cy="978429"/>
                    </a:xfrm>
                    <a:prstGeom prst="rect"/>
                  </pic:spPr>
                </pic:pic>
              </a:graphicData>
            </a:graphic>
          </wp:inline>
        </w:drawing>
      </w:r>
    </w:p>
    <w:p>
      <w:pPr>
        <w:spacing w:after="280"/>
      </w:pPr>
    </w:p>
    <w:tbl>
      <w:tblPr>
        <w:tblW w:type="auto" w:w="0"/>
        <w:jc w:val="center"/>
        <w:tblLook w:firstColumn="1" w:firstRow="1" w:lastColumn="0" w:lastRow="0" w:noHBand="0" w:noVBand="1" w:val="04A0"/>
      </w:tblPr>
      <w:tblGrid>
        <w:gridCol w:w="4513"/>
        <w:gridCol w:w="4513"/>
      </w:tblGrid>
      <w:tr>
        <w:tc>
          <w:tcPr>
            <w:tcW w:type="dxa" w:w="4513"/>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mipf_hex.png"/>
                          <pic:cNvPicPr/>
                        </pic:nvPicPr>
                        <pic:blipFill>
                          <a:blip r:embed="rId12"/>
                          <a:stretch>
                            <a:fillRect/>
                          </a:stretch>
                        </pic:blipFill>
                        <pic:spPr>
                          <a:xfrm>
                            <a:off x="0" y="0"/>
                            <a:ext cx="1371600" cy="1371600"/>
                          </a:xfrm>
                          <a:prstGeom prst="rect"/>
                        </pic:spPr>
                      </pic:pic>
                    </a:graphicData>
                  </a:graphic>
                </wp:inline>
              </w:drawing>
            </w:r>
          </w:p>
        </w:tc>
        <w:tc>
          <w:tcPr>
            <w:tcW w:type="dxa" w:w="4513"/>
          </w:tcPr>
          <w:p>
            <w:pPr>
              <w:jc w:val="center"/>
            </w:pPr>
            <w:r>
              <w:drawing>
                <wp:inline xmlns:a="http://schemas.openxmlformats.org/drawingml/2006/main" xmlns:pic="http://schemas.openxmlformats.org/drawingml/2006/picture">
                  <wp:extent cx="1371600" cy="1371600"/>
                  <wp:docPr id="3" name="Picture 3"/>
                  <wp:cNvGraphicFramePr>
                    <a:graphicFrameLocks noChangeAspect="1"/>
                  </wp:cNvGraphicFramePr>
                  <a:graphic>
                    <a:graphicData uri="http://schemas.openxmlformats.org/drawingml/2006/picture">
                      <pic:pic>
                        <pic:nvPicPr>
                          <pic:cNvPr id="0" name="bongo_ai_hex.png"/>
                          <pic:cNvPicPr/>
                        </pic:nvPicPr>
                        <pic:blipFill>
                          <a:blip r:embed="rId13"/>
                          <a:stretch>
                            <a:fillRect/>
                          </a:stretch>
                        </pic:blipFill>
                        <pic:spPr>
                          <a:xfrm>
                            <a:off x="0" y="0"/>
                            <a:ext cx="1371600" cy="1371600"/>
                          </a:xfrm>
                          <a:prstGeom prst="rect"/>
                        </pic:spPr>
                      </pic:pic>
                    </a:graphicData>
                  </a:graphic>
                </wp:inline>
              </w:drawing>
            </w:r>
          </w:p>
        </w:tc>
      </w:tr>
    </w:tbl>
    <w:p>
      <w:pPr>
        <w:spacing w:after="80" w:before="120"/>
        <w:jc w:val="center"/>
      </w:pPr>
      <w:r>
        <w:rPr>
          <w:rFonts w:ascii="Garamond" w:hAnsi="Garamond" w:eastAsia="Garamond"/>
          <w:b/>
          <w:i w:val="0"/>
          <w:color w:val="141B4D"/>
          <w:sz w:val="52"/>
        </w:rPr>
        <w:t>Mastering Infrastructure and Project Finance Boot Camp</w:t>
      </w:r>
    </w:p>
    <w:p>
      <w:pPr>
        <w:spacing w:after="0"/>
        <w:jc w:val="center"/>
      </w:pPr>
      <w:r>
        <w:rPr>
          <w:rFonts w:ascii="Garamond" w:hAnsi="Garamond" w:eastAsia="Garamond"/>
          <w:b w:val="0"/>
          <w:i w:val="0"/>
          <w:color w:val="0B5E82"/>
          <w:sz w:val="28"/>
        </w:rPr>
        <w:t>Lagos Business School, Pan-Atlantic University</w:t>
      </w:r>
    </w:p>
    <w:p>
      <w:pPr>
        <w:spacing w:after="200"/>
        <w:jc w:val="center"/>
      </w:pPr>
      <w:r>
        <w:rPr>
          <w:rFonts w:ascii="Garamond" w:hAnsi="Garamond" w:eastAsia="Garamond"/>
          <w:b w:val="0"/>
          <w:i w:val="0"/>
          <w:color w:val="0B5E82"/>
          <w:sz w:val="26"/>
        </w:rPr>
        <w:t>Ajah, Lagos</w:t>
      </w:r>
    </w:p>
    <w:p>
      <w:pPr>
        <w:spacing w:after="320"/>
        <w:jc w:val="center"/>
      </w:pPr>
      <w:r>
        <w:rPr>
          <w:rFonts w:ascii="Garamond" w:hAnsi="Garamond" w:eastAsia="Garamond"/>
          <w:b/>
          <w:i w:val="0"/>
          <w:color w:val="A8700F"/>
          <w:sz w:val="32"/>
        </w:rPr>
        <w:t>14th – 22nd October 2026</w:t>
      </w:r>
    </w:p>
    <w:tbl>
      <w:tblPr>
        <w:tblW w:type="auto" w:w="0"/>
        <w:jc w:val="center"/>
        <w:tblLook w:firstColumn="1" w:firstRow="1" w:lastColumn="0" w:lastRow="0" w:noHBand="0" w:noVBand="1" w:val="04A0"/>
      </w:tblPr>
      <w:tblGrid>
        <w:gridCol w:w="3009"/>
        <w:gridCol w:w="3009"/>
        <w:gridCol w:w="3009"/>
      </w:tblGrid>
      <w:tr>
        <w:tc>
          <w:tcPr>
            <w:tcW w:type="dxa" w:w="3009"/>
          </w:tcPr>
          <w:p>
            <w:pPr>
              <w:jc w:val="center"/>
            </w:pPr>
            <w:r>
              <w:drawing>
                <wp:inline xmlns:a="http://schemas.openxmlformats.org/drawingml/2006/main" xmlns:pic="http://schemas.openxmlformats.org/drawingml/2006/picture">
                  <wp:extent cx="1691640" cy="1150564"/>
                  <wp:docPr id="4" name="Picture 4"/>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1691640" cy="1150564"/>
                          </a:xfrm>
                          <a:prstGeom prst="rect"/>
                        </pic:spPr>
                      </pic:pic>
                    </a:graphicData>
                  </a:graphic>
                </wp:inline>
              </w:drawing>
            </w:r>
          </w:p>
        </w:tc>
        <w:tc>
          <w:tcPr>
            <w:tcW w:type="dxa" w:w="3009"/>
          </w:tcPr>
          <w:p>
            <w:pPr>
              <w:jc w:val="center"/>
            </w:pPr>
            <w:r>
              <w:drawing>
                <wp:inline xmlns:a="http://schemas.openxmlformats.org/drawingml/2006/main" xmlns:pic="http://schemas.openxmlformats.org/drawingml/2006/picture">
                  <wp:extent cx="1691640" cy="1267097"/>
                  <wp:docPr id="5" name="Picture 5"/>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1691640" cy="1267097"/>
                          </a:xfrm>
                          <a:prstGeom prst="rect"/>
                        </pic:spPr>
                      </pic:pic>
                    </a:graphicData>
                  </a:graphic>
                </wp:inline>
              </w:drawing>
            </w:r>
          </w:p>
        </w:tc>
        <w:tc>
          <w:tcPr>
            <w:tcW w:type="dxa" w:w="3009"/>
          </w:tcPr>
          <w:p>
            <w:pPr>
              <w:jc w:val="center"/>
            </w:pPr>
            <w:r>
              <w:drawing>
                <wp:inline xmlns:a="http://schemas.openxmlformats.org/drawingml/2006/main" xmlns:pic="http://schemas.openxmlformats.org/drawingml/2006/picture">
                  <wp:extent cx="1691640" cy="1372334"/>
                  <wp:docPr id="6" name="Picture 6"/>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1691640" cy="1372334"/>
                          </a:xfrm>
                          <a:prstGeom prst="rect"/>
                        </pic:spPr>
                      </pic:pic>
                    </a:graphicData>
                  </a:graphic>
                </wp:inline>
              </w:drawing>
            </w:r>
          </w:p>
        </w:tc>
      </w:tr>
    </w:tbl>
    <w:p>
      <w:pPr>
        <w:spacing w:after="600"/>
      </w:pPr>
    </w:p>
    <w:p>
      <w:pPr>
        <w:spacing w:after="80"/>
        <w:jc w:val="center"/>
        <w:pBdr>
          <w:bottom w:val="single" w:sz="12" w:space="1" w:color="D99A2B"/>
        </w:pBdr>
      </w:pPr>
      <w:r>
        <w:rPr>
          <w:rFonts w:ascii="Garamond" w:hAnsi="Garamond" w:eastAsia="Garamond"/>
          <w:b/>
          <w:i w:val="0"/>
          <w:color w:val="141B4D"/>
          <w:sz w:val="40"/>
        </w:rPr>
        <w:t>Course information and syllabus</w:t>
      </w:r>
    </w:p>
    <w:p>
      <w:pPr>
        <w:jc w:val="center"/>
      </w:pPr>
      <w:r>
        <w:rPr>
          <w:rFonts w:ascii="Garamond" w:hAnsi="Garamond" w:eastAsia="Garamond"/>
          <w:b w:val="0"/>
          <w:i/>
          <w:color w:val="5C6B7A"/>
          <w:sz w:val="22"/>
        </w:rPr>
        <w:t>Open-enrolment programme  |  Seven teaching days: Wednesday 14th to Friday 16th and Monday 19th to Thursday 22nd October 2026 (Saturday 17th and Sunday 18th are rest days)</w:t>
      </w:r>
    </w:p>
    <w:p>
      <w:r>
        <w:br w:type="page"/>
      </w:r>
    </w:p>
    <w:p>
      <w:pPr>
        <w:keepNext/>
        <w:spacing w:after="120" w:before="280"/>
        <w:pBdr>
          <w:bottom w:val="single" w:sz="12" w:space="1" w:color="D99A2B"/>
        </w:pBdr>
      </w:pPr>
      <w:r>
        <w:rPr>
          <w:rFonts w:ascii="Garamond" w:hAnsi="Garamond" w:eastAsia="Garamond"/>
          <w:b/>
          <w:i w:val="0"/>
          <w:color w:val="141B4D"/>
          <w:sz w:val="30"/>
        </w:rPr>
        <w:t>Introduction</w:t>
      </w:r>
    </w:p>
    <w:p>
      <w:pPr>
        <w:jc w:val="both"/>
      </w:pPr>
      <w:r>
        <w:rPr>
          <w:rFonts w:ascii="Garamond" w:hAnsi="Garamond" w:eastAsia="Garamond"/>
          <w:b w:val="0"/>
          <w:i w:val="0"/>
        </w:rPr>
        <w:t>Greetings, and welcome to Lagos Business School’s Boot Camp on Mastering Infrastructure and Project Finance! We are delighted that you are joining us for what will be an engaging and rewarding training experience.</w:t>
      </w:r>
    </w:p>
    <w:p>
      <w:pPr>
        <w:jc w:val="both"/>
      </w:pPr>
      <w:r>
        <w:rPr>
          <w:rFonts w:ascii="Garamond" w:hAnsi="Garamond" w:eastAsia="Garamond"/>
          <w:b w:val="0"/>
          <w:i w:val="0"/>
        </w:rPr>
        <w:t>This document provides an overview of the boot camp, key objectives, module contents and information on the faculty team that will be leading you for the next 7 days to ensure that your participation in the boot camp is a fruitful and rewarding one.</w:t>
      </w:r>
    </w:p>
    <w:p>
      <w:pPr>
        <w:keepNext/>
        <w:spacing w:after="120" w:before="280"/>
        <w:pBdr>
          <w:bottom w:val="single" w:sz="12" w:space="1" w:color="D99A2B"/>
        </w:pBdr>
      </w:pPr>
      <w:r>
        <w:rPr>
          <w:rFonts w:ascii="Garamond" w:hAnsi="Garamond" w:eastAsia="Garamond"/>
          <w:b/>
          <w:i w:val="0"/>
          <w:color w:val="141B4D"/>
          <w:sz w:val="30"/>
        </w:rPr>
        <w:t>Objective</w:t>
      </w:r>
    </w:p>
    <w:p>
      <w:pPr>
        <w:jc w:val="both"/>
      </w:pPr>
      <w:r>
        <w:rPr>
          <w:rFonts w:ascii="Garamond" w:hAnsi="Garamond" w:eastAsia="Garamond"/>
          <w:b w:val="0"/>
          <w:i w:val="0"/>
        </w:rPr>
        <w:t>The objective of this course is to equip participants with the skills required to fully understand the practical techniques, skills, and processes required in planning, analysing, structuring, negotiating, and ultimately completing successful project-backed financings. By presenting effective financial model design techniques, analysing case studies of project financing models, and participating in developing a model from scratch, participants in this program will learn how to design and structure project financing models, how to review and critique project financing models, as well as how to strengthen the structure and how to negotiate infrastructure project financings.</w:t>
      </w:r>
    </w:p>
    <w:p>
      <w:pPr>
        <w:keepNext/>
        <w:spacing w:after="120" w:before="280"/>
        <w:pBdr>
          <w:bottom w:val="single" w:sz="12" w:space="1" w:color="D99A2B"/>
        </w:pBdr>
      </w:pPr>
      <w:r>
        <w:rPr>
          <w:rFonts w:ascii="Garamond" w:hAnsi="Garamond" w:eastAsia="Garamond"/>
          <w:b/>
          <w:i w:val="0"/>
          <w:color w:val="141B4D"/>
          <w:sz w:val="30"/>
        </w:rPr>
        <w:t>Overview</w:t>
      </w:r>
    </w:p>
    <w:p>
      <w:pPr>
        <w:jc w:val="both"/>
      </w:pPr>
      <w:r>
        <w:rPr>
          <w:rFonts w:ascii="Garamond" w:hAnsi="Garamond" w:eastAsia="Garamond"/>
          <w:b w:val="0"/>
          <w:i w:val="0"/>
        </w:rPr>
        <w:t>Project Finance is a highly technical and complex field that has evolved with PPPs, especially as a limited-recourse facility.  Project companies provide a particularly powerful laboratory in which to study the determinants and implications of various structural attributes because they are, as newly created companies, less influenced by the vagaries of history (Esty, 2002).  Moreover, the size of the investments (75% of projects cost more than $100 million) and the time it takes to structure them (one to five years) ensures that managers have the opportunity and the economic incentive to make careful, value-enhancing structural decisions.  As a rapidly developing field of practice in connection with the rolling out of PPPs in Nigeria, a grave need has been established to update the skills of investment professionals and financial analysts involved in infrastructure projects across the country.</w:t>
      </w:r>
    </w:p>
    <w:p>
      <w:pPr>
        <w:jc w:val="both"/>
      </w:pPr>
      <w:r>
        <w:rPr>
          <w:rFonts w:ascii="Garamond" w:hAnsi="Garamond" w:eastAsia="Garamond"/>
          <w:b w:val="0"/>
          <w:i w:val="0"/>
        </w:rPr>
        <w:t>Delivered by internationally certified and recognised experts in LBS and the PPP domain of practice, this boot camp is designed to assist participants in fully understanding the practical techniques, skills, and spreadsheet models needed to analyse, structure, negotiate, and ultimately complete successful project-backed financings. By presenting effective financial model design techniques and analysing case studies of project financing models, participants in this program will learn how to design and structure project financing models, review and critique project financing models, as well as how to negotiate and structure infrastructure project financing.</w:t>
      </w:r>
    </w:p>
    <w:p>
      <w:pPr>
        <w:jc w:val="both"/>
      </w:pPr>
      <w:r>
        <w:rPr>
          <w:rFonts w:ascii="Garamond" w:hAnsi="Garamond" w:eastAsia="Garamond"/>
          <w:b w:val="0"/>
          <w:i w:val="0"/>
        </w:rPr>
        <w:t>This boot camp is delivered in 4 modules over seven teaching days (Wednesday 14th to Friday 16th and Monday 19th to Thursday 22nd October 2026, with Saturday 17th and Sunday 18th October as rest days). Below is an overview of the areas covered in the 4 modules.</w:t>
      </w:r>
    </w:p>
    <w:p>
      <w:pPr>
        <w:keepNext/>
      </w:pPr>
      <w:r>
        <w:rPr>
          <w:rFonts w:ascii="Garamond" w:hAnsi="Garamond" w:eastAsia="Garamond"/>
          <w:b/>
          <w:i w:val="0"/>
          <w:color w:val="141B4D"/>
        </w:rPr>
        <w:t>Modules:</w:t>
      </w:r>
    </w:p>
    <w:p>
      <w:pPr>
        <w:jc w:val="both"/>
      </w:pPr>
      <w:r>
        <w:rPr>
          <w:rFonts w:ascii="Garamond" w:hAnsi="Garamond" w:eastAsia="Garamond"/>
          <w:b w:val="0"/>
          <w:i w:val="0"/>
        </w:rPr>
        <w:t>This Project Finance Bootcamp is designed to provide participants with a comprehensive understanding of project finance modelling in an infrastructure project context.  It encompasses the key principles, practices, and strategies in procurement, contracting, deal structuring, financing, debt sculpting, legal framework, risk management, and demonstration of skills learned in modelling practice.  Most of these are driven by real-life case studies and a single running Excel model.</w:t>
      </w:r>
    </w:p>
    <w:p>
      <w:pPr>
        <w:jc w:val="both"/>
      </w:pPr>
      <w:r>
        <w:rPr>
          <w:rFonts w:ascii="Garamond" w:hAnsi="Garamond" w:eastAsia="Garamond"/>
          <w:b w:val="0"/>
          <w:i w:val="0"/>
        </w:rPr>
        <w:t>All of these aspects are covered under four essential components of infrastructure project finance: The infrastructure challenge and the raison d’être of Project Finance, legal fundamentals of Project Finance, Finance Fundamentals of Project Finance, and Project Finance Modelling.</w:t>
      </w:r>
    </w:p>
    <w:p>
      <w:pPr>
        <w:keepNext/>
        <w:spacing w:after="40" w:before="120"/>
      </w:pPr>
      <w:r>
        <w:rPr>
          <w:rFonts w:ascii="Garamond" w:hAnsi="Garamond" w:eastAsia="Garamond"/>
          <w:b/>
          <w:i w:val="0"/>
          <w:color w:val="0B5E82"/>
        </w:rPr>
        <w:t>The Infrastructure Challenge and Raison d’être of Project Finance (Day 1):</w:t>
      </w:r>
    </w:p>
    <w:p>
      <w:pPr>
        <w:jc w:val="both"/>
      </w:pPr>
      <w:r>
        <w:rPr>
          <w:rFonts w:ascii="Garamond" w:hAnsi="Garamond" w:eastAsia="Garamond"/>
          <w:b w:val="0"/>
          <w:i w:val="0"/>
        </w:rPr>
        <w:t>Project finance, as a limited recourse lending, was first used to fund maritime voyages in ancient Greece and Rome.  In modern times, it was employed in the development of the Panama Canal and was widely used in the US oil and gas industry in the early 20th century. However, the structured approach to project finance, as it is known today, is particularly devoted to high-risk infrastructure projects.  This first-day module sets the stage for the program by introducing participants to the relevant context of project finance and illustrating its structure, risks and negotiation using one running case (a 50 MW solar plant) and Nigerian transactions such as the Azura-Edo IPP and the Lekki concessions.</w:t>
      </w:r>
    </w:p>
    <w:p>
      <w:pPr>
        <w:keepNext/>
        <w:spacing w:after="40" w:before="120"/>
      </w:pPr>
      <w:r>
        <w:rPr>
          <w:rFonts w:ascii="Garamond" w:hAnsi="Garamond" w:eastAsia="Garamond"/>
          <w:b/>
          <w:i w:val="0"/>
          <w:color w:val="0B5E82"/>
        </w:rPr>
        <w:t>Legal Fundamentals of Project Finance (Day 2):</w:t>
      </w:r>
    </w:p>
    <w:p>
      <w:pPr>
        <w:jc w:val="both"/>
      </w:pPr>
      <w:r>
        <w:rPr>
          <w:rFonts w:ascii="Garamond" w:hAnsi="Garamond" w:eastAsia="Garamond"/>
          <w:b w:val="0"/>
          <w:i w:val="0"/>
        </w:rPr>
        <w:t>In the Legal Fundamentals Module, participants will gain an understanding of the legal aspects of project finance, including contract negotiation, regulatory compliance, and dispute resolution. They will also learn about the role of the various legal and regulatory bodies in project finance and how to navigate the legal complexities involved.</w:t>
      </w:r>
    </w:p>
    <w:p>
      <w:pPr>
        <w:keepNext/>
        <w:spacing w:after="40" w:before="120"/>
      </w:pPr>
      <w:r>
        <w:rPr>
          <w:rFonts w:ascii="Garamond" w:hAnsi="Garamond" w:eastAsia="Garamond"/>
          <w:b/>
          <w:i w:val="0"/>
          <w:color w:val="0B5E82"/>
        </w:rPr>
        <w:t>Finance Fundamentals of Project Finance (Day 3):</w:t>
      </w:r>
    </w:p>
    <w:p>
      <w:pPr>
        <w:jc w:val="both"/>
      </w:pPr>
      <w:r>
        <w:rPr>
          <w:rFonts w:ascii="Garamond" w:hAnsi="Garamond" w:eastAsia="Garamond"/>
          <w:b w:val="0"/>
          <w:i w:val="0"/>
        </w:rPr>
        <w:t>In the finance fundamentals component, participants will gain an understanding of the financial and economic aspects of project finance, including project finance structuring, risk appraisal, allocation and management. They will also learn how to analyse project economics and evaluate project feasibility.</w:t>
      </w:r>
    </w:p>
    <w:p>
      <w:pPr>
        <w:keepNext/>
        <w:spacing w:after="40" w:before="120"/>
      </w:pPr>
      <w:r>
        <w:rPr>
          <w:rFonts w:ascii="Garamond" w:hAnsi="Garamond" w:eastAsia="Garamond"/>
          <w:b/>
          <w:i w:val="0"/>
          <w:color w:val="0B5E82"/>
        </w:rPr>
        <w:t>Project Finance Modelling (Days 4–7):</w:t>
      </w:r>
    </w:p>
    <w:p>
      <w:pPr>
        <w:jc w:val="both"/>
      </w:pPr>
      <w:r>
        <w:rPr>
          <w:rFonts w:ascii="Garamond" w:hAnsi="Garamond" w:eastAsia="Garamond"/>
          <w:b w:val="0"/>
          <w:i w:val="0"/>
        </w:rPr>
        <w:t>Participants will learn how to develop financial models for projects and analyse project risk, including the assessment of cash flows, discount rates, and sensitivities using Excel.  Working from the TrainStat start model, they will first complete a three-statement operating model (Days 4–5) and then extend it into a full project finance model with construction, funding, cover ratios, debt sculpting and sizing, reserve accounts and shareholder returns (Days 6–7).</w:t>
      </w:r>
    </w:p>
    <w:p>
      <w:pPr>
        <w:jc w:val="both"/>
      </w:pPr>
      <w:r>
        <w:rPr>
          <w:rFonts w:ascii="Garamond" w:hAnsi="Garamond" w:eastAsia="Garamond"/>
          <w:b w:val="0"/>
          <w:i w:val="0"/>
        </w:rPr>
        <w:t>Each of the modules leverages exciting and, at the same time, technically rigorous case studies to drive learning.</w:t>
      </w:r>
    </w:p>
    <w:p>
      <w:pPr>
        <w:keepNext/>
        <w:spacing w:after="40" w:before="120"/>
      </w:pPr>
      <w:r>
        <w:rPr>
          <w:rFonts w:ascii="Garamond" w:hAnsi="Garamond" w:eastAsia="Garamond"/>
          <w:b/>
          <w:i w:val="0"/>
          <w:color w:val="0B5E82"/>
        </w:rPr>
        <w:t>Capstone Project:</w:t>
      </w:r>
    </w:p>
    <w:p>
      <w:pPr>
        <w:jc w:val="both"/>
      </w:pPr>
      <w:r>
        <w:rPr>
          <w:rFonts w:ascii="Garamond" w:hAnsi="Garamond" w:eastAsia="Garamond"/>
          <w:b w:val="0"/>
          <w:i w:val="0"/>
        </w:rPr>
        <w:t>Following the boot camp, participants are expected to develop their first project finance model case by extending the TrainStat model they have built, applying their own assumptions and structure. This capstone project will integrate all the various dimensions of the learning covered in the boot camp to demonstrate mastery of the subject.  The submission of the capstone project is expected to be within 2 weeks after the boot camp.  The reason for this is also to inculcate the important role of mentoring, which is one of the major objectives of the boot camp.  Participants become team members of our evolving project finance expert forum in Nigeria and Africa.</w:t>
      </w:r>
    </w:p>
    <w:p>
      <w:pPr>
        <w:jc w:val="both"/>
      </w:pPr>
      <w:r>
        <w:rPr>
          <w:rFonts w:ascii="Garamond" w:hAnsi="Garamond" w:eastAsia="Garamond"/>
          <w:b w:val="0"/>
          <w:i w:val="0"/>
        </w:rPr>
        <w:t>Overall, participants can expect to leave the Infrastructure Project Finance Bootcamp with a comprehensive understanding of project finance, including the skills, knowledge, and practical experience to navigate and succeed in this exciting field.</w:t>
      </w:r>
    </w:p>
    <w:p>
      <w:pPr>
        <w:spacing w:after="0" w:before="200"/>
      </w:pPr>
      <w:r>
        <w:rPr>
          <w:rFonts w:ascii="Garamond" w:hAnsi="Garamond" w:eastAsia="Garamond"/>
          <w:b/>
          <w:i w:val="0"/>
        </w:rPr>
        <w:t>Prof Bongo Adi</w:t>
      </w:r>
    </w:p>
    <w:p>
      <w:r>
        <w:rPr>
          <w:rFonts w:ascii="Garamond" w:hAnsi="Garamond" w:eastAsia="Garamond"/>
          <w:b w:val="0"/>
          <w:i/>
        </w:rPr>
        <w:t>Course Director</w:t>
      </w:r>
    </w:p>
    <w:p>
      <w:pPr>
        <w:keepNext/>
        <w:spacing w:after="120" w:before="280"/>
        <w:pBdr>
          <w:bottom w:val="single" w:sz="12" w:space="1" w:color="D99A2B"/>
        </w:pBdr>
      </w:pPr>
      <w:r>
        <w:rPr>
          <w:rFonts w:ascii="Garamond" w:hAnsi="Garamond" w:eastAsia="Garamond"/>
          <w:b/>
          <w:i w:val="0"/>
          <w:color w:val="141B4D"/>
          <w:sz w:val="30"/>
        </w:rPr>
        <w:t>Contact</w:t>
      </w:r>
    </w:p>
    <w:p>
      <w:pPr>
        <w:spacing w:after="40"/>
      </w:pPr>
      <w:r>
        <w:rPr>
          <w:rFonts w:ascii="Garamond" w:hAnsi="Garamond" w:eastAsia="Garamond"/>
          <w:b w:val="0"/>
          <w:i w:val="0"/>
        </w:rPr>
        <w:t>Prof Bongo Adi, Course Director, Lagos Business School, Pan-Atlantic University</w:t>
      </w:r>
    </w:p>
    <w:p>
      <w:pPr>
        <w:spacing w:after="40"/>
      </w:pPr>
      <w:r>
        <w:rPr>
          <w:rFonts w:ascii="Garamond" w:hAnsi="Garamond" w:eastAsia="Garamond"/>
          <w:b w:val="0"/>
          <w:i w:val="0"/>
        </w:rPr>
        <w:t>Phone / WhatsApp: +234 706 164 8699</w:t>
      </w:r>
    </w:p>
    <w:p>
      <w:pPr>
        <w:spacing w:after="40"/>
      </w:pPr>
      <w:r>
        <w:rPr>
          <w:rFonts w:ascii="Garamond" w:hAnsi="Garamond" w:eastAsia="Garamond"/>
          <w:b w:val="0"/>
          <w:i w:val="0"/>
        </w:rPr>
        <w:t>Email: badi@lbs.edu.ng</w:t>
      </w:r>
    </w:p>
    <w:p>
      <w:pPr>
        <w:spacing w:after="40"/>
      </w:pPr>
      <w:r>
        <w:rPr>
          <w:rFonts w:ascii="Garamond" w:hAnsi="Garamond" w:eastAsia="Garamond"/>
          <w:b w:val="0"/>
          <w:i w:val="0"/>
        </w:rPr>
        <w:t>Fulbright email: bongo.adi@fulbrightmail.org</w:t>
      </w:r>
    </w:p>
    <w:p>
      <w:pPr>
        <w:keepNext/>
        <w:spacing w:after="120" w:before="280"/>
        <w:pBdr>
          <w:bottom w:val="single" w:sz="12" w:space="1" w:color="D99A2B"/>
        </w:pBdr>
      </w:pPr>
      <w:r>
        <w:rPr>
          <w:rFonts w:ascii="Garamond" w:hAnsi="Garamond" w:eastAsia="Garamond"/>
          <w:b/>
          <w:i w:val="0"/>
          <w:color w:val="141B4D"/>
          <w:sz w:val="30"/>
        </w:rPr>
        <w:t>Participant Profile</w:t>
      </w:r>
    </w:p>
    <w:p>
      <w:pPr>
        <w:jc w:val="both"/>
      </w:pPr>
      <w:r>
        <w:rPr>
          <w:rFonts w:ascii="Garamond" w:hAnsi="Garamond" w:eastAsia="Garamond"/>
          <w:b w:val="0"/>
          <w:i w:val="0"/>
        </w:rPr>
        <w:t>This boot camp is designed specifically for financial analysts, investment bankers, consultants, and transaction advisers, as well as chairpersons, directors, commissioners and managers of parastatals currently involved or intending to engage in PPPs through project financing; chairpersons, directors and managers of private companies who are intending or are presently engaged in PPPs. It is an open-enrolment programme.</w:t>
      </w:r>
    </w:p>
    <w:p>
      <w:pPr>
        <w:keepNext/>
        <w:spacing w:after="120" w:before="280"/>
        <w:pBdr>
          <w:bottom w:val="single" w:sz="12" w:space="1" w:color="D99A2B"/>
        </w:pBdr>
      </w:pPr>
      <w:r>
        <w:rPr>
          <w:rFonts w:ascii="Garamond" w:hAnsi="Garamond" w:eastAsia="Garamond"/>
          <w:b/>
          <w:i w:val="0"/>
          <w:color w:val="141B4D"/>
          <w:sz w:val="30"/>
        </w:rPr>
        <w:t>The week at a glance</w:t>
      </w:r>
    </w:p>
    <w:tbl>
      <w:tblPr>
        <w:tblStyle w:val="TableGrid"/>
        <w:tblW w:type="auto" w:w="0"/>
        <w:tblLook w:firstColumn="1" w:firstRow="1" w:lastColumn="0" w:lastRow="0" w:noHBand="0" w:noVBand="1" w:val="04A0"/>
      </w:tblPr>
      <w:tblGrid>
        <w:gridCol w:w="2256"/>
        <w:gridCol w:w="2256"/>
        <w:gridCol w:w="2256"/>
        <w:gridCol w:w="2256"/>
      </w:tblGrid>
      <w:tr>
        <w:tc>
          <w:tcPr>
            <w:tcW w:type="dxa" w:w="720"/>
            <w:shd w:val="clear" w:fill="141B4D"/>
          </w:tcPr>
          <w:p>
            <w:r/>
            <w:r>
              <w:rPr>
                <w:rFonts w:ascii="Garamond" w:hAnsi="Garamond" w:eastAsia="Garamond"/>
                <w:b/>
                <w:i w:val="0"/>
                <w:color w:val="FFFFFF"/>
                <w:sz w:val="20"/>
              </w:rPr>
              <w:t>Day</w:t>
            </w:r>
          </w:p>
        </w:tc>
        <w:tc>
          <w:tcPr>
            <w:tcW w:type="dxa" w:w="2736"/>
            <w:shd w:val="clear" w:fill="141B4D"/>
          </w:tcPr>
          <w:p>
            <w:r/>
            <w:r>
              <w:rPr>
                <w:rFonts w:ascii="Garamond" w:hAnsi="Garamond" w:eastAsia="Garamond"/>
                <w:b/>
                <w:i w:val="0"/>
                <w:color w:val="FFFFFF"/>
                <w:sz w:val="20"/>
              </w:rPr>
              <w:t>Date</w:t>
            </w:r>
          </w:p>
        </w:tc>
        <w:tc>
          <w:tcPr>
            <w:tcW w:type="dxa" w:w="4320"/>
            <w:shd w:val="clear" w:fill="141B4D"/>
          </w:tcPr>
          <w:p>
            <w:r/>
            <w:r>
              <w:rPr>
                <w:rFonts w:ascii="Garamond" w:hAnsi="Garamond" w:eastAsia="Garamond"/>
                <w:b/>
                <w:i w:val="0"/>
                <w:color w:val="FFFFFF"/>
                <w:sz w:val="20"/>
              </w:rPr>
              <w:t>Module / focus</w:t>
            </w:r>
          </w:p>
        </w:tc>
        <w:tc>
          <w:tcPr>
            <w:tcW w:type="dxa" w:w="2304"/>
            <w:shd w:val="clear" w:fill="141B4D"/>
          </w:tcPr>
          <w:p>
            <w:r/>
            <w:r>
              <w:rPr>
                <w:rFonts w:ascii="Garamond" w:hAnsi="Garamond" w:eastAsia="Garamond"/>
                <w:b/>
                <w:i w:val="0"/>
                <w:color w:val="FFFFFF"/>
                <w:sz w:val="20"/>
              </w:rPr>
              <w:t>Facilitator</w:t>
            </w:r>
          </w:p>
        </w:tc>
      </w:tr>
      <w:tr>
        <w:tc>
          <w:tcPr>
            <w:tcW w:type="dxa" w:w="720"/>
          </w:tcPr>
          <w:p>
            <w:r/>
            <w:r>
              <w:rPr>
                <w:rFonts w:ascii="Garamond" w:hAnsi="Garamond" w:eastAsia="Garamond"/>
                <w:b w:val="0"/>
                <w:i w:val="0"/>
                <w:sz w:val="20"/>
              </w:rPr>
              <w:t>1</w:t>
            </w:r>
          </w:p>
        </w:tc>
        <w:tc>
          <w:tcPr>
            <w:tcW w:type="dxa" w:w="2736"/>
          </w:tcPr>
          <w:p>
            <w:r/>
            <w:r>
              <w:rPr>
                <w:rFonts w:ascii="Garamond" w:hAnsi="Garamond" w:eastAsia="Garamond"/>
                <w:b w:val="0"/>
                <w:i w:val="0"/>
                <w:sz w:val="20"/>
              </w:rPr>
              <w:t>Wednesday 14th October 2026</w:t>
            </w:r>
          </w:p>
        </w:tc>
        <w:tc>
          <w:tcPr>
            <w:tcW w:type="dxa" w:w="4320"/>
          </w:tcPr>
          <w:p>
            <w:r/>
            <w:r>
              <w:rPr>
                <w:rFonts w:ascii="Garamond" w:hAnsi="Garamond" w:eastAsia="Garamond"/>
                <w:b w:val="0"/>
                <w:i w:val="0"/>
                <w:sz w:val="20"/>
              </w:rPr>
              <w:t>The Infrastructure Challenge and Raison d'être of Project Finance</w:t>
            </w:r>
          </w:p>
        </w:tc>
        <w:tc>
          <w:tcPr>
            <w:tcW w:type="dxa" w:w="2304"/>
          </w:tcPr>
          <w:p>
            <w:r/>
            <w:r>
              <w:rPr>
                <w:rFonts w:ascii="Garamond" w:hAnsi="Garamond" w:eastAsia="Garamond"/>
                <w:b w:val="0"/>
                <w:i w:val="0"/>
                <w:sz w:val="20"/>
              </w:rPr>
              <w:t>Prof Bongo Adi</w:t>
            </w:r>
          </w:p>
        </w:tc>
      </w:tr>
      <w:tr>
        <w:tc>
          <w:tcPr>
            <w:tcW w:type="dxa" w:w="720"/>
          </w:tcPr>
          <w:p>
            <w:r/>
            <w:r>
              <w:rPr>
                <w:rFonts w:ascii="Garamond" w:hAnsi="Garamond" w:eastAsia="Garamond"/>
                <w:b w:val="0"/>
                <w:i w:val="0"/>
                <w:sz w:val="20"/>
              </w:rPr>
              <w:t>2</w:t>
            </w:r>
          </w:p>
        </w:tc>
        <w:tc>
          <w:tcPr>
            <w:tcW w:type="dxa" w:w="2736"/>
          </w:tcPr>
          <w:p>
            <w:r/>
            <w:r>
              <w:rPr>
                <w:rFonts w:ascii="Garamond" w:hAnsi="Garamond" w:eastAsia="Garamond"/>
                <w:b w:val="0"/>
                <w:i w:val="0"/>
                <w:sz w:val="20"/>
              </w:rPr>
              <w:t>Thursday 15th October 2026</w:t>
            </w:r>
          </w:p>
        </w:tc>
        <w:tc>
          <w:tcPr>
            <w:tcW w:type="dxa" w:w="4320"/>
          </w:tcPr>
          <w:p>
            <w:r/>
            <w:r>
              <w:rPr>
                <w:rFonts w:ascii="Garamond" w:hAnsi="Garamond" w:eastAsia="Garamond"/>
                <w:b w:val="0"/>
                <w:i w:val="0"/>
                <w:sz w:val="20"/>
              </w:rPr>
              <w:t>Legal Fundamentals of Project and Infrastructure Finance</w:t>
            </w:r>
          </w:p>
        </w:tc>
        <w:tc>
          <w:tcPr>
            <w:tcW w:type="dxa" w:w="2304"/>
          </w:tcPr>
          <w:p>
            <w:r/>
            <w:r>
              <w:rPr>
                <w:rFonts w:ascii="Garamond" w:hAnsi="Garamond" w:eastAsia="Garamond"/>
                <w:b w:val="0"/>
                <w:i w:val="0"/>
                <w:sz w:val="20"/>
              </w:rPr>
              <w:t>Michelle Chikezie, LLB, LLM</w:t>
            </w:r>
          </w:p>
        </w:tc>
      </w:tr>
      <w:tr>
        <w:tc>
          <w:tcPr>
            <w:tcW w:type="dxa" w:w="720"/>
          </w:tcPr>
          <w:p>
            <w:r/>
            <w:r>
              <w:rPr>
                <w:rFonts w:ascii="Garamond" w:hAnsi="Garamond" w:eastAsia="Garamond"/>
                <w:b w:val="0"/>
                <w:i w:val="0"/>
                <w:sz w:val="20"/>
              </w:rPr>
              <w:t>3</w:t>
            </w:r>
          </w:p>
        </w:tc>
        <w:tc>
          <w:tcPr>
            <w:tcW w:type="dxa" w:w="2736"/>
          </w:tcPr>
          <w:p>
            <w:r/>
            <w:r>
              <w:rPr>
                <w:rFonts w:ascii="Garamond" w:hAnsi="Garamond" w:eastAsia="Garamond"/>
                <w:b w:val="0"/>
                <w:i w:val="0"/>
                <w:sz w:val="20"/>
              </w:rPr>
              <w:t>Friday 16th October 2026</w:t>
            </w:r>
          </w:p>
        </w:tc>
        <w:tc>
          <w:tcPr>
            <w:tcW w:type="dxa" w:w="4320"/>
          </w:tcPr>
          <w:p>
            <w:r/>
            <w:r>
              <w:rPr>
                <w:rFonts w:ascii="Garamond" w:hAnsi="Garamond" w:eastAsia="Garamond"/>
                <w:b w:val="0"/>
                <w:i w:val="0"/>
                <w:sz w:val="20"/>
              </w:rPr>
              <w:t>Finance Fundamentals of Project and Infrastructure Finance</w:t>
            </w:r>
          </w:p>
        </w:tc>
        <w:tc>
          <w:tcPr>
            <w:tcW w:type="dxa" w:w="2304"/>
          </w:tcPr>
          <w:p>
            <w:r/>
            <w:r>
              <w:rPr>
                <w:rFonts w:ascii="Garamond" w:hAnsi="Garamond" w:eastAsia="Garamond"/>
                <w:b w:val="0"/>
                <w:i w:val="0"/>
                <w:sz w:val="20"/>
              </w:rPr>
              <w:t>Promise Godbold</w:t>
            </w:r>
          </w:p>
        </w:tc>
      </w:tr>
      <w:tr>
        <w:tc>
          <w:tcPr>
            <w:tcW w:type="dxa" w:w="720"/>
          </w:tcPr>
          <w:p>
            <w:r/>
            <w:r>
              <w:rPr>
                <w:rFonts w:ascii="Garamond" w:hAnsi="Garamond" w:eastAsia="Garamond"/>
                <w:b w:val="0"/>
                <w:i w:val="0"/>
                <w:sz w:val="20"/>
              </w:rPr>
              <w:t>4</w:t>
            </w:r>
          </w:p>
        </w:tc>
        <w:tc>
          <w:tcPr>
            <w:tcW w:type="dxa" w:w="2736"/>
          </w:tcPr>
          <w:p>
            <w:r/>
            <w:r>
              <w:rPr>
                <w:rFonts w:ascii="Garamond" w:hAnsi="Garamond" w:eastAsia="Garamond"/>
                <w:b w:val="0"/>
                <w:i w:val="0"/>
                <w:sz w:val="20"/>
              </w:rPr>
              <w:t>Monday 19th October 2026</w:t>
            </w:r>
          </w:p>
        </w:tc>
        <w:tc>
          <w:tcPr>
            <w:tcW w:type="dxa" w:w="4320"/>
          </w:tcPr>
          <w:p>
            <w:r/>
            <w:r>
              <w:rPr>
                <w:rFonts w:ascii="Garamond" w:hAnsi="Garamond" w:eastAsia="Garamond"/>
                <w:b w:val="0"/>
                <w:i w:val="0"/>
                <w:sz w:val="20"/>
              </w:rPr>
              <w:t>Financial Modelling for Projects I: The Operating Model</w:t>
            </w:r>
          </w:p>
        </w:tc>
        <w:tc>
          <w:tcPr>
            <w:tcW w:type="dxa" w:w="2304"/>
          </w:tcPr>
          <w:p>
            <w:r/>
            <w:r>
              <w:rPr>
                <w:rFonts w:ascii="Garamond" w:hAnsi="Garamond" w:eastAsia="Garamond"/>
                <w:b w:val="0"/>
                <w:i w:val="0"/>
                <w:sz w:val="20"/>
              </w:rPr>
              <w:t>Promise Godbold</w:t>
            </w:r>
          </w:p>
        </w:tc>
      </w:tr>
      <w:tr>
        <w:tc>
          <w:tcPr>
            <w:tcW w:type="dxa" w:w="720"/>
          </w:tcPr>
          <w:p>
            <w:r/>
            <w:r>
              <w:rPr>
                <w:rFonts w:ascii="Garamond" w:hAnsi="Garamond" w:eastAsia="Garamond"/>
                <w:b w:val="0"/>
                <w:i w:val="0"/>
                <w:sz w:val="20"/>
              </w:rPr>
              <w:t>5</w:t>
            </w:r>
          </w:p>
        </w:tc>
        <w:tc>
          <w:tcPr>
            <w:tcW w:type="dxa" w:w="2736"/>
          </w:tcPr>
          <w:p>
            <w:r/>
            <w:r>
              <w:rPr>
                <w:rFonts w:ascii="Garamond" w:hAnsi="Garamond" w:eastAsia="Garamond"/>
                <w:b w:val="0"/>
                <w:i w:val="0"/>
                <w:sz w:val="20"/>
              </w:rPr>
              <w:t>Tuesday 20th October 2026</w:t>
            </w:r>
          </w:p>
        </w:tc>
        <w:tc>
          <w:tcPr>
            <w:tcW w:type="dxa" w:w="4320"/>
          </w:tcPr>
          <w:p>
            <w:r/>
            <w:r>
              <w:rPr>
                <w:rFonts w:ascii="Garamond" w:hAnsi="Garamond" w:eastAsia="Garamond"/>
                <w:b w:val="0"/>
                <w:i w:val="0"/>
                <w:sz w:val="20"/>
              </w:rPr>
              <w:t>Financial Modelling for Projects II: Balance Sheet, Funding and Valuation</w:t>
            </w:r>
          </w:p>
        </w:tc>
        <w:tc>
          <w:tcPr>
            <w:tcW w:type="dxa" w:w="2304"/>
          </w:tcPr>
          <w:p>
            <w:r/>
            <w:r>
              <w:rPr>
                <w:rFonts w:ascii="Garamond" w:hAnsi="Garamond" w:eastAsia="Garamond"/>
                <w:b w:val="0"/>
                <w:i w:val="0"/>
                <w:sz w:val="20"/>
              </w:rPr>
              <w:t>Promise Godbold</w:t>
            </w:r>
          </w:p>
        </w:tc>
      </w:tr>
      <w:tr>
        <w:tc>
          <w:tcPr>
            <w:tcW w:type="dxa" w:w="720"/>
          </w:tcPr>
          <w:p>
            <w:r/>
            <w:r>
              <w:rPr>
                <w:rFonts w:ascii="Garamond" w:hAnsi="Garamond" w:eastAsia="Garamond"/>
                <w:b w:val="0"/>
                <w:i w:val="0"/>
                <w:sz w:val="20"/>
              </w:rPr>
              <w:t>6</w:t>
            </w:r>
          </w:p>
        </w:tc>
        <w:tc>
          <w:tcPr>
            <w:tcW w:type="dxa" w:w="2736"/>
          </w:tcPr>
          <w:p>
            <w:r/>
            <w:r>
              <w:rPr>
                <w:rFonts w:ascii="Garamond" w:hAnsi="Garamond" w:eastAsia="Garamond"/>
                <w:b w:val="0"/>
                <w:i w:val="0"/>
                <w:sz w:val="20"/>
              </w:rPr>
              <w:t>Wednesday 21st October 2026</w:t>
            </w:r>
          </w:p>
        </w:tc>
        <w:tc>
          <w:tcPr>
            <w:tcW w:type="dxa" w:w="4320"/>
          </w:tcPr>
          <w:p>
            <w:r/>
            <w:r>
              <w:rPr>
                <w:rFonts w:ascii="Garamond" w:hAnsi="Garamond" w:eastAsia="Garamond"/>
                <w:b w:val="0"/>
                <w:i w:val="0"/>
                <w:sz w:val="20"/>
              </w:rPr>
              <w:t>Project and Infrastructure Finance Modelling I: Construction and Funding</w:t>
            </w:r>
          </w:p>
        </w:tc>
        <w:tc>
          <w:tcPr>
            <w:tcW w:type="dxa" w:w="2304"/>
          </w:tcPr>
          <w:p>
            <w:r/>
            <w:r>
              <w:rPr>
                <w:rFonts w:ascii="Garamond" w:hAnsi="Garamond" w:eastAsia="Garamond"/>
                <w:b w:val="0"/>
                <w:i w:val="0"/>
                <w:sz w:val="20"/>
              </w:rPr>
              <w:t>Promise Godbold</w:t>
            </w:r>
          </w:p>
        </w:tc>
      </w:tr>
      <w:tr>
        <w:tc>
          <w:tcPr>
            <w:tcW w:type="dxa" w:w="720"/>
          </w:tcPr>
          <w:p>
            <w:r/>
            <w:r>
              <w:rPr>
                <w:rFonts w:ascii="Garamond" w:hAnsi="Garamond" w:eastAsia="Garamond"/>
                <w:b w:val="0"/>
                <w:i w:val="0"/>
                <w:sz w:val="20"/>
              </w:rPr>
              <w:t>7</w:t>
            </w:r>
          </w:p>
        </w:tc>
        <w:tc>
          <w:tcPr>
            <w:tcW w:type="dxa" w:w="2736"/>
          </w:tcPr>
          <w:p>
            <w:r/>
            <w:r>
              <w:rPr>
                <w:rFonts w:ascii="Garamond" w:hAnsi="Garamond" w:eastAsia="Garamond"/>
                <w:b w:val="0"/>
                <w:i w:val="0"/>
                <w:sz w:val="20"/>
              </w:rPr>
              <w:t>Thursday 22nd October 2026</w:t>
            </w:r>
          </w:p>
        </w:tc>
        <w:tc>
          <w:tcPr>
            <w:tcW w:type="dxa" w:w="4320"/>
          </w:tcPr>
          <w:p>
            <w:r/>
            <w:r>
              <w:rPr>
                <w:rFonts w:ascii="Garamond" w:hAnsi="Garamond" w:eastAsia="Garamond"/>
                <w:b w:val="0"/>
                <w:i w:val="0"/>
                <w:sz w:val="20"/>
              </w:rPr>
              <w:t>Project and Infrastructure Finance Modelling II: Debt Sizing and Returns</w:t>
            </w:r>
          </w:p>
        </w:tc>
        <w:tc>
          <w:tcPr>
            <w:tcW w:type="dxa" w:w="2304"/>
          </w:tcPr>
          <w:p>
            <w:r/>
            <w:r>
              <w:rPr>
                <w:rFonts w:ascii="Garamond" w:hAnsi="Garamond" w:eastAsia="Garamond"/>
                <w:b w:val="0"/>
                <w:i w:val="0"/>
                <w:sz w:val="20"/>
              </w:rPr>
              <w:t>Promise Godbold</w:t>
            </w:r>
          </w:p>
        </w:tc>
      </w:tr>
    </w:tbl>
    <w:p>
      <w:pPr>
        <w:spacing w:before="120"/>
      </w:pPr>
      <w:r>
        <w:rPr>
          <w:rFonts w:ascii="Garamond" w:hAnsi="Garamond" w:eastAsia="Garamond"/>
          <w:b w:val="0"/>
          <w:i/>
          <w:color w:val="5C6B7A"/>
          <w:sz w:val="19"/>
        </w:rPr>
        <w:t>Timings follow the 2026 curriculum. Saturday 17th and Sunday 18th October are rest days. Coffee and lunch breaks are shown in the timetable.</w:t>
      </w:r>
    </w:p>
    <w:p>
      <w:r>
        <w:br w:type="page"/>
      </w:r>
    </w:p>
    <w:p>
      <w:pPr>
        <w:keepNext/>
        <w:spacing w:after="120" w:before="280"/>
        <w:pBdr>
          <w:bottom w:val="single" w:sz="12" w:space="1" w:color="D99A2B"/>
        </w:pBdr>
      </w:pPr>
      <w:r>
        <w:rPr>
          <w:rFonts w:ascii="Garamond" w:hAnsi="Garamond" w:eastAsia="Garamond"/>
          <w:b/>
          <w:i w:val="0"/>
          <w:color w:val="141B4D"/>
          <w:sz w:val="30"/>
        </w:rPr>
        <w:t>Faculty</w:t>
      </w:r>
    </w:p>
    <w:p>
      <w:pPr>
        <w:keepNext/>
        <w:spacing w:after="80" w:before="200"/>
      </w:pPr>
      <w:r>
        <w:rPr>
          <w:rFonts w:ascii="Garamond" w:hAnsi="Garamond" w:eastAsia="Garamond"/>
          <w:b/>
          <w:i w:val="0"/>
          <w:color w:val="141B4D"/>
          <w:sz w:val="25"/>
        </w:rPr>
        <w:t>Prof. Bongo Adi – Academic Director</w:t>
      </w:r>
    </w:p>
    <w:p>
      <w:pPr>
        <w:jc w:val="left"/>
      </w:pPr>
      <w:r>
        <w:drawing>
          <wp:inline xmlns:a="http://schemas.openxmlformats.org/drawingml/2006/main" xmlns:pic="http://schemas.openxmlformats.org/drawingml/2006/picture">
            <wp:extent cx="1143000" cy="1132608"/>
            <wp:docPr id="7" name="Picture 7"/>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1143000" cy="1132608"/>
                    </a:xfrm>
                    <a:prstGeom prst="rect"/>
                  </pic:spPr>
                </pic:pic>
              </a:graphicData>
            </a:graphic>
          </wp:inline>
        </w:drawing>
      </w:r>
    </w:p>
    <w:p>
      <w:pPr>
        <w:jc w:val="both"/>
      </w:pPr>
      <w:r>
        <w:rPr>
          <w:rFonts w:ascii="Garamond" w:hAnsi="Garamond" w:eastAsia="Garamond"/>
          <w:b w:val="0"/>
          <w:i w:val="0"/>
        </w:rPr>
        <w:t>Prof Bongo Adi holds a full-time faculty position in the Economics and Business Intelligence department of Lagos Business School, Pan-Atlantic University, Nigeria. He is a development economist, data Scientist, PPP &amp; Project Finance expert and management consultant working in the infrastructure, economic development and Policy field for the last 20 years – with expertise in managing teams, teaching &amp; learning facilitation, PPPs, Project Finance, poverty research, econometric modelling, monitoring and evaluation of programs including the development of M&amp;E plans, methodologies and indicators in multi-country large scale development projects; survey design and execution; randomised control trials; use of propensity score matching and other evaluation tools; technical report writing and promoting research uptake. His expertise has seen him lead and manage exciting and complex projects on multi-state randomised control experiments in health, evaluation of CCT in education, Infrastructure reforms and PPPs, project finance, market sounding for PPP studies, Willingness-To-Pay studies, Multi-sectoral Computable General Equilibrium modelling, macroeconomics modelling and forecasting, econometrics modelling and analysis, economic development strategies, including SME development and Finance. He has sound expertise in managing large grants within development aid contexts.</w:t>
      </w:r>
    </w:p>
    <w:p>
      <w:pPr>
        <w:jc w:val="both"/>
      </w:pPr>
      <w:r>
        <w:rPr>
          <w:rFonts w:ascii="Garamond" w:hAnsi="Garamond" w:eastAsia="Garamond"/>
          <w:b w:val="0"/>
          <w:i w:val="0"/>
        </w:rPr>
        <w:t>Prof Adi holds a PhD in Regional Science and Development Economics and an M.Sc in Economic Development and Policy Management under the Joint Japan/World Bank Graduate Scholarship of the University of Tsukuba, Japan. He did postdoctoral training in Data Mining at the National Agricultural Research Centre in Japan. He is a recipient of the Japan Society for the Promotion of Science (JSPS) fellowship. His research has been presented at numerous international conferences and workshops and published in top-ranked international journals.</w:t>
      </w:r>
    </w:p>
    <w:p>
      <w:pPr>
        <w:jc w:val="both"/>
      </w:pPr>
      <w:r>
        <w:rPr>
          <w:rFonts w:ascii="Garamond" w:hAnsi="Garamond" w:eastAsia="Garamond"/>
          <w:b w:val="0"/>
          <w:i w:val="0"/>
        </w:rPr>
        <w:t>Prof. Bongo Adi has consulted for the World Bank on project design, preparation and appraisal. His current research interests include electricity market design, private-public partnerships, and the political economy of mega projects.  He is a regular Economist and Business analyst on Channels TV, CNBC Africa and CNN.  He maintains a column tagged bongonomics in the Businessday newspaper.</w:t>
      </w:r>
    </w:p>
    <w:p>
      <w:pPr>
        <w:keepNext/>
        <w:spacing w:after="80" w:before="200"/>
      </w:pPr>
      <w:r>
        <w:rPr>
          <w:rFonts w:ascii="Garamond" w:hAnsi="Garamond" w:eastAsia="Garamond"/>
          <w:b/>
          <w:i w:val="0"/>
          <w:color w:val="141B4D"/>
          <w:sz w:val="25"/>
        </w:rPr>
        <w:t>Michelle Chikezie, LLB, LLM – Legal Fundamentals (Partner, G. Elias)</w:t>
      </w:r>
    </w:p>
    <w:p>
      <w:pPr>
        <w:jc w:val="left"/>
      </w:pPr>
      <w:r>
        <w:drawing>
          <wp:inline xmlns:a="http://schemas.openxmlformats.org/drawingml/2006/main" xmlns:pic="http://schemas.openxmlformats.org/drawingml/2006/picture">
            <wp:extent cx="1143000" cy="1143000"/>
            <wp:docPr id="8" name="Picture 8"/>
            <wp:cNvGraphicFramePr>
              <a:graphicFrameLocks noChangeAspect="1"/>
            </wp:cNvGraphicFramePr>
            <a:graphic>
              <a:graphicData uri="http://schemas.openxmlformats.org/drawingml/2006/picture">
                <pic:pic>
                  <pic:nvPicPr>
                    <pic:cNvPr id="0" name="chikezie.jpg"/>
                    <pic:cNvPicPr/>
                  </pic:nvPicPr>
                  <pic:blipFill>
                    <a:blip r:embed="rId18"/>
                    <a:stretch>
                      <a:fillRect/>
                    </a:stretch>
                  </pic:blipFill>
                  <pic:spPr>
                    <a:xfrm>
                      <a:off x="0" y="0"/>
                      <a:ext cx="1143000" cy="1143000"/>
                    </a:xfrm>
                    <a:prstGeom prst="rect"/>
                  </pic:spPr>
                </pic:pic>
              </a:graphicData>
            </a:graphic>
          </wp:inline>
        </w:drawing>
      </w:r>
    </w:p>
    <w:p>
      <w:pPr>
        <w:jc w:val="both"/>
      </w:pPr>
      <w:r>
        <w:rPr>
          <w:rFonts w:ascii="Garamond" w:hAnsi="Garamond" w:eastAsia="Garamond"/>
          <w:b w:val="0"/>
          <w:i w:val="0"/>
        </w:rPr>
        <w:t>Michelle Chikezie is a Partner at G. Elias, one of Nigeria’s leading business law firms, where she advises on complex transactions spanning capital markets, structured finance, project finance, venture capital, and private equity. She regularly represents multinational banks, pan-African financial institutions, telecommunications companies, and other leading corporates on cross-border transactions, Eurobond issuances, corporate restructurings, and other significant matters. She has been recognised as a “Next Generation Partner” by The Legal 500 and a “Rising Star Partner” by IFLR1000. Michelle is dual-qualified to practise law in Nigeria and New York State.</w:t>
      </w:r>
    </w:p>
    <w:p>
      <w:pPr>
        <w:jc w:val="both"/>
      </w:pPr>
      <w:r>
        <w:rPr>
          <w:rFonts w:ascii="Garamond" w:hAnsi="Garamond" w:eastAsia="Garamond"/>
          <w:b w:val="0"/>
          <w:i w:val="0"/>
        </w:rPr>
        <w:t>She has contributed to major industry forums like the African Private Capital Association (AVCA) Conference and the Africa Prosperity Summit, where she has shared insights on local fund domiciliation, regulatory frameworks, private capital, and market liquidity. Michelle graduated with First Class Honours from the Nigerian Law School, ranking among the top 0.2% nationally. She holds an LL.B. from the University of Lagos, an LL.M. from New York University School of Law, and a Master of International Public Policy in International Economics and Finance from Johns Hopkins SAIS.</w:t>
      </w:r>
    </w:p>
    <w:p>
      <w:pPr>
        <w:keepNext/>
        <w:spacing w:after="80" w:before="200"/>
      </w:pPr>
      <w:r>
        <w:rPr>
          <w:rFonts w:ascii="Garamond" w:hAnsi="Garamond" w:eastAsia="Garamond"/>
          <w:b/>
          <w:i w:val="0"/>
          <w:color w:val="141B4D"/>
          <w:sz w:val="25"/>
        </w:rPr>
        <w:t>Promise Godbold – Finance Fundamentals and Project Finance Modelling</w:t>
      </w:r>
    </w:p>
    <w:p>
      <w:pPr>
        <w:jc w:val="left"/>
      </w:pPr>
      <w:r>
        <w:drawing>
          <wp:inline xmlns:a="http://schemas.openxmlformats.org/drawingml/2006/main" xmlns:pic="http://schemas.openxmlformats.org/drawingml/2006/picture">
            <wp:extent cx="1143000" cy="975575"/>
            <wp:docPr id="9" name="Picture 9"/>
            <wp:cNvGraphicFramePr>
              <a:graphicFrameLocks noChangeAspect="1"/>
            </wp:cNvGraphicFramePr>
            <a:graphic>
              <a:graphicData uri="http://schemas.openxmlformats.org/drawingml/2006/picture">
                <pic:pic>
                  <pic:nvPicPr>
                    <pic:cNvPr id="0" name="image5.jpeg"/>
                    <pic:cNvPicPr/>
                  </pic:nvPicPr>
                  <pic:blipFill>
                    <a:blip r:embed="rId19"/>
                    <a:stretch>
                      <a:fillRect/>
                    </a:stretch>
                  </pic:blipFill>
                  <pic:spPr>
                    <a:xfrm>
                      <a:off x="0" y="0"/>
                      <a:ext cx="1143000" cy="975575"/>
                    </a:xfrm>
                    <a:prstGeom prst="rect"/>
                  </pic:spPr>
                </pic:pic>
              </a:graphicData>
            </a:graphic>
          </wp:inline>
        </w:drawing>
      </w:r>
    </w:p>
    <w:p>
      <w:pPr>
        <w:jc w:val="both"/>
      </w:pPr>
      <w:r>
        <w:rPr>
          <w:rFonts w:ascii="Garamond" w:hAnsi="Garamond" w:eastAsia="Garamond"/>
          <w:b w:val="0"/>
          <w:i w:val="0"/>
        </w:rPr>
        <w:t>Promise is a highly accomplished project finance expert with over 8 years of experience delivering comprehensive project finance modelling solutions and advisory and training services to clients and businesses across Africa and beyond. He has a proven track record in providing project finance transactions worth 100 million dollars, making him a valuable asset to his clients and students alike.</w:t>
      </w:r>
    </w:p>
    <w:p>
      <w:pPr>
        <w:jc w:val="both"/>
      </w:pPr>
      <w:r>
        <w:rPr>
          <w:rFonts w:ascii="Garamond" w:hAnsi="Garamond" w:eastAsia="Garamond"/>
          <w:b w:val="0"/>
          <w:i w:val="0"/>
        </w:rPr>
        <w:t>As an Associate Chartered Accountant, Financial Modelling and Valuation Analyst, Promise brings a wealth of expertise and knowledge to the table. He has delivered a series of project finance and financial modelling solutions across various industries, showcasing his versatility and adaptability.</w:t>
      </w:r>
    </w:p>
    <w:p>
      <w:pPr>
        <w:jc w:val="both"/>
      </w:pPr>
      <w:r>
        <w:rPr>
          <w:rFonts w:ascii="Garamond" w:hAnsi="Garamond" w:eastAsia="Garamond"/>
          <w:b w:val="0"/>
          <w:i w:val="0"/>
        </w:rPr>
        <w:t>Promise is deeply committed to sustainability, infrastructure, and development finance. He is focused on providing innovative solutions that align with these values and make a positive impact on communities and the environment. His most recent high-net-worth project finance modelling and advisory were delivered for Utilita Energy and Tourba Energy ( a Sierra Leonean Energy Company).</w:t>
      </w:r>
    </w:p>
    <w:p>
      <w:pPr>
        <w:jc w:val="both"/>
      </w:pPr>
      <w:r>
        <w:rPr>
          <w:rFonts w:ascii="Garamond" w:hAnsi="Garamond" w:eastAsia="Garamond"/>
          <w:b w:val="0"/>
          <w:i w:val="0"/>
        </w:rPr>
        <w:t>He has a strong focus on projects in the sustainability, infrastructure, and development finance sectors and is deeply passionate about preparing professionals for the future of work.</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The Infrastructure Challenge and Raison d'être of Project Finance</w:t>
      </w:r>
    </w:p>
    <w:p>
      <w:pPr>
        <w:spacing w:after="120"/>
        <w:jc w:val="center"/>
        <w:pBdr>
          <w:bottom w:val="single" w:sz="12" w:space="1" w:color="D99A2B"/>
        </w:pBdr>
      </w:pPr>
      <w:r>
        <w:rPr>
          <w:rFonts w:ascii="Garamond" w:hAnsi="Garamond" w:eastAsia="Garamond"/>
          <w:b/>
          <w:i w:val="0"/>
          <w:color w:val="A8700F"/>
          <w:sz w:val="26"/>
        </w:rPr>
        <w:t>Day 1  |  Wednesday 14th October 2026</w:t>
      </w:r>
    </w:p>
    <w:p>
      <w:pPr>
        <w:spacing w:after="160"/>
        <w:jc w:val="both"/>
      </w:pPr>
      <w:r>
        <w:rPr>
          <w:rFonts w:ascii="Garamond" w:hAnsi="Garamond" w:eastAsia="Garamond"/>
          <w:b w:val="0"/>
          <w:i/>
          <w:color w:val="5C6B7A"/>
          <w:sz w:val="21"/>
        </w:rPr>
        <w:t>Day 1 follows one deal from structuring to credit committee: Project Sahel Sun, a 50 MW solar plant in Kano State. Nigeria's reference transaction, the Azura-Edo IPP, anchors every concept, and the Lekki concessions, the 2nd Niger Bridge and the Road Infrastructure Tax Credit Scheme show where structures succeed or stall. The Harvard cases used in earlier editions are retained as alternative reading.</w:t>
      </w:r>
    </w:p>
    <w:p>
      <w:pPr>
        <w:keepNext/>
        <w:tabs>
          <w:tab w:pos="2520" w:val="left"/>
        </w:tabs>
        <w:spacing w:before="160" w:after="40"/>
        <w:ind w:left="2520" w:hanging="2520"/>
      </w:pPr>
      <w:r>
        <w:rPr>
          <w:rFonts w:ascii="Garamond" w:hAnsi="Garamond" w:eastAsia="Garamond"/>
          <w:b/>
          <w:i w:val="0"/>
          <w:color w:val="141B4D"/>
        </w:rPr>
        <w:t>09.00 – 10.00 am</w:t>
      </w:r>
      <w:r>
        <w:rPr>
          <w:rFonts w:ascii="Garamond" w:hAnsi="Garamond" w:eastAsia="Garamond"/>
          <w:b w:val="0"/>
          <w:i w:val="0"/>
        </w:rPr>
        <w:tab/>
      </w:r>
      <w:r>
        <w:rPr>
          <w:rFonts w:ascii="Garamond" w:hAnsi="Garamond" w:eastAsia="Garamond"/>
          <w:b/>
          <w:i w:val="0"/>
          <w:color w:val="141B4D"/>
        </w:rPr>
        <w:t>Session 1.1: SPVs, Non-Recourse Lending and Cash-Flow-Based Finance</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Prof Bongo Adi</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Why banks cannot lend infrastructure from the balance sheet; the SPV and the recourse spectrum; lending against CFADS rather than assets; the contract web; the project life cycle and who is around the table. Azura-Edo IPP against a sponsor-financed corporate plant.</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1 (Workbook p.2): draw the corporate-finance and project-finance structures side by side and circle the one contract without which lenders would not lend.</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Pre-read Primer: Infrastructure Finance Essentials (on the course website)</w:t>
      </w:r>
    </w:p>
    <w:p>
      <w:pPr>
        <w:spacing w:after="0"/>
        <w:ind w:left="2880"/>
      </w:pPr>
      <w:r>
        <w:rPr>
          <w:rFonts w:ascii="Garamond" w:hAnsi="Garamond" w:eastAsia="Garamond"/>
          <w:b w:val="0"/>
          <w:i w:val="0"/>
          <w:sz w:val="20"/>
        </w:rPr>
        <w:t>2. Day 1 slide deck: Modules 1 &amp; 2 (on the course website)</w:t>
      </w:r>
    </w:p>
    <w:p>
      <w:pPr>
        <w:spacing w:after="0"/>
        <w:ind w:left="2880"/>
      </w:pPr>
      <w:r>
        <w:rPr>
          <w:rFonts w:ascii="Garamond" w:hAnsi="Garamond" w:eastAsia="Garamond"/>
          <w:b w:val="0"/>
          <w:i w:val="0"/>
          <w:sz w:val="20"/>
        </w:rPr>
        <w:t>3. Day 1 Participant Workbook: Project Sahel Sun and the Credit Committee Case Pack (on the course website)</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Argentina Power: Don't Cry for Me Argentina (HBS 5-219-010) and Teaching Note (Harvard case, in class)</w:t>
      </w:r>
    </w:p>
    <w:p>
      <w:pPr>
        <w:spacing w:after="0"/>
        <w:ind w:left="2880"/>
      </w:pPr>
      <w:r>
        <w:rPr>
          <w:rFonts w:ascii="Garamond" w:hAnsi="Garamond" w:eastAsia="Garamond"/>
          <w:b w:val="0"/>
          <w:i w:val="0"/>
          <w:sz w:val="20"/>
        </w:rPr>
        <w:t>2. An Overview of Project Finance and Infrastructure Finance: 2009 Update (OneDrive: https://d.docs.live.net/72139f47f6570099/Documents/Project%20Finance%20Materials/An%20Overview%20of%20Project%20Finance%20and%20Infrastructure%20Finance%20-%202009%20Update.pdf)</w:t>
      </w:r>
    </w:p>
    <w:p>
      <w:pPr>
        <w:spacing w:after="0"/>
        <w:ind w:left="2880"/>
      </w:pPr>
      <w:r>
        <w:rPr>
          <w:rFonts w:ascii="Garamond" w:hAnsi="Garamond" w:eastAsia="Garamond"/>
          <w:b w:val="0"/>
          <w:i w:val="0"/>
          <w:sz w:val="20"/>
        </w:rPr>
        <w:t>3. An Introduction to Project Finance in Emerging Markets (OneDrive: https://d.docs.live.net/72139f47f6570099/Documents/Project%20Finance%20Materials/An%20introduction%20to%20project%20finance%20in%20emerging%20markets.pdf)</w:t>
      </w:r>
    </w:p>
    <w:p>
      <w:pPr>
        <w:keepNext/>
        <w:tabs>
          <w:tab w:pos="2520" w:val="left"/>
        </w:tabs>
        <w:spacing w:before="160" w:after="40"/>
        <w:ind w:left="2520" w:hanging="2520"/>
      </w:pPr>
      <w:r>
        <w:rPr>
          <w:rFonts w:ascii="Garamond" w:hAnsi="Garamond" w:eastAsia="Garamond"/>
          <w:b/>
          <w:i w:val="0"/>
          <w:color w:val="141B4D"/>
        </w:rPr>
        <w:t>10.00 – 11.00 am</w:t>
      </w:r>
      <w:r>
        <w:rPr>
          <w:rFonts w:ascii="Garamond" w:hAnsi="Garamond" w:eastAsia="Garamond"/>
          <w:b w:val="0"/>
          <w:i w:val="0"/>
        </w:rPr>
        <w:tab/>
      </w:r>
      <w:r>
        <w:rPr>
          <w:rFonts w:ascii="Garamond" w:hAnsi="Garamond" w:eastAsia="Garamond"/>
          <w:b/>
          <w:i w:val="0"/>
          <w:color w:val="141B4D"/>
        </w:rPr>
        <w:t>Session 1.2: Designing Layered Capital Stacks</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Prof Bongo Adi</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Senior debt, mezzanine and shareholder loans, equity; the cash-flow waterfall; sizing debt by the lower of the DSCR test and the gearing cap; sculpting; matching currency (US$ DFI loan with a guaranteed naira bond). Nigeria lens: CBN, InfraCorp, InfraCredit.</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2 (Workbook p.3 and Excel template): build the Sahel Sun capital stack: uses of funds, debt capacity at 1.35x, sources of funds.</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Sahel Sun Capital Stack Template (Excel) (on the course website)</w:t>
      </w:r>
    </w:p>
    <w:p>
      <w:pPr>
        <w:spacing w:after="0"/>
        <w:ind w:left="2880"/>
      </w:pPr>
      <w:r>
        <w:rPr>
          <w:rFonts w:ascii="Garamond" w:hAnsi="Garamond" w:eastAsia="Garamond"/>
          <w:b w:val="0"/>
          <w:i w:val="0"/>
          <w:sz w:val="20"/>
        </w:rPr>
        <w:t>2. Pre-read Primer: Infrastructure Finance Essentials (on the course website)</w:t>
      </w:r>
    </w:p>
    <w:p>
      <w:pPr>
        <w:spacing w:after="0"/>
        <w:ind w:left="2880"/>
      </w:pPr>
      <w:r>
        <w:rPr>
          <w:rFonts w:ascii="Garamond" w:hAnsi="Garamond" w:eastAsia="Garamond"/>
          <w:b w:val="0"/>
          <w:i w:val="0"/>
          <w:sz w:val="20"/>
        </w:rPr>
        <w:t>3. InfraCredit: financial guarantee for local-currency infrastructure debt (InfraCredit Nigeria): https://infracredit.ng/our-products/our-financial-guarantee</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Chad-Cameroon Petroleum Development and Pipeline Project (HBS 9-202-010), Cases A &amp; B, Teaching Notes and spreadsheet (Harvard case, in class)</w:t>
      </w:r>
    </w:p>
    <w:p>
      <w:pPr>
        <w:spacing w:after="0"/>
        <w:ind w:left="2880"/>
      </w:pPr>
      <w:r>
        <w:rPr>
          <w:rFonts w:ascii="Garamond" w:hAnsi="Garamond" w:eastAsia="Garamond"/>
          <w:b w:val="0"/>
          <w:i w:val="0"/>
          <w:sz w:val="20"/>
        </w:rPr>
        <w:t>2. Overview of Project Finance (Esty, 2014) (OneDrive: https://d.docs.live.net/72139f47f6570099/Documents/Project%20Finance%20Materials/Overview%20of%20Project%20Finance%20-%20Esty%202014.pdf)</w:t>
      </w:r>
    </w:p>
    <w:p>
      <w:pPr>
        <w:keepNext/>
        <w:tabs>
          <w:tab w:pos="2520" w:val="left"/>
        </w:tabs>
        <w:spacing w:before="160" w:after="40"/>
        <w:ind w:left="2520" w:hanging="2520"/>
      </w:pPr>
      <w:r>
        <w:rPr>
          <w:rFonts w:ascii="Garamond" w:hAnsi="Garamond" w:eastAsia="Garamond"/>
          <w:b/>
          <w:i w:val="0"/>
          <w:color w:val="141B4D"/>
        </w:rPr>
        <w:t>11.00 – 11.30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11.30 – 12.30 pm</w:t>
      </w:r>
      <w:r>
        <w:rPr>
          <w:rFonts w:ascii="Garamond" w:hAnsi="Garamond" w:eastAsia="Garamond"/>
          <w:b w:val="0"/>
          <w:i w:val="0"/>
        </w:rPr>
        <w:tab/>
      </w:r>
      <w:r>
        <w:rPr>
          <w:rFonts w:ascii="Garamond" w:hAnsi="Garamond" w:eastAsia="Garamond"/>
          <w:b/>
          <w:i w:val="0"/>
          <w:color w:val="141B4D"/>
        </w:rPr>
        <w:t>Session 1.3: Appraising Deals with Cash-Flow Models</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Prof Bongo Adi</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Corporate model versus project-finance model; anatomy of a PF model; the ratios lenders watch (DSCR, LLCR); sensitivities. Lekki-Epe Expressway and Lekki Deep Sea Port: why one concession stalled on tariffs and the other reached completion.</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The Bankability Checklist (Workbook p.4).</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Day 1 slide deck: Modules 1 &amp; 2 (on the course website)</w:t>
      </w:r>
    </w:p>
    <w:p>
      <w:pPr>
        <w:spacing w:after="0"/>
        <w:ind w:left="2880"/>
      </w:pPr>
      <w:r>
        <w:rPr>
          <w:rFonts w:ascii="Garamond" w:hAnsi="Garamond" w:eastAsia="Garamond"/>
          <w:b w:val="0"/>
          <w:i w:val="0"/>
          <w:sz w:val="20"/>
        </w:rPr>
        <w:t>2. Day 1 Participant Workbook: Project Sahel Sun and the Credit Committee Case Pack (on the course website)</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Chad-Cameroon Petroleum Development and Pipeline Project (HBS 9-202-010), Cases A &amp; B, Teaching Notes and spreadsheet (Harvard case, in class)</w:t>
      </w:r>
    </w:p>
    <w:p>
      <w:pPr>
        <w:spacing w:after="0"/>
        <w:ind w:left="2880"/>
      </w:pPr>
      <w:r>
        <w:rPr>
          <w:rFonts w:ascii="Garamond" w:hAnsi="Garamond" w:eastAsia="Garamond"/>
          <w:b w:val="0"/>
          <w:i w:val="0"/>
          <w:sz w:val="20"/>
        </w:rPr>
        <w:t>2. BP Amoco (A): Policy Statement on the Use of Project Finance (HBS 9-201-054), with (B) and Teaching Note (Harvard case, in class)</w:t>
      </w:r>
    </w:p>
    <w:p>
      <w:pPr>
        <w:keepNext/>
        <w:tabs>
          <w:tab w:pos="2520" w:val="left"/>
        </w:tabs>
        <w:spacing w:before="160" w:after="40"/>
        <w:ind w:left="2520" w:hanging="2520"/>
      </w:pPr>
      <w:r>
        <w:rPr>
          <w:rFonts w:ascii="Garamond" w:hAnsi="Garamond" w:eastAsia="Garamond"/>
          <w:b/>
          <w:i w:val="0"/>
          <w:color w:val="141B4D"/>
        </w:rPr>
        <w:t>12.30 – 02.00 pm</w:t>
      </w:r>
      <w:r>
        <w:rPr>
          <w:rFonts w:ascii="Garamond" w:hAnsi="Garamond" w:eastAsia="Garamond"/>
          <w:b w:val="0"/>
          <w:i w:val="0"/>
        </w:rPr>
        <w:tab/>
      </w:r>
      <w:r>
        <w:rPr>
          <w:rFonts w:ascii="Garamond" w:hAnsi="Garamond" w:eastAsia="Garamond"/>
          <w:b/>
          <w:i w:val="0"/>
          <w:color w:val="141B4D"/>
        </w:rPr>
        <w:t>Session 2.1: Risk: Identify, Allocate, Mitigate</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Prof Bongo Adi</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What risk means to a lender; the risk management cycle; the golden rule of allocation; construction and completion, operating and resource (P50/P90), off-take and payment, currency and regulatory risk; stress-testing Sahel Sun.</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3 (Workbook p.5): complete the Risk Allocation Matrix for Sahel Sun; model answer in debrief.</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Risk Mapping in Project Finance (OneDrive: https://d.docs.live.net/72139f47f6570099/Mastering%20Infrastructure%20Project%20Finance%202023/MIPF%20Bootcamp%202025/Risk_Mapping_in_Project_Finance.pdf)</w:t>
      </w:r>
    </w:p>
    <w:p>
      <w:pPr>
        <w:spacing w:after="0"/>
        <w:ind w:left="2880"/>
      </w:pPr>
      <w:r>
        <w:rPr>
          <w:rFonts w:ascii="Garamond" w:hAnsi="Garamond" w:eastAsia="Garamond"/>
          <w:b w:val="0"/>
          <w:i w:val="0"/>
          <w:sz w:val="20"/>
        </w:rPr>
        <w:t>2. Allocating Risks in Public-Private Partnership Contracts (interactive matrices) (Global Infrastructure Hub / World Bank PPP): https://ppp.worldbank.org/node/8649</w:t>
      </w:r>
    </w:p>
    <w:p>
      <w:pPr>
        <w:spacing w:after="0"/>
        <w:ind w:left="2880"/>
      </w:pPr>
      <w:r>
        <w:rPr>
          <w:rFonts w:ascii="Garamond" w:hAnsi="Garamond" w:eastAsia="Garamond"/>
          <w:b w:val="0"/>
          <w:i w:val="0"/>
          <w:sz w:val="20"/>
        </w:rPr>
        <w:t>3. Pre-read Primer: Infrastructure Finance Essentials (on the course website)</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Argentina Power: Don't Cry for Me Argentina (HBS 5-219-010) and Teaching Note (Harvard case, in class)</w:t>
      </w:r>
    </w:p>
    <w:p>
      <w:pPr>
        <w:spacing w:after="0"/>
        <w:ind w:left="2880"/>
      </w:pPr>
      <w:r>
        <w:rPr>
          <w:rFonts w:ascii="Garamond" w:hAnsi="Garamond" w:eastAsia="Garamond"/>
          <w:b w:val="0"/>
          <w:i w:val="0"/>
          <w:sz w:val="20"/>
        </w:rPr>
        <w:t>2. BP Amoco (A): Policy Statement on the Use of Project Finance (HBS 9-201-054), with (B) and Teaching Note (Harvard case, in class)</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 (working lunch: read the Credit Committee Case Pack, Workbook pp.7–9)</w:t>
      </w:r>
    </w:p>
    <w:p>
      <w:pPr>
        <w:keepNext/>
        <w:tabs>
          <w:tab w:pos="2520" w:val="left"/>
        </w:tabs>
        <w:spacing w:before="160" w:after="40"/>
        <w:ind w:left="2520" w:hanging="2520"/>
      </w:pPr>
      <w:r>
        <w:rPr>
          <w:rFonts w:ascii="Garamond" w:hAnsi="Garamond" w:eastAsia="Garamond"/>
          <w:b/>
          <w:i w:val="0"/>
          <w:color w:val="141B4D"/>
        </w:rPr>
        <w:t>02.45 – 03.30 pm</w:t>
      </w:r>
      <w:r>
        <w:rPr>
          <w:rFonts w:ascii="Garamond" w:hAnsi="Garamond" w:eastAsia="Garamond"/>
          <w:b w:val="0"/>
          <w:i w:val="0"/>
        </w:rPr>
        <w:tab/>
      </w:r>
      <w:r>
        <w:rPr>
          <w:rFonts w:ascii="Garamond" w:hAnsi="Garamond" w:eastAsia="Garamond"/>
          <w:b/>
          <w:i w:val="0"/>
          <w:color w:val="141B4D"/>
        </w:rPr>
        <w:t>Sessions 2.2 and 2.3: PPPs, Concessions and Blended Finance; ESG in Infrastructure Appraisal</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Prof Bongo Adi</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PPP and concession models; Nigeria's PPP framework; blended finance and the DFI toolkit; the 2nd Niger Bridge and the EO 007 tax-credit road scheme; ESG as a credit issue: IFC Performance Standards, Equator Principles and the Nigerian Sustainable Banking Principles. (Condensed for the full-day format.)</w:t>
      </w:r>
    </w:p>
    <w:p>
      <w:pPr>
        <w:spacing w:after="20"/>
        <w:ind w:left="2520"/>
      </w:pPr>
      <w:r>
        <w:rPr>
          <w:rFonts w:ascii="Garamond" w:hAnsi="Garamond" w:eastAsia="Garamond"/>
          <w:b/>
          <w:i w:val="0"/>
          <w:color w:val="0B5E82"/>
          <w:sz w:val="21"/>
        </w:rPr>
        <w:t xml:space="preserve">Note:  </w:t>
      </w:r>
      <w:r>
        <w:rPr>
          <w:rFonts w:ascii="Garamond" w:hAnsi="Garamond" w:eastAsia="Garamond"/>
          <w:b w:val="0"/>
          <w:i/>
          <w:sz w:val="21"/>
        </w:rPr>
        <w:t>ESG session condensed to fit the full-day format; the ESG checklist for Sahel Sun is in the deck.</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PPP Reference Guide, Version 3 (World Bank Group and partners): https://ppp.worldbank.org/public-private-partnership/library/ppp-reference-guide-3-0-full-version</w:t>
      </w:r>
    </w:p>
    <w:p>
      <w:pPr>
        <w:spacing w:after="0"/>
        <w:ind w:left="2880"/>
      </w:pPr>
      <w:r>
        <w:rPr>
          <w:rFonts w:ascii="Garamond" w:hAnsi="Garamond" w:eastAsia="Garamond"/>
          <w:b w:val="0"/>
          <w:i w:val="0"/>
          <w:sz w:val="20"/>
        </w:rPr>
        <w:t>2. IFC Performance Standards on Environmental and Social Sustainability (2012) (IFC): https://www.ifc.org/performancestandards</w:t>
      </w:r>
    </w:p>
    <w:p>
      <w:pPr>
        <w:spacing w:after="0"/>
        <w:ind w:left="2880"/>
      </w:pPr>
      <w:r>
        <w:rPr>
          <w:rFonts w:ascii="Garamond" w:hAnsi="Garamond" w:eastAsia="Garamond"/>
          <w:b w:val="0"/>
          <w:i w:val="0"/>
          <w:sz w:val="20"/>
        </w:rPr>
        <w:t>3. The Equator Principles (EP4) (Equator Principles Association): https://equator-principles.com</w:t>
      </w:r>
    </w:p>
    <w:p>
      <w:pPr>
        <w:spacing w:after="0"/>
        <w:ind w:left="2880"/>
      </w:pPr>
      <w:r>
        <w:rPr>
          <w:rFonts w:ascii="Garamond" w:hAnsi="Garamond" w:eastAsia="Garamond"/>
          <w:b w:val="0"/>
          <w:i w:val="0"/>
          <w:sz w:val="20"/>
        </w:rPr>
        <w:t>4. Overview of Nigeria's PPP Framework and PPP Status; Status of Nigeria PPP (World Bank) (OneDrive: https://d.docs.live.net/72139f47f6570099/Mastering%20Infrastructure%20Project%20Finance%202023/Project%20Finance%20Materials/PPP/Overview%20of%20Nigeria%E2%80%99s%20PPP%20Framework%20and%20PPP%20Status.pptx; https://d.docs.live.net/72139f47f6570099/Mastering%20Infrastructure%20Project%20Finance%202023/Project%20Finance%20Materials/Status%20of%20Nigeria%20PPP%20-%20World%20Bank.pdf)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Chad-Cameroon Petroleum Development and Pipeline Project (HBS 9-202-010), Cases A &amp; B, Teaching Notes and spreadsheet (Harvard case, in class)</w:t>
      </w:r>
    </w:p>
    <w:p>
      <w:pPr>
        <w:keepNext/>
        <w:tabs>
          <w:tab w:pos="2520" w:val="left"/>
        </w:tabs>
        <w:spacing w:before="160" w:after="40"/>
        <w:ind w:left="2520" w:hanging="2520"/>
      </w:pPr>
      <w:r>
        <w:rPr>
          <w:rFonts w:ascii="Garamond" w:hAnsi="Garamond" w:eastAsia="Garamond"/>
          <w:b/>
          <w:i w:val="0"/>
          <w:color w:val="141B4D"/>
        </w:rPr>
        <w:t>03.30 – 04.30 pm</w:t>
      </w:r>
      <w:r>
        <w:rPr>
          <w:rFonts w:ascii="Garamond" w:hAnsi="Garamond" w:eastAsia="Garamond"/>
          <w:b w:val="0"/>
          <w:i w:val="0"/>
        </w:rPr>
        <w:tab/>
      </w:r>
      <w:r>
        <w:rPr>
          <w:rFonts w:ascii="Garamond" w:hAnsi="Garamond" w:eastAsia="Garamond"/>
          <w:b/>
          <w:i w:val="0"/>
          <w:color w:val="141B4D"/>
        </w:rPr>
        <w:t>Session 2.4: Negotiation and Credit Committee Simulation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Case-study-led group session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Prof Bongo Adi</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Anatomy of a term sheet; what each side asks for; the credit committee brief; the shock six months after financial close; testing the fixes; what a strong committee answer looks like.</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Credit Committee decision form (Workbook p.9). Five questions to take back to your institution.</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Day 1 Participant Workbook: Project Sahel Sun and the Credit Committee Case Pack (on the course website)</w:t>
      </w:r>
    </w:p>
    <w:p>
      <w:pPr>
        <w:spacing w:after="0"/>
        <w:ind w:left="2880"/>
      </w:pPr>
      <w:r>
        <w:rPr>
          <w:rFonts w:ascii="Garamond" w:hAnsi="Garamond" w:eastAsia="Garamond"/>
          <w:b w:val="0"/>
          <w:i w:val="0"/>
          <w:sz w:val="20"/>
        </w:rPr>
        <w:t>2. Sample Term Sheet (OneDrive: https://d.docs.live.net/72139f47f6570099/Mastering%20Infrastructure%20Project%20Finance%202023/Project%20Finance%20Materials/Term%20Sheet.docx)</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BP Amoco (A): Policy Statement on the Use of Project Finance (HBS 9-201-054), with (B) and Teaching Note (Harvard case, in class)</w:t>
      </w:r>
    </w:p>
    <w:p>
      <w:pPr>
        <w:spacing w:after="0"/>
        <w:ind w:left="2880"/>
      </w:pPr>
      <w:r>
        <w:rPr>
          <w:rFonts w:ascii="Garamond" w:hAnsi="Garamond" w:eastAsia="Garamond"/>
          <w:b w:val="0"/>
          <w:i w:val="0"/>
          <w:sz w:val="20"/>
        </w:rPr>
        <w:t>2. Australia-Japan Cable: Structuring the Project Company (Harvard case, in class)</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Legal Fundamentals of Project and Infrastructure Finance</w:t>
      </w:r>
    </w:p>
    <w:p>
      <w:pPr>
        <w:spacing w:after="120"/>
        <w:jc w:val="center"/>
        <w:pBdr>
          <w:bottom w:val="single" w:sz="12" w:space="1" w:color="D99A2B"/>
        </w:pBdr>
      </w:pPr>
      <w:r>
        <w:rPr>
          <w:rFonts w:ascii="Garamond" w:hAnsi="Garamond" w:eastAsia="Garamond"/>
          <w:b/>
          <w:i w:val="0"/>
          <w:color w:val="A8700F"/>
          <w:sz w:val="26"/>
        </w:rPr>
        <w:t>Day 2  |  Thursday 15th October 2026</w:t>
      </w:r>
    </w:p>
    <w:p>
      <w:pPr>
        <w:spacing w:after="160"/>
        <w:jc w:val="both"/>
      </w:pPr>
      <w:r>
        <w:rPr>
          <w:rFonts w:ascii="Garamond" w:hAnsi="Garamond" w:eastAsia="Garamond"/>
          <w:b w:val="0"/>
          <w:i/>
          <w:color w:val="5C6B7A"/>
          <w:sz w:val="21"/>
        </w:rPr>
        <w:t>Legal due diligence, security, negotiation and the allocation of risk in contract: the documents that make a project bankable, and the covenants that decide what happens when it is not.</w:t>
      </w:r>
    </w:p>
    <w:p>
      <w:pPr>
        <w:keepNext/>
        <w:tabs>
          <w:tab w:pos="2520" w:val="left"/>
        </w:tabs>
        <w:spacing w:before="160" w:after="40"/>
        <w:ind w:left="2520" w:hanging="2520"/>
      </w:pPr>
      <w:r>
        <w:rPr>
          <w:rFonts w:ascii="Garamond" w:hAnsi="Garamond" w:eastAsia="Garamond"/>
          <w:b/>
          <w:i w:val="0"/>
          <w:color w:val="141B4D"/>
        </w:rPr>
        <w:t>09.00 – 10.00 am</w:t>
      </w:r>
      <w:r>
        <w:rPr>
          <w:rFonts w:ascii="Garamond" w:hAnsi="Garamond" w:eastAsia="Garamond"/>
          <w:b w:val="0"/>
          <w:i w:val="0"/>
        </w:rPr>
        <w:tab/>
      </w:r>
      <w:r>
        <w:rPr>
          <w:rFonts w:ascii="Garamond" w:hAnsi="Garamond" w:eastAsia="Garamond"/>
          <w:b/>
          <w:i w:val="0"/>
          <w:color w:val="141B4D"/>
        </w:rPr>
        <w:t>Course Introduction and Legal Due Diligence in Project Finance</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Michelle Chikezie, LLB, LLM</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Orientation to the legal workstream; scope and process of legal due diligence; the project documents lenders' counsel review; conditions precedent.</w:t>
      </w:r>
    </w:p>
    <w:p>
      <w:pPr>
        <w:spacing w:after="20"/>
        <w:ind w:left="2520"/>
      </w:pPr>
      <w:r>
        <w:rPr>
          <w:rFonts w:ascii="Garamond" w:hAnsi="Garamond" w:eastAsia="Garamond"/>
          <w:b/>
          <w:i w:val="0"/>
          <w:color w:val="0B5E82"/>
          <w:sz w:val="21"/>
        </w:rPr>
        <w:t xml:space="preserve">Note:  </w:t>
      </w:r>
      <w:r>
        <w:rPr>
          <w:rFonts w:ascii="Garamond" w:hAnsi="Garamond" w:eastAsia="Garamond"/>
          <w:b w:val="0"/>
          <w:i/>
          <w:sz w:val="21"/>
        </w:rPr>
        <w:t>Yescombe: Ch. 7 (Project Documentation: the contractual framework).</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LBS Contractual Framework for Project Finance (OneDrive: https://d.docs.live.net/72139f47f6570099/Documents/Project%20Finance%20Materials/LBS%20contractual%20framework%20for%20project%20finance.pptx)</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3. Risk Mapping in Project Finance (OneDrive: https://d.docs.live.net/72139f47f6570099/Mastering%20Infrastructure%20Project%20Finance%202023/MIPF%20Bootcamp%202025/Risk_Mapping_in_Project_Finance.pdf)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Argentina Power: Don't Cry for Me Argentina (HBS 5-219-010) and Teaching Note (Harvard case, in class)</w:t>
      </w:r>
    </w:p>
    <w:p>
      <w:pPr>
        <w:keepNext/>
        <w:tabs>
          <w:tab w:pos="2520" w:val="left"/>
        </w:tabs>
        <w:spacing w:before="160" w:after="40"/>
        <w:ind w:left="2520" w:hanging="2520"/>
      </w:pPr>
      <w:r>
        <w:rPr>
          <w:rFonts w:ascii="Garamond" w:hAnsi="Garamond" w:eastAsia="Garamond"/>
          <w:b/>
          <w:i w:val="0"/>
          <w:color w:val="141B4D"/>
        </w:rPr>
        <w:t>10.00 – 11.00 am</w:t>
      </w:r>
      <w:r>
        <w:rPr>
          <w:rFonts w:ascii="Garamond" w:hAnsi="Garamond" w:eastAsia="Garamond"/>
          <w:b w:val="0"/>
          <w:i w:val="0"/>
        </w:rPr>
        <w:tab/>
      </w:r>
      <w:r>
        <w:rPr>
          <w:rFonts w:ascii="Garamond" w:hAnsi="Garamond" w:eastAsia="Garamond"/>
          <w:b/>
          <w:i w:val="0"/>
          <w:color w:val="141B4D"/>
        </w:rPr>
        <w:t>Security Agreements</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Michelle Chikezie, LLB, LLM</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Security packages in limited-recourse lending; security over assets, accounts and contracts; direct agreements and step-in rights; intercreditor arrangements.</w:t>
      </w:r>
    </w:p>
    <w:p>
      <w:pPr>
        <w:spacing w:after="20"/>
        <w:ind w:left="2520"/>
      </w:pPr>
      <w:r>
        <w:rPr>
          <w:rFonts w:ascii="Garamond" w:hAnsi="Garamond" w:eastAsia="Garamond"/>
          <w:b/>
          <w:i w:val="0"/>
          <w:color w:val="0B5E82"/>
          <w:sz w:val="21"/>
        </w:rPr>
        <w:t xml:space="preserve">Note:  </w:t>
      </w:r>
      <w:r>
        <w:rPr>
          <w:rFonts w:ascii="Garamond" w:hAnsi="Garamond" w:eastAsia="Garamond"/>
          <w:b w:val="0"/>
          <w:i/>
          <w:sz w:val="21"/>
        </w:rPr>
        <w:t>Yescombe: Ch. on Security Package and Lenders' Direct Agreements.</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2. Managing the Project Finance Lending Process and Negotiating Credit Enhancements (OneDrive: https://d.docs.live.net/72139f47f6570099/Mastering%20Infrastructure%20Project%20Finance%202023/MIPF%20Bootcamp%202025/Managing_the_Project_Finance_Lending_Process___Negotiating_Credit_Enhancements.pdf)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BP Amoco (A): Policy Statement on the Use of Project Finance (HBS 9-201-054), with (B) and Teaching Note (Harvard case, in class)</w:t>
      </w:r>
    </w:p>
    <w:p>
      <w:pPr>
        <w:keepNext/>
        <w:tabs>
          <w:tab w:pos="2520" w:val="left"/>
        </w:tabs>
        <w:spacing w:before="160" w:after="40"/>
        <w:ind w:left="2520" w:hanging="2520"/>
      </w:pPr>
      <w:r>
        <w:rPr>
          <w:rFonts w:ascii="Garamond" w:hAnsi="Garamond" w:eastAsia="Garamond"/>
          <w:b/>
          <w:i w:val="0"/>
          <w:color w:val="141B4D"/>
        </w:rPr>
        <w:t>11.00 – 11.30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11.30 – 12.45 pm</w:t>
      </w:r>
      <w:r>
        <w:rPr>
          <w:rFonts w:ascii="Garamond" w:hAnsi="Garamond" w:eastAsia="Garamond"/>
          <w:b w:val="0"/>
          <w:i w:val="0"/>
        </w:rPr>
        <w:tab/>
      </w:r>
      <w:r>
        <w:rPr>
          <w:rFonts w:ascii="Garamond" w:hAnsi="Garamond" w:eastAsia="Garamond"/>
          <w:b/>
          <w:i w:val="0"/>
          <w:color w:val="141B4D"/>
        </w:rPr>
        <w:t>Negotiation and Risk Allocation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Michelle Chikezie, LLB, LLM</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How risk is negotiated between sponsor, lenders, contractors and offtakers; contract-by-contract allocation; change in law and force majeure; termination and compensation.</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Risk Mapping in Project Finance (OneDrive: https://d.docs.live.net/72139f47f6570099/Mastering%20Infrastructure%20Project%20Finance%202023/MIPF%20Bootcamp%202025/Risk_Mapping_in_Project_Finance.pdf)</w:t>
      </w:r>
    </w:p>
    <w:p>
      <w:pPr>
        <w:spacing w:after="0"/>
        <w:ind w:left="2880"/>
      </w:pPr>
      <w:r>
        <w:rPr>
          <w:rFonts w:ascii="Garamond" w:hAnsi="Garamond" w:eastAsia="Garamond"/>
          <w:b w:val="0"/>
          <w:i w:val="0"/>
          <w:sz w:val="20"/>
        </w:rPr>
        <w:t>2. Allocating Risks in Public-Private Partnership Contracts (interactive matrices) (Global Infrastructure Hub / World Bank PPP): https://ppp.worldbank.org/node/8649</w:t>
      </w:r>
    </w:p>
    <w:p>
      <w:pPr>
        <w:spacing w:after="0"/>
        <w:ind w:left="2880"/>
      </w:pPr>
      <w:r>
        <w:rPr>
          <w:rFonts w:ascii="Garamond" w:hAnsi="Garamond" w:eastAsia="Garamond"/>
          <w:b w:val="0"/>
          <w:i w:val="0"/>
          <w:sz w:val="20"/>
        </w:rPr>
        <w:t>3. E. R. Yescombe, Principles of Project Finance (OneDrive: https://d.docs.live.net/72139f47f6570099/Mastering%20Infrastructure%20Project%20Finance%202023/Project%20Finance%20Materials/E%20R%20Yescombe%20-%20Principles%20of%20Project%20Finance.pdf)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Argentina Power: Don't Cry for Me Argentina (HBS 5-219-010) and Teaching Note (Harvard case, in class)</w:t>
      </w:r>
    </w:p>
    <w:p>
      <w:pPr>
        <w:spacing w:after="0"/>
        <w:ind w:left="2880"/>
      </w:pPr>
      <w:r>
        <w:rPr>
          <w:rFonts w:ascii="Garamond" w:hAnsi="Garamond" w:eastAsia="Garamond"/>
          <w:b w:val="0"/>
          <w:i w:val="0"/>
          <w:sz w:val="20"/>
        </w:rPr>
        <w:t>2. Chad-Cameroon Petroleum Development and Pipeline Project (HBS 9-202-010), Cases A &amp; B, Teaching Notes and spreadsheet (Harvard case, in class)</w:t>
      </w:r>
    </w:p>
    <w:p>
      <w:pPr>
        <w:keepNext/>
        <w:tabs>
          <w:tab w:pos="2520" w:val="left"/>
        </w:tabs>
        <w:spacing w:before="160" w:after="40"/>
        <w:ind w:left="2520" w:hanging="2520"/>
      </w:pPr>
      <w:r>
        <w:rPr>
          <w:rFonts w:ascii="Garamond" w:hAnsi="Garamond" w:eastAsia="Garamond"/>
          <w:b/>
          <w:i w:val="0"/>
          <w:color w:val="141B4D"/>
        </w:rPr>
        <w:t>12.45 – 02.00 pm</w:t>
      </w:r>
      <w:r>
        <w:rPr>
          <w:rFonts w:ascii="Garamond" w:hAnsi="Garamond" w:eastAsia="Garamond"/>
          <w:b w:val="0"/>
          <w:i w:val="0"/>
        </w:rPr>
        <w:tab/>
      </w:r>
      <w:r>
        <w:rPr>
          <w:rFonts w:ascii="Garamond" w:hAnsi="Garamond" w:eastAsia="Garamond"/>
          <w:b/>
          <w:i w:val="0"/>
          <w:color w:val="141B4D"/>
        </w:rPr>
        <w:t>Representations, Warranties and Covenants</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Michelle Chikezie, LLB, LLM</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Representations and warranties at signing and drawdown; positive, negative and financial covenants; events of default and remedies; renegotiation and restructuring when covenants fail.</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Contract Renegotiation, Revision and Financial Restructuring (OneDrive: https://d.docs.live.net/72139f47f6570099/Mastering%20Infrastructure%20Project%20Finance%202023/MIPF%20Bootcamp%202025/Contract_Renegotiation__Revision___Financial_Restructuring.pdf)</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3. Sample Term Sheet (OneDrive: https://d.docs.live.net/72139f47f6570099/Mastering%20Infrastructure%20Project%20Finance%202023/Project%20Finance%20Materials/Term%20Sheet.docx)</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BP Amoco (A): Policy Statement on the Use of Project Finance (HBS 9-201-054), with (B) and Teaching Note (Harvard case, in class)</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w:t>
      </w:r>
    </w:p>
    <w:p>
      <w:pPr>
        <w:keepNext/>
        <w:tabs>
          <w:tab w:pos="2520" w:val="left"/>
        </w:tabs>
        <w:spacing w:before="160" w:after="40"/>
        <w:ind w:left="2520" w:hanging="2520"/>
      </w:pPr>
      <w:r>
        <w:rPr>
          <w:rFonts w:ascii="Garamond" w:hAnsi="Garamond" w:eastAsia="Garamond"/>
          <w:b/>
          <w:i w:val="0"/>
          <w:color w:val="141B4D"/>
        </w:rPr>
        <w:t>02.45 – 03.30 pm</w:t>
      </w:r>
      <w:r>
        <w:rPr>
          <w:rFonts w:ascii="Garamond" w:hAnsi="Garamond" w:eastAsia="Garamond"/>
          <w:b w:val="0"/>
          <w:i w:val="0"/>
        </w:rPr>
        <w:tab/>
      </w:r>
      <w:r>
        <w:rPr>
          <w:rFonts w:ascii="Garamond" w:hAnsi="Garamond" w:eastAsia="Garamond"/>
          <w:b/>
          <w:i w:val="0"/>
          <w:color w:val="141B4D"/>
        </w:rPr>
        <w:t>Case-Study-Led Group Session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Case-study-led group session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Michelle Chikezie, LLB, LLM</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Groups work a transaction fact pattern: identify the legal risks, the missing protections and the covenant package they would require as lenders' counsel.</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Group deliverable: a one-page legal issues list and a proposed covenant package, presented in plenary.</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Australia-Japan Cable: Structuring the Project Company (Harvard case, in class)</w:t>
      </w:r>
    </w:p>
    <w:p>
      <w:pPr>
        <w:spacing w:after="0"/>
        <w:ind w:left="2880"/>
      </w:pPr>
      <w:r>
        <w:rPr>
          <w:rFonts w:ascii="Garamond" w:hAnsi="Garamond" w:eastAsia="Garamond"/>
          <w:b w:val="0"/>
          <w:i w:val="0"/>
          <w:sz w:val="20"/>
        </w:rPr>
        <w:t>2. Contract Renegotiation, Revision and Financial Restructuring (OneDrive: https://d.docs.live.net/72139f47f6570099/Mastering%20Infrastructure%20Project%20Finance%202023/MIPF%20Bootcamp%202025/Contract_Renegotiation__Revision___Financial_Restructuring.pdf)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Chad-Cameroon Petroleum Development and Pipeline Project (HBS 9-202-010), Cases A &amp; B, Teaching Notes and spreadsheet (Harvard case, in class)</w:t>
      </w:r>
    </w:p>
    <w:p>
      <w:pPr>
        <w:spacing w:after="0"/>
        <w:ind w:left="2880"/>
      </w:pPr>
      <w:r>
        <w:rPr>
          <w:rFonts w:ascii="Garamond" w:hAnsi="Garamond" w:eastAsia="Garamond"/>
          <w:b w:val="0"/>
          <w:i w:val="0"/>
          <w:sz w:val="20"/>
        </w:rPr>
        <w:t>2. Argentina Power: Don't Cry for Me Argentina (HBS 5-219-010) and Teaching Note (Harvard case, in class)</w:t>
      </w:r>
    </w:p>
    <w:p>
      <w:pPr>
        <w:keepNext/>
        <w:tabs>
          <w:tab w:pos="2520" w:val="left"/>
        </w:tabs>
        <w:spacing w:before="160" w:after="40"/>
        <w:ind w:left="2520" w:hanging="2520"/>
      </w:pPr>
      <w:r>
        <w:rPr>
          <w:rFonts w:ascii="Garamond" w:hAnsi="Garamond" w:eastAsia="Garamond"/>
          <w:b/>
          <w:i w:val="0"/>
          <w:color w:val="141B4D"/>
        </w:rPr>
        <w:t>03.30 – 04.30 pm</w:t>
      </w:r>
      <w:r>
        <w:rPr>
          <w:rFonts w:ascii="Garamond" w:hAnsi="Garamond" w:eastAsia="Garamond"/>
          <w:b w:val="0"/>
          <w:i w:val="0"/>
        </w:rPr>
        <w:tab/>
      </w:r>
      <w:r>
        <w:rPr>
          <w:rFonts w:ascii="Garamond" w:hAnsi="Garamond" w:eastAsia="Garamond"/>
          <w:b/>
          <w:i w:val="0"/>
          <w:color w:val="141B4D"/>
        </w:rPr>
        <w:t>Other Project Finance Issues and In-Class Assessment</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In-class assessment</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Michelle Chikezie, LLB, LLM</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Remaining legal topics (regulation, permits, dispute resolution, insurance); recap of the legal module; short in-class assessment.</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In-class assessment on Day 2 content.</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PPP Reference Guide, Version 3 (World Bank Group and partners): https://ppp.worldbank.org/public-private-partnership/library/ppp-reference-guide-3-0-full-version</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Finance Fundamentals of Project and Infrastructure Finance</w:t>
      </w:r>
    </w:p>
    <w:p>
      <w:pPr>
        <w:spacing w:after="120"/>
        <w:jc w:val="center"/>
        <w:pBdr>
          <w:bottom w:val="single" w:sz="12" w:space="1" w:color="D99A2B"/>
        </w:pBdr>
      </w:pPr>
      <w:r>
        <w:rPr>
          <w:rFonts w:ascii="Garamond" w:hAnsi="Garamond" w:eastAsia="Garamond"/>
          <w:b/>
          <w:i w:val="0"/>
          <w:color w:val="A8700F"/>
          <w:sz w:val="26"/>
        </w:rPr>
        <w:t>Day 3  |  Friday 16th October 2026</w:t>
      </w:r>
    </w:p>
    <w:p>
      <w:pPr>
        <w:spacing w:after="160"/>
        <w:jc w:val="both"/>
      </w:pPr>
      <w:r>
        <w:rPr>
          <w:rFonts w:ascii="Garamond" w:hAnsi="Garamond" w:eastAsia="Garamond"/>
          <w:b w:val="0"/>
          <w:i/>
          <w:color w:val="5C6B7A"/>
          <w:sz w:val="21"/>
        </w:rPr>
        <w:t>From project contracts to bankability, capital structure, term loans and syndication; risk allocation viewed through the lender's model; and a first look at the TrainStat start model that anchors the modelling days.</w:t>
      </w:r>
    </w:p>
    <w:p>
      <w:pPr>
        <w:keepNext/>
        <w:tabs>
          <w:tab w:pos="2520" w:val="left"/>
        </w:tabs>
        <w:spacing w:before="160" w:after="40"/>
        <w:ind w:left="2520" w:hanging="2520"/>
      </w:pPr>
      <w:r>
        <w:rPr>
          <w:rFonts w:ascii="Garamond" w:hAnsi="Garamond" w:eastAsia="Garamond"/>
          <w:b/>
          <w:i w:val="0"/>
          <w:color w:val="141B4D"/>
        </w:rPr>
        <w:t>09.00 – 10.30 am</w:t>
      </w:r>
      <w:r>
        <w:rPr>
          <w:rFonts w:ascii="Garamond" w:hAnsi="Garamond" w:eastAsia="Garamond"/>
          <w:b w:val="0"/>
          <w:i w:val="0"/>
        </w:rPr>
        <w:tab/>
      </w:r>
      <w:r>
        <w:rPr>
          <w:rFonts w:ascii="Garamond" w:hAnsi="Garamond" w:eastAsia="Garamond"/>
          <w:b/>
          <w:i w:val="0"/>
          <w:color w:val="141B4D"/>
        </w:rPr>
        <w:t>Introduction to Project Finance: Project Contracts and Bankability</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The contract chain (concession/PPA, EPC, O&amp;M, supply, offtake) and what makes each bankable; value for money and bankability tests.</w:t>
      </w:r>
    </w:p>
    <w:p>
      <w:pPr>
        <w:spacing w:after="20"/>
        <w:ind w:left="2520"/>
      </w:pPr>
      <w:r>
        <w:rPr>
          <w:rFonts w:ascii="Garamond" w:hAnsi="Garamond" w:eastAsia="Garamond"/>
          <w:b/>
          <w:i w:val="0"/>
          <w:color w:val="0B5E82"/>
          <w:sz w:val="21"/>
        </w:rPr>
        <w:t xml:space="preserve">Note:  </w:t>
      </w:r>
      <w:r>
        <w:rPr>
          <w:rFonts w:ascii="Garamond" w:hAnsi="Garamond" w:eastAsia="Garamond"/>
          <w:b w:val="0"/>
          <w:i/>
          <w:sz w:val="21"/>
        </w:rPr>
        <w:t>Yescombe: Ch. 2 (What is project finance?) and the chapter on Commercial Risks.</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LBS Contractual Framework for Project Finance (OneDrive: https://d.docs.live.net/72139f47f6570099/Documents/Project%20Finance%20Materials/LBS%20contractual%20framework%20for%20project%20finance.pptx)</w:t>
      </w:r>
    </w:p>
    <w:p>
      <w:pPr>
        <w:spacing w:after="0"/>
        <w:ind w:left="2880"/>
      </w:pPr>
      <w:r>
        <w:rPr>
          <w:rFonts w:ascii="Garamond" w:hAnsi="Garamond" w:eastAsia="Garamond"/>
          <w:b w:val="0"/>
          <w:i w:val="0"/>
          <w:sz w:val="20"/>
        </w:rPr>
        <w:t>2. Overview of Project Finance (Esty, 2014) (OneDrive: https://d.docs.live.net/72139f47f6570099/Documents/Project%20Finance%20Materials/Overview%20of%20Project%20Finance%20-%20Esty%202014.pdf)</w:t>
      </w:r>
    </w:p>
    <w:p>
      <w:pPr>
        <w:spacing w:after="0"/>
        <w:ind w:left="2880"/>
      </w:pPr>
      <w:r>
        <w:rPr>
          <w:rFonts w:ascii="Garamond" w:hAnsi="Garamond" w:eastAsia="Garamond"/>
          <w:b w:val="0"/>
          <w:i w:val="0"/>
          <w:sz w:val="20"/>
        </w:rPr>
        <w:t>3. E. R. Yescombe, Principles of Project Finance (OneDrive: https://d.docs.live.net/72139f47f6570099/Mastering%20Infrastructure%20Project%20Finance%202023/Project%20Finance%20Materials/E%20R%20Yescombe%20-%20Principles%20of%20Project%20Finance.pdf)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BP Amoco (A): Policy Statement on the Use of Project Finance (HBS 9-201-054), with (B) and Teaching Note (Harvard case, in class)</w:t>
      </w:r>
    </w:p>
    <w:p>
      <w:pPr>
        <w:spacing w:after="0"/>
        <w:ind w:left="2880"/>
      </w:pPr>
      <w:r>
        <w:rPr>
          <w:rFonts w:ascii="Garamond" w:hAnsi="Garamond" w:eastAsia="Garamond"/>
          <w:b w:val="0"/>
          <w:i w:val="0"/>
          <w:sz w:val="20"/>
        </w:rPr>
        <w:t>2. Chad-Cameroon Petroleum Development and Pipeline Project (HBS 9-202-010), Cases A &amp; B, Teaching Notes and spreadsheet (Harvard case, in class)</w:t>
      </w:r>
    </w:p>
    <w:p>
      <w:pPr>
        <w:keepNext/>
        <w:tabs>
          <w:tab w:pos="2520" w:val="left"/>
        </w:tabs>
        <w:spacing w:before="160" w:after="40"/>
        <w:ind w:left="2520" w:hanging="2520"/>
      </w:pPr>
      <w:r>
        <w:rPr>
          <w:rFonts w:ascii="Garamond" w:hAnsi="Garamond" w:eastAsia="Garamond"/>
          <w:b/>
          <w:i w:val="0"/>
          <w:color w:val="141B4D"/>
        </w:rPr>
        <w:t>10.30 – 11.00 am</w:t>
      </w:r>
      <w:r>
        <w:rPr>
          <w:rFonts w:ascii="Garamond" w:hAnsi="Garamond" w:eastAsia="Garamond"/>
          <w:b w:val="0"/>
          <w:i w:val="0"/>
        </w:rPr>
        <w:tab/>
      </w:r>
      <w:r>
        <w:rPr>
          <w:rFonts w:ascii="Garamond" w:hAnsi="Garamond" w:eastAsia="Garamond"/>
          <w:b/>
          <w:i w:val="0"/>
          <w:color w:val="141B4D"/>
        </w:rPr>
        <w:t>Project Capital Structure</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Debt-to-equity, sources and layers, cost of each layer, and how structure drives returns and DSCR.</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Sources of Finance for PPP Project Finance (OneDrive: https://d.docs.live.net/72139f47f6570099/Mastering%20Infrastructure%20Project%20Finance%202023/Project%20Finance%20Materials/PPP/Sources%20of%20Finance%20for%20PPP%20Project%20Finance.pptx)</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3. InfraCredit: financial guarantee for local-currency infrastructure debt (InfraCredit Nigeria): https://infracredit.ng/our-products/our-financial-guarantee</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Overview of Project Finance (Esty, 2014) (OneDrive: https://d.docs.live.net/72139f47f6570099/Documents/Project%20Finance%20Materials/Overview%20of%20Project%20Finance%20-%20Esty%202014.pdf)</w:t>
      </w:r>
    </w:p>
    <w:p>
      <w:pPr>
        <w:keepNext/>
        <w:tabs>
          <w:tab w:pos="2520" w:val="left"/>
        </w:tabs>
        <w:spacing w:before="160" w:after="40"/>
        <w:ind w:left="2520" w:hanging="2520"/>
      </w:pPr>
      <w:r>
        <w:rPr>
          <w:rFonts w:ascii="Garamond" w:hAnsi="Garamond" w:eastAsia="Garamond"/>
          <w:b/>
          <w:i w:val="0"/>
          <w:color w:val="141B4D"/>
        </w:rPr>
        <w:t>11.00 – 11.30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11.30 – 02.00 pm</w:t>
      </w:r>
      <w:r>
        <w:rPr>
          <w:rFonts w:ascii="Garamond" w:hAnsi="Garamond" w:eastAsia="Garamond"/>
          <w:b w:val="0"/>
          <w:i w:val="0"/>
        </w:rPr>
        <w:tab/>
      </w:r>
      <w:r>
        <w:rPr>
          <w:rFonts w:ascii="Garamond" w:hAnsi="Garamond" w:eastAsia="Garamond"/>
          <w:b/>
          <w:i w:val="0"/>
          <w:color w:val="141B4D"/>
        </w:rPr>
        <w:t>Project Finance Term Loans and Syndication in Project Finance</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Term-loan mechanics: tenor, grace, repayment profiles, margins and fees, covenants; arranging and syndicating a project loan; roles of mandated lead arrangers, agents and DFIs.</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compare the three senior-debt repayment profiles (7.5, 10 and 15 years) on a simple annuity and a sculpted basis using Exercises.xlsx.</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Debt, InpS</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Loan Syndication (note) (OneDrive: https://d.docs.live.net/72139f47f6570099/Mastering%20Infrastructure%20Project%20Finance%202023/Project%20Finance%20Materials/loan%20syndication.pdf)</w:t>
      </w:r>
    </w:p>
    <w:p>
      <w:pPr>
        <w:spacing w:after="0"/>
        <w:ind w:left="2880"/>
      </w:pPr>
      <w:r>
        <w:rPr>
          <w:rFonts w:ascii="Garamond" w:hAnsi="Garamond" w:eastAsia="Garamond"/>
          <w:b w:val="0"/>
          <w:i w:val="0"/>
          <w:sz w:val="20"/>
        </w:rPr>
        <w:t>2. Managing the Project Finance Lending Process and Negotiating Credit Enhancements (OneDrive: https://d.docs.live.net/72139f47f6570099/Mastering%20Infrastructure%20Project%20Finance%202023/MIPF%20Bootcamp%202025/Managing_the_Project_Finance_Lending_Process___Negotiating_Credit_Enhancements.pdf)</w:t>
      </w:r>
    </w:p>
    <w:p>
      <w:pPr>
        <w:spacing w:after="0"/>
        <w:ind w:left="2880"/>
      </w:pPr>
      <w:r>
        <w:rPr>
          <w:rFonts w:ascii="Garamond" w:hAnsi="Garamond" w:eastAsia="Garamond"/>
          <w:b w:val="0"/>
          <w:i w:val="0"/>
          <w:sz w:val="20"/>
        </w:rPr>
        <w:t>3. Sample Term Sheet (OneDrive: https://d.docs.live.net/72139f47f6570099/Mastering%20Infrastructure%20Project%20Finance%202023/Project%20Finance%20Materials/Term%20Sheet.docx)</w:t>
      </w:r>
    </w:p>
    <w:p>
      <w:pPr>
        <w:spacing w:after="0"/>
        <w:ind w:left="2880"/>
      </w:pPr>
      <w:r>
        <w:rPr>
          <w:rFonts w:ascii="Garamond" w:hAnsi="Garamond" w:eastAsia="Garamond"/>
          <w:b w:val="0"/>
          <w:i w:val="0"/>
          <w:sz w:val="20"/>
        </w:rPr>
        <w:t>4. Exercises.xlsx; Exercise 14: Debt Sculpting; IRR and MIRR workbooks (OneDrive: https://d.docs.live.net/72139f47f6570099/Documents/Project%20Finance%20Materials/Exercises.xlsx; https://d.docs.live.net/72139f47f6570099/Documents/Project%20Finance%20Materials/Exercise%2014%20-%20Debt%20Sculpting.xls; https://d.docs.live.net/72139f47f6570099/Documents/Project%20Finance%20Materials/IRR.xlsx; https://d.docs.live.net/72139f47f6570099/Documents/Project%20Finance%20Materials/MIRR.xlsx)</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Chad-Cameroon Petroleum Development and Pipeline Project (HBS 9-202-010), Cases A &amp; B, Teaching Notes and spreadsheet (Harvard case, in class)</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w:t>
      </w:r>
    </w:p>
    <w:p>
      <w:pPr>
        <w:keepNext/>
        <w:tabs>
          <w:tab w:pos="2520" w:val="left"/>
        </w:tabs>
        <w:spacing w:before="160" w:after="40"/>
        <w:ind w:left="2520" w:hanging="2520"/>
      </w:pPr>
      <w:r>
        <w:rPr>
          <w:rFonts w:ascii="Garamond" w:hAnsi="Garamond" w:eastAsia="Garamond"/>
          <w:b/>
          <w:i w:val="0"/>
          <w:color w:val="141B4D"/>
        </w:rPr>
        <w:t>02.45 – 04.30 pm</w:t>
      </w:r>
      <w:r>
        <w:rPr>
          <w:rFonts w:ascii="Garamond" w:hAnsi="Garamond" w:eastAsia="Garamond"/>
          <w:b w:val="0"/>
          <w:i w:val="0"/>
        </w:rPr>
        <w:tab/>
      </w:r>
      <w:r>
        <w:rPr>
          <w:rFonts w:ascii="Garamond" w:hAnsi="Garamond" w:eastAsia="Garamond"/>
          <w:b/>
          <w:i w:val="0"/>
          <w:color w:val="141B4D"/>
        </w:rPr>
        <w:t>Need for Appropriate Risk Allocation; General Risks and Mitigants; Project Finance Risks</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Discussion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Why allocation drives financing terms; a catalogue of risks and mitigants across construction, operation, market, finance, political and force majeure; reading risk into the cash-flow model.</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map TrainStat's risks (demand, fare, O&amp;M cost, interest rate, capex timing) to the model inputs that carry them.</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InpC, InpS</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Risk Mapping in Project Finance (OneDrive: https://d.docs.live.net/72139f47f6570099/Mastering%20Infrastructure%20Project%20Finance%202023/MIPF%20Bootcamp%202025/Risk_Mapping_in_Project_Finance.pdf)</w:t>
      </w:r>
    </w:p>
    <w:p>
      <w:pPr>
        <w:spacing w:after="0"/>
        <w:ind w:left="2880"/>
      </w:pPr>
      <w:r>
        <w:rPr>
          <w:rFonts w:ascii="Garamond" w:hAnsi="Garamond" w:eastAsia="Garamond"/>
          <w:b w:val="0"/>
          <w:i w:val="0"/>
          <w:sz w:val="20"/>
        </w:rPr>
        <w:t>2. Allocating Risks in Public-Private Partnership Contracts (interactive matrices) (Global Infrastructure Hub / World Bank PPP): https://ppp.worldbank.org/node/8649</w:t>
      </w:r>
    </w:p>
    <w:p>
      <w:pPr>
        <w:spacing w:after="0"/>
        <w:ind w:left="2880"/>
      </w:pPr>
      <w:r>
        <w:rPr>
          <w:rFonts w:ascii="Garamond" w:hAnsi="Garamond" w:eastAsia="Garamond"/>
          <w:b w:val="0"/>
          <w:i w:val="0"/>
          <w:sz w:val="20"/>
        </w:rPr>
        <w:t>3. E. R. Yescombe, Principles of Project Finance (OneDrive: https://d.docs.live.net/72139f47f6570099/Mastering%20Infrastructure%20Project%20Finance%202023/Project%20Finance%20Materials/E%20R%20Yescombe%20-%20Principles%20of%20Project%20Finance.pdf)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Argentina Power: Don't Cry for Me Argentina (HBS 5-219-010) and Teaching Note (Harvard case, in class)</w:t>
      </w:r>
    </w:p>
    <w:p>
      <w:pPr>
        <w:spacing w:after="0"/>
        <w:ind w:left="2880"/>
      </w:pPr>
      <w:r>
        <w:rPr>
          <w:rFonts w:ascii="Garamond" w:hAnsi="Garamond" w:eastAsia="Garamond"/>
          <w:b w:val="0"/>
          <w:i w:val="0"/>
          <w:sz w:val="20"/>
        </w:rPr>
        <w:t>2. BP Amoco (A): Policy Statement on the Use of Project Finance (HBS 9-201-054), with (B) and Teaching Note (Harvard case, in class)</w:t>
      </w:r>
    </w:p>
    <w:p>
      <w:pPr>
        <w:keepNext/>
        <w:tabs>
          <w:tab w:pos="2520" w:val="left"/>
        </w:tabs>
        <w:spacing w:before="160" w:after="40"/>
        <w:ind w:left="2520" w:hanging="2520"/>
      </w:pPr>
      <w:r>
        <w:rPr>
          <w:rFonts w:ascii="Garamond" w:hAnsi="Garamond" w:eastAsia="Garamond"/>
          <w:b/>
          <w:i w:val="0"/>
          <w:color w:val="141B4D"/>
        </w:rPr>
        <w:t>04.30 – 05.00 pm</w:t>
      </w:r>
      <w:r>
        <w:rPr>
          <w:rFonts w:ascii="Garamond" w:hAnsi="Garamond" w:eastAsia="Garamond"/>
          <w:b w:val="0"/>
          <w:i w:val="0"/>
        </w:rPr>
        <w:tab/>
      </w:r>
      <w:r>
        <w:rPr>
          <w:rFonts w:ascii="Garamond" w:hAnsi="Garamond" w:eastAsia="Garamond"/>
          <w:b/>
          <w:i w:val="0"/>
          <w:color w:val="141B4D"/>
        </w:rPr>
        <w:t>Financial Modelling in Project Finance: Preview of the TrainStat Start Model</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Demonstration</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Tour of the start model: workbook map, colour conventions, the scenario switch and the Track sheet. Set-up check so every laptop is ready for Day 4.</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InpC, InpS, Time, Track</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The FAST Standard (Flexible, Appropriate, Structured, Transparent) for financial modelling (FAST Standard Organisation): https://www.fast-standard.org</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Financial Modelling for Projects I: The Operating Model</w:t>
      </w:r>
    </w:p>
    <w:p>
      <w:pPr>
        <w:spacing w:after="120"/>
        <w:jc w:val="center"/>
        <w:pBdr>
          <w:bottom w:val="single" w:sz="12" w:space="1" w:color="D99A2B"/>
        </w:pBdr>
      </w:pPr>
      <w:r>
        <w:rPr>
          <w:rFonts w:ascii="Garamond" w:hAnsi="Garamond" w:eastAsia="Garamond"/>
          <w:b/>
          <w:i w:val="0"/>
          <w:color w:val="A8700F"/>
          <w:sz w:val="26"/>
        </w:rPr>
        <w:t>Day 4  |  Monday 19th October 2026</w:t>
      </w:r>
    </w:p>
    <w:p>
      <w:pPr>
        <w:spacing w:after="160"/>
        <w:jc w:val="both"/>
      </w:pPr>
      <w:r>
        <w:rPr>
          <w:rFonts w:ascii="Garamond" w:hAnsi="Garamond" w:eastAsia="Garamond"/>
          <w:b w:val="0"/>
          <w:i/>
          <w:color w:val="5C6B7A"/>
          <w:sz w:val="21"/>
        </w:rPr>
        <w:t>Hands-on in Excel with the TrainStat start model: a 20-year, quarterly model of an international and domestic train service. Today: orientation, the financial statements, revenue, operating cost and tax. (Day 4 follows the weekend rest: Saturday 17th and Sunday 18th October are rest days.)</w:t>
      </w:r>
    </w:p>
    <w:p>
      <w:pPr>
        <w:keepNext/>
        <w:tabs>
          <w:tab w:pos="2520" w:val="left"/>
        </w:tabs>
        <w:spacing w:before="160" w:after="40"/>
        <w:ind w:left="2520" w:hanging="2520"/>
      </w:pPr>
      <w:r>
        <w:rPr>
          <w:rFonts w:ascii="Garamond" w:hAnsi="Garamond" w:eastAsia="Garamond"/>
          <w:b/>
          <w:i w:val="0"/>
          <w:color w:val="141B4D"/>
        </w:rPr>
        <w:t>09.00 – 10.00 am</w:t>
      </w:r>
      <w:r>
        <w:rPr>
          <w:rFonts w:ascii="Garamond" w:hAnsi="Garamond" w:eastAsia="Garamond"/>
          <w:b w:val="0"/>
          <w:i w:val="0"/>
        </w:rPr>
        <w:tab/>
      </w:r>
      <w:r>
        <w:rPr>
          <w:rFonts w:ascii="Garamond" w:hAnsi="Garamond" w:eastAsia="Garamond"/>
          <w:b/>
          <w:i w:val="0"/>
          <w:color w:val="141B4D"/>
        </w:rPr>
        <w:t>Introduction to Financial Modelling for Projects; Understanding the Start Model; Review of the Case Study</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Modelling standards (inputs, workings, outputs, checks; one formula per row); the start model's structure and timeline; the TrainStat case.</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4.1: trace the timeline. Set the first date, forecast length and months per period in InpC; follow the Time sheet and confirm the period counters and flags.</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InpC, InpS, Time, Esc, Track</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The FAST Standard (Flexible, Appropriate, Structured, Transparent) for financial modelling (FAST Standard Organisation): https://www.fast-standard.org</w:t>
      </w:r>
    </w:p>
    <w:p>
      <w:pPr>
        <w:spacing w:after="0"/>
        <w:ind w:left="2880"/>
      </w:pPr>
      <w:r>
        <w:rPr>
          <w:rFonts w:ascii="Garamond" w:hAnsi="Garamond" w:eastAsia="Garamond"/>
          <w:b w:val="0"/>
          <w:i w:val="0"/>
          <w:sz w:val="20"/>
        </w:rPr>
        <w:t>3. E. Bodmer, Corporate and Project Finance Modeling (OneDrive: https://d.docs.live.net/72139f47f6570099/Mastering%20Infrastructure%20Project%20Finance%202023/Project%20Finance%20Materials/Corporate%20and%20Project%20Finance%20Modeling%20Ed%20Bodimer.pdf)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The City of Bogoma: Case Study and Bogoma Model Spreadsheet (OneDrive: https://d.docs.live.net/72139f47f6570099/Mastering%20Infrastructure%20Project%20Finance%202023/Project%20Finance%20Materials/Bogoma%20Model%20Spreadsheet.xlsx; https://d.docs.live.net/72139f47f6570099/Mastering%20Infrastructure%20Project%20Finance%202023/Project%20Finance%20Materials/The%20City%20of%20Bogoma%20-%20Case%20Study%20%281%29.doc)</w:t>
      </w:r>
    </w:p>
    <w:p>
      <w:pPr>
        <w:keepNext/>
        <w:tabs>
          <w:tab w:pos="2520" w:val="left"/>
        </w:tabs>
        <w:spacing w:before="160" w:after="40"/>
        <w:ind w:left="2520" w:hanging="2520"/>
      </w:pPr>
      <w:r>
        <w:rPr>
          <w:rFonts w:ascii="Garamond" w:hAnsi="Garamond" w:eastAsia="Garamond"/>
          <w:b/>
          <w:i w:val="0"/>
          <w:color w:val="141B4D"/>
        </w:rPr>
        <w:t>10.00 – 10.30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10.30 – 02.00 pm</w:t>
      </w:r>
      <w:r>
        <w:rPr>
          <w:rFonts w:ascii="Garamond" w:hAnsi="Garamond" w:eastAsia="Garamond"/>
          <w:b w:val="0"/>
          <w:i w:val="0"/>
        </w:rPr>
        <w:tab/>
      </w:r>
      <w:r>
        <w:rPr>
          <w:rFonts w:ascii="Garamond" w:hAnsi="Garamond" w:eastAsia="Garamond"/>
          <w:b/>
          <w:i w:val="0"/>
          <w:color w:val="141B4D"/>
        </w:rPr>
        <w:t>Linking the Financial Statements; Revenue Modelling</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How inputs flow through the operating sheets into FinStat (income statement, cash flow cascade, balance sheet) and the model checks. Revenue: demand forecast from trains, arrivals per train, seats and occupancy; average fare; escalation; receivable days and cash received.</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4.2: rebuild OpRev from the inputs, one row at a time, then change the scenario switch and explain the revenue movement. Exercise 4.3: trace one revenue dollar from OpRev to the cash received line and the receivables balance.</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OpRev, FinStat, InpS, Esc</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E. Bodmer, Corporate and Project Finance Modeling (OneDrive: https://d.docs.live.net/72139f47f6570099/Mastering%20Infrastructure%20Project%20Finance%202023/Project%20Finance%20Materials/Corporate%20and%20Project%20Finance%20Modeling%20Ed%20Bodimer.pdf)</w:t>
      </w:r>
    </w:p>
    <w:p>
      <w:pPr>
        <w:spacing w:after="0"/>
        <w:ind w:left="2880"/>
      </w:pPr>
      <w:r>
        <w:rPr>
          <w:rFonts w:ascii="Garamond" w:hAnsi="Garamond" w:eastAsia="Garamond"/>
          <w:b w:val="0"/>
          <w:i w:val="0"/>
          <w:sz w:val="20"/>
        </w:rPr>
        <w:t>3. P. Pignataro, Financial Modeling and Valuation (OneDrive: https://d.docs.live.net/72139f47f6570099/Mastering%20Infrastructure%20Project%20Finance%202023/Project%20Finance%20Materials/paul-pignataro-financial-modeling-and-valuation-investment-banking_compressed.pdf)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The City of Bogoma: Case Study and Bogoma Model Spreadsheet (OneDrive: https://d.docs.live.net/72139f47f6570099/Mastering%20Infrastructure%20Project%20Finance%202023/Project%20Finance%20Materials/Bogoma%20Model%20Spreadsheet.xlsx; https://d.docs.live.net/72139f47f6570099/Mastering%20Infrastructure%20Project%20Finance%202023/Project%20Finance%20Materials/The%20City%20of%20Bogoma%20-%20Case%20Study%20%281%29.doc)</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w:t>
      </w:r>
    </w:p>
    <w:p>
      <w:pPr>
        <w:keepNext/>
        <w:tabs>
          <w:tab w:pos="2520" w:val="left"/>
        </w:tabs>
        <w:spacing w:before="160" w:after="40"/>
        <w:ind w:left="2520" w:hanging="2520"/>
      </w:pPr>
      <w:r>
        <w:rPr>
          <w:rFonts w:ascii="Garamond" w:hAnsi="Garamond" w:eastAsia="Garamond"/>
          <w:b/>
          <w:i w:val="0"/>
          <w:color w:val="141B4D"/>
        </w:rPr>
        <w:t>02.45 – 05.00 pm</w:t>
      </w:r>
      <w:r>
        <w:rPr>
          <w:rFonts w:ascii="Garamond" w:hAnsi="Garamond" w:eastAsia="Garamond"/>
          <w:b w:val="0"/>
          <w:i w:val="0"/>
        </w:rPr>
        <w:tab/>
      </w:r>
      <w:r>
        <w:rPr>
          <w:rFonts w:ascii="Garamond" w:hAnsi="Garamond" w:eastAsia="Garamond"/>
          <w:b/>
          <w:i w:val="0"/>
          <w:color w:val="141B4D"/>
        </w:rPr>
        <w:t>Operating Cost Modelling; Financial Statement Modelling: Tax</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Operating cost: fixed and variable handling cost per arrival, fixed O&amp;M, the O&amp;M sensitivity input, escalation, payable days. Tax: tax depreciation on a written-down-value basis, corporation tax, tax paid versus tax expense, deferred tax.</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4.4: build OpCost and the payables balance. Exercise 4.5: build the Tax sheet and reconcile tax paid to tax expense through the deferred tax balance.</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OpCost, Tax, FinStat</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E. Bodmer, Corporate and Project Finance Modeling (OneDrive: https://d.docs.live.net/72139f47f6570099/Mastering%20Infrastructure%20Project%20Finance%202023/Project%20Finance%20Materials/Corporate%20and%20Project%20Finance%20Modeling%20Ed%20Bodimer.pdf)</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Financial Modelling for Projects II: Balance Sheet, Funding and Valuation</w:t>
      </w:r>
    </w:p>
    <w:p>
      <w:pPr>
        <w:spacing w:after="120"/>
        <w:jc w:val="center"/>
        <w:pBdr>
          <w:bottom w:val="single" w:sz="12" w:space="1" w:color="D99A2B"/>
        </w:pBdr>
      </w:pPr>
      <w:r>
        <w:rPr>
          <w:rFonts w:ascii="Garamond" w:hAnsi="Garamond" w:eastAsia="Garamond"/>
          <w:b/>
          <w:i w:val="0"/>
          <w:color w:val="A8700F"/>
          <w:sz w:val="26"/>
        </w:rPr>
        <w:t>Day 5  |  Tuesday 20th October 2026</w:t>
      </w:r>
    </w:p>
    <w:p>
      <w:pPr>
        <w:spacing w:after="160"/>
        <w:jc w:val="both"/>
      </w:pPr>
      <w:r>
        <w:rPr>
          <w:rFonts w:ascii="Garamond" w:hAnsi="Garamond" w:eastAsia="Garamond"/>
          <w:b w:val="0"/>
          <w:i/>
          <w:color w:val="5C6B7A"/>
          <w:sz w:val="21"/>
        </w:rPr>
        <w:t>Completing the three-statement start model: non-current assets, working capital, equity and debt; then scenarios, sensitivities, ratios and valuation, closing with a model review against the guide.</w:t>
      </w:r>
    </w:p>
    <w:p>
      <w:pPr>
        <w:keepNext/>
        <w:tabs>
          <w:tab w:pos="2520" w:val="left"/>
        </w:tabs>
        <w:spacing w:before="160" w:after="40"/>
        <w:ind w:left="2520" w:hanging="2520"/>
      </w:pPr>
      <w:r>
        <w:rPr>
          <w:rFonts w:ascii="Garamond" w:hAnsi="Garamond" w:eastAsia="Garamond"/>
          <w:b/>
          <w:i w:val="0"/>
          <w:color w:val="141B4D"/>
        </w:rPr>
        <w:t>09.00 – 10.00 am</w:t>
      </w:r>
      <w:r>
        <w:rPr>
          <w:rFonts w:ascii="Garamond" w:hAnsi="Garamond" w:eastAsia="Garamond"/>
          <w:b w:val="0"/>
          <w:i w:val="0"/>
        </w:rPr>
        <w:tab/>
      </w:r>
      <w:r>
        <w:rPr>
          <w:rFonts w:ascii="Garamond" w:hAnsi="Garamond" w:eastAsia="Garamond"/>
          <w:b/>
          <w:i w:val="0"/>
          <w:color w:val="141B4D"/>
        </w:rPr>
        <w:t>Modelling Non-Current Assets and Working Capital</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Opening non-current asset balance and useful life; capex by date and its depreciation; the NCA balance roll-forward; receivables and payables as working capital.</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5.1: build the NCA sheet: initial balance depreciation, capex depreciation, closing balance. Exercise 5.2: reconcile working capital to the cash flow cascade.</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NCA, OpRev, OpCost, FinStat</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E. Bodmer, Corporate and Project Finance Modeling (OneDrive: https://d.docs.live.net/72139f47f6570099/Mastering%20Infrastructure%20Project%20Finance%202023/Project%20Finance%20Materials/Corporate%20and%20Project%20Finance%20Modeling%20Ed%20Bodimer.pdf)</w:t>
      </w:r>
    </w:p>
    <w:p>
      <w:pPr>
        <w:keepNext/>
        <w:tabs>
          <w:tab w:pos="2520" w:val="left"/>
        </w:tabs>
        <w:spacing w:before="160" w:after="40"/>
        <w:ind w:left="2520" w:hanging="2520"/>
      </w:pPr>
      <w:r>
        <w:rPr>
          <w:rFonts w:ascii="Garamond" w:hAnsi="Garamond" w:eastAsia="Garamond"/>
          <w:b/>
          <w:i w:val="0"/>
          <w:color w:val="141B4D"/>
        </w:rPr>
        <w:t>10.00 – 10.30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10.30 – 02.00 pm</w:t>
      </w:r>
      <w:r>
        <w:rPr>
          <w:rFonts w:ascii="Garamond" w:hAnsi="Garamond" w:eastAsia="Garamond"/>
          <w:b w:val="0"/>
          <w:i w:val="0"/>
        </w:rPr>
        <w:tab/>
      </w:r>
      <w:r>
        <w:rPr>
          <w:rFonts w:ascii="Garamond" w:hAnsi="Garamond" w:eastAsia="Garamond"/>
          <w:b/>
          <w:i w:val="0"/>
          <w:color w:val="141B4D"/>
        </w:rPr>
        <w:t>Modelling Equity and Debt; Scenario Analysis</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Equity: share capital, redemption, dividends, retained cash and earnings. Debt: senior debt as a share of non-current assets, repayment profile selection (7.5, 10, 15 years), interest on a day-count basis. Scenarios: the scenario switch and name, storing and comparing runs on Track.</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5.3: build Equity and Debt; get the balance sheet check to zero. Exercise 5.4: run all scenarios and log the results on Track.</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Equity, Debt, InpC, InpS, Track, FinStat</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E. Bodmer, Corporate and Project Finance Modeling (OneDrive: https://d.docs.live.net/72139f47f6570099/Mastering%20Infrastructure%20Project%20Finance%202023/Project%20Finance%20Materials/Corporate%20and%20Project%20Finance%20Modeling%20Ed%20Bodimer.pdf)</w:t>
      </w:r>
    </w:p>
    <w:p>
      <w:pPr>
        <w:spacing w:after="0"/>
        <w:ind w:left="2880"/>
      </w:pPr>
      <w:r>
        <w:rPr>
          <w:rFonts w:ascii="Garamond" w:hAnsi="Garamond" w:eastAsia="Garamond"/>
          <w:b w:val="0"/>
          <w:i w:val="0"/>
          <w:sz w:val="20"/>
        </w:rPr>
        <w:t>3. What is the Debt Service Coverage Ratio (DSCR) in project finance? (Forvis Mazars Financial Modelling): https://financialmodelling.forvismazars.com/resources/debt-service-coverage-ratio-dscr/</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w:t>
      </w:r>
    </w:p>
    <w:p>
      <w:pPr>
        <w:keepNext/>
        <w:tabs>
          <w:tab w:pos="2520" w:val="left"/>
        </w:tabs>
        <w:spacing w:before="160" w:after="40"/>
        <w:ind w:left="2520" w:hanging="2520"/>
      </w:pPr>
      <w:r>
        <w:rPr>
          <w:rFonts w:ascii="Garamond" w:hAnsi="Garamond" w:eastAsia="Garamond"/>
          <w:b/>
          <w:i w:val="0"/>
          <w:color w:val="141B4D"/>
        </w:rPr>
        <w:t>02.45 – 05.00 pm</w:t>
      </w:r>
      <w:r>
        <w:rPr>
          <w:rFonts w:ascii="Garamond" w:hAnsi="Garamond" w:eastAsia="Garamond"/>
          <w:b w:val="0"/>
          <w:i w:val="0"/>
        </w:rPr>
        <w:tab/>
      </w:r>
      <w:r>
        <w:rPr>
          <w:rFonts w:ascii="Garamond" w:hAnsi="Garamond" w:eastAsia="Garamond"/>
          <w:b/>
          <w:i w:val="0"/>
          <w:color w:val="141B4D"/>
        </w:rPr>
        <w:t>Sensitivity and Ratio Analysis; Valuation; Model Guide and Review</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Sensitivities on fare, occupancy, O&amp;M and interest rate; credit and return ratios; shareholder cash flow, NPV and IRR against the required return; payback. Closing review of the model against a model guide.</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5.5: one-at-a-time sensitivity table on equity IRR. Exercise 5.6: peer review: swap models and run the check list.</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Val, FinStat, Track, InpC</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P. Pignataro, Financial Modeling and Valuation (OneDrive: https://d.docs.live.net/72139f47f6570099/Mastering%20Infrastructure%20Project%20Finance%202023/Project%20Finance%20Materials/paul-pignataro-financial-modeling-and-valuation-investment-banking_compressed.pdf)</w:t>
      </w:r>
    </w:p>
    <w:p>
      <w:pPr>
        <w:spacing w:after="0"/>
        <w:ind w:left="2880"/>
      </w:pPr>
      <w:r>
        <w:rPr>
          <w:rFonts w:ascii="Garamond" w:hAnsi="Garamond" w:eastAsia="Garamond"/>
          <w:b w:val="0"/>
          <w:i w:val="0"/>
          <w:sz w:val="20"/>
        </w:rPr>
        <w:t>3. The FAST Standard (Flexible, Appropriate, Structured, Transparent) for financial modelling (FAST Standard Organisation): https://www.fast-standard.org</w:t>
      </w:r>
    </w:p>
    <w:p>
      <w:pPr>
        <w:spacing w:after="0"/>
        <w:ind w:left="2880"/>
      </w:pPr>
      <w:r>
        <w:rPr>
          <w:rFonts w:ascii="Garamond" w:hAnsi="Garamond" w:eastAsia="Garamond"/>
          <w:b w:val="0"/>
          <w:i w:val="0"/>
          <w:sz w:val="20"/>
        </w:rPr>
        <w:t>4. Exercises.xlsx; Exercise 14: Debt Sculpting; IRR and MIRR workbooks (OneDrive: https://d.docs.live.net/72139f47f6570099/Documents/Project%20Finance%20Materials/Exercises.xlsx; https://d.docs.live.net/72139f47f6570099/Documents/Project%20Finance%20Materials/Exercise%2014%20-%20Debt%20Sculpting.xls; https://d.docs.live.net/72139f47f6570099/Documents/Project%20Finance%20Materials/IRR.xlsx; https://d.docs.live.net/72139f47f6570099/Documents/Project%20Finance%20Materials/MIRR.xlsx)</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Project and Infrastructure Finance Modelling I: Construction and Funding</w:t>
      </w:r>
    </w:p>
    <w:p>
      <w:pPr>
        <w:spacing w:after="120"/>
        <w:jc w:val="center"/>
        <w:pBdr>
          <w:bottom w:val="single" w:sz="12" w:space="1" w:color="D99A2B"/>
        </w:pBdr>
      </w:pPr>
      <w:r>
        <w:rPr>
          <w:rFonts w:ascii="Garamond" w:hAnsi="Garamond" w:eastAsia="Garamond"/>
          <w:b/>
          <w:i w:val="0"/>
          <w:color w:val="A8700F"/>
          <w:sz w:val="26"/>
        </w:rPr>
        <w:t>Day 6  |  Wednesday 21st October 2026</w:t>
      </w:r>
    </w:p>
    <w:p>
      <w:pPr>
        <w:spacing w:after="160"/>
        <w:jc w:val="both"/>
      </w:pPr>
      <w:r>
        <w:rPr>
          <w:rFonts w:ascii="Garamond" w:hAnsi="Garamond" w:eastAsia="Garamond"/>
          <w:b w:val="0"/>
          <w:i/>
          <w:color w:val="5C6B7A"/>
          <w:sz w:val="21"/>
        </w:rPr>
        <w:t>We convert the operating start model into a project-finance model by adding a construction period, a funding plan and the cost of financing during construction.</w:t>
      </w:r>
    </w:p>
    <w:p>
      <w:pPr>
        <w:keepNext/>
        <w:tabs>
          <w:tab w:pos="2520" w:val="left"/>
        </w:tabs>
        <w:spacing w:before="160" w:after="40"/>
        <w:ind w:left="2520" w:hanging="2520"/>
      </w:pPr>
      <w:r>
        <w:rPr>
          <w:rFonts w:ascii="Garamond" w:hAnsi="Garamond" w:eastAsia="Garamond"/>
          <w:b/>
          <w:i w:val="0"/>
          <w:color w:val="141B4D"/>
        </w:rPr>
        <w:t>09.00 – 10.00 am</w:t>
      </w:r>
      <w:r>
        <w:rPr>
          <w:rFonts w:ascii="Garamond" w:hAnsi="Garamond" w:eastAsia="Garamond"/>
          <w:b w:val="0"/>
          <w:i w:val="0"/>
        </w:rPr>
        <w:tab/>
      </w:r>
      <w:r>
        <w:rPr>
          <w:rFonts w:ascii="Garamond" w:hAnsi="Garamond" w:eastAsia="Garamond"/>
          <w:b/>
          <w:i w:val="0"/>
          <w:color w:val="141B4D"/>
        </w:rPr>
        <w:t>Introduction to Project Finance Modelling; Understanding the Start Model; Construction Period</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What changes between a corporate-style model and a PF model: a construction phase before operations, funding-driven balance sheet, lender-driven ratios. Extending the Time sheet with a construction timeline and the construction/operations flags.</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6.1: extend the timeline: construction flag, operations start date, post-operations flag.</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Time, InpC</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3. E. Bodmer, Corporate and Project Finance Modeling (OneDrive: https://d.docs.live.net/72139f47f6570099/Mastering%20Infrastructure%20Project%20Finance%202023/Project%20Finance%20Materials/Corporate%20and%20Project%20Finance%20Modeling%20Ed%20Bodimer.pdf)</w:t>
      </w:r>
    </w:p>
    <w:p>
      <w:pPr>
        <w:spacing w:after="20"/>
        <w:ind w:left="2520"/>
      </w:pPr>
      <w:r>
        <w:rPr>
          <w:rFonts w:ascii="Garamond" w:hAnsi="Garamond" w:eastAsia="Garamond"/>
          <w:b/>
          <w:i w:val="0"/>
          <w:color w:val="0B5E82"/>
          <w:sz w:val="21"/>
        </w:rPr>
        <w:t xml:space="preserve">Alternative reading (cases):  </w:t>
      </w:r>
      <w:r>
        <w:rPr>
          <w:rFonts w:ascii="Garamond" w:hAnsi="Garamond" w:eastAsia="Garamond"/>
          <w:b w:val="0"/>
          <w:i w:val="0"/>
          <w:sz w:val="21"/>
        </w:rPr>
      </w:r>
    </w:p>
    <w:p>
      <w:pPr>
        <w:spacing w:after="0"/>
        <w:ind w:left="2880"/>
      </w:pPr>
      <w:r>
        <w:rPr>
          <w:rFonts w:ascii="Garamond" w:hAnsi="Garamond" w:eastAsia="Garamond"/>
          <w:b w:val="0"/>
          <w:i w:val="0"/>
          <w:sz w:val="20"/>
        </w:rPr>
        <w:t>1. Australia-Japan Cable: Structuring the Project Company (Harvard case, in class)</w:t>
      </w:r>
    </w:p>
    <w:p>
      <w:pPr>
        <w:keepNext/>
        <w:tabs>
          <w:tab w:pos="2520" w:val="left"/>
        </w:tabs>
        <w:spacing w:before="160" w:after="40"/>
        <w:ind w:left="2520" w:hanging="2520"/>
      </w:pPr>
      <w:r>
        <w:rPr>
          <w:rFonts w:ascii="Garamond" w:hAnsi="Garamond" w:eastAsia="Garamond"/>
          <w:b/>
          <w:i w:val="0"/>
          <w:color w:val="141B4D"/>
        </w:rPr>
        <w:t>10.00 – 10.30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10.30 – 02.00 pm</w:t>
      </w:r>
      <w:r>
        <w:rPr>
          <w:rFonts w:ascii="Garamond" w:hAnsi="Garamond" w:eastAsia="Garamond"/>
          <w:b w:val="0"/>
          <w:i w:val="0"/>
        </w:rPr>
        <w:tab/>
      </w:r>
      <w:r>
        <w:rPr>
          <w:rFonts w:ascii="Garamond" w:hAnsi="Garamond" w:eastAsia="Garamond"/>
          <w:b/>
          <w:i w:val="0"/>
          <w:color w:val="141B4D"/>
        </w:rPr>
        <w:t>Sources and Uses of Funds; Sources of Finance; Finance Cost and Fees During Construction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Uses: construction cost, fees, IDC, reserve funding. Sources: senior debt, shareholder loan and equity with gearing targets. Upfront, commitment and agency fees; how fees are capitalised.</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6.2: build the Sources and Uses table and make it balance. Exercise 6.3: build the fee calculations and carry them into uses.</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InpC, NCA, Debt, Equity</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Sources of Finance for PPP Project Finance (OneDrive: https://d.docs.live.net/72139f47f6570099/Mastering%20Infrastructure%20Project%20Finance%202023/Project%20Finance%20Materials/PPP/Sources%20of%20Finance%20for%20PPP%20Project%20Finance.pptx)</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3. TrainStat Start Model (Excel), corrected and completed (on the course website)</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w:t>
      </w:r>
    </w:p>
    <w:p>
      <w:pPr>
        <w:keepNext/>
        <w:tabs>
          <w:tab w:pos="2520" w:val="left"/>
        </w:tabs>
        <w:spacing w:before="160" w:after="40"/>
        <w:ind w:left="2520" w:hanging="2520"/>
      </w:pPr>
      <w:r>
        <w:rPr>
          <w:rFonts w:ascii="Garamond" w:hAnsi="Garamond" w:eastAsia="Garamond"/>
          <w:b/>
          <w:i w:val="0"/>
          <w:color w:val="141B4D"/>
        </w:rPr>
        <w:t>02.45 – 05.00 pm</w:t>
      </w:r>
      <w:r>
        <w:rPr>
          <w:rFonts w:ascii="Garamond" w:hAnsi="Garamond" w:eastAsia="Garamond"/>
          <w:b w:val="0"/>
          <w:i w:val="0"/>
        </w:rPr>
        <w:tab/>
      </w:r>
      <w:r>
        <w:rPr>
          <w:rFonts w:ascii="Garamond" w:hAnsi="Garamond" w:eastAsia="Garamond"/>
          <w:b/>
          <w:i w:val="0"/>
          <w:color w:val="141B4D"/>
        </w:rPr>
        <w:t>Opening Balances, Timelines and Interest During Construction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Opening balance sheet at financial close; construction-period timing; interest during construction and the circularity it creates; keeping the model balanced.</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6.4: compute IDC; resolve the circularity (iterative calculation versus algebraic solution) and re-run the checks.</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Debt, FinStat, Time</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TrainStat Start Model (Excel), corrected and completed (on the course website)</w:t>
      </w:r>
    </w:p>
    <w:p>
      <w:pPr>
        <w:spacing w:after="0"/>
        <w:ind w:left="2880"/>
      </w:pPr>
      <w:r>
        <w:rPr>
          <w:rFonts w:ascii="Garamond" w:hAnsi="Garamond" w:eastAsia="Garamond"/>
          <w:b w:val="0"/>
          <w:i w:val="0"/>
          <w:sz w:val="20"/>
        </w:rPr>
        <w:t>2. E. Bodmer, Corporate and Project Finance Modeling (OneDrive: https://d.docs.live.net/72139f47f6570099/Mastering%20Infrastructure%20Project%20Finance%202023/Project%20Finance%20Materials/Corporate%20and%20Project%20Finance%20Modeling%20Ed%20Bodimer.pdf)</w:t>
      </w:r>
    </w:p>
    <w:p>
      <w:pPr>
        <w:spacing w:after="0"/>
        <w:ind w:left="2880"/>
      </w:pPr>
      <w:r>
        <w:rPr>
          <w:rFonts w:ascii="Garamond" w:hAnsi="Garamond" w:eastAsia="Garamond"/>
          <w:b w:val="0"/>
          <w:i w:val="0"/>
          <w:sz w:val="20"/>
        </w:rPr>
        <w:t>3. E. R. Yescombe, Principles of Project Finance (OneDrive: https://d.docs.live.net/72139f47f6570099/Mastering%20Infrastructure%20Project%20Finance%202023/Project%20Finance%20Materials/E%20R%20Yescombe%20-%20Principles%20of%20Project%20Finance.pdf)</w:t>
      </w:r>
    </w:p>
    <w:p>
      <w:r>
        <w:br w:type="page"/>
      </w:r>
    </w:p>
    <w:p>
      <w:pPr>
        <w:spacing w:after="0"/>
        <w:jc w:val="center"/>
      </w:pPr>
      <w:r>
        <w:rPr>
          <w:rFonts w:ascii="Garamond" w:hAnsi="Garamond" w:eastAsia="Garamond"/>
          <w:b/>
          <w:i w:val="0"/>
          <w:color w:val="0B5E82"/>
          <w:sz w:val="26"/>
        </w:rPr>
        <w:t>Mastering Infrastructure and Project Finance</w:t>
      </w:r>
    </w:p>
    <w:p>
      <w:pPr>
        <w:spacing w:after="40"/>
        <w:jc w:val="center"/>
      </w:pPr>
      <w:r>
        <w:rPr>
          <w:rFonts w:ascii="Garamond" w:hAnsi="Garamond" w:eastAsia="Garamond"/>
          <w:b/>
          <w:i w:val="0"/>
          <w:color w:val="141B4D"/>
          <w:sz w:val="34"/>
        </w:rPr>
        <w:t>Project and Infrastructure Finance Modelling II: Debt Sizing and Returns</w:t>
      </w:r>
    </w:p>
    <w:p>
      <w:pPr>
        <w:spacing w:after="120"/>
        <w:jc w:val="center"/>
        <w:pBdr>
          <w:bottom w:val="single" w:sz="12" w:space="1" w:color="D99A2B"/>
        </w:pBdr>
      </w:pPr>
      <w:r>
        <w:rPr>
          <w:rFonts w:ascii="Garamond" w:hAnsi="Garamond" w:eastAsia="Garamond"/>
          <w:b/>
          <w:i w:val="0"/>
          <w:color w:val="A8700F"/>
          <w:sz w:val="26"/>
        </w:rPr>
        <w:t>Day 7  |  Thursday 22nd October 2026</w:t>
      </w:r>
    </w:p>
    <w:p>
      <w:pPr>
        <w:spacing w:after="160"/>
        <w:jc w:val="both"/>
      </w:pPr>
      <w:r>
        <w:rPr>
          <w:rFonts w:ascii="Garamond" w:hAnsi="Garamond" w:eastAsia="Garamond"/>
          <w:b w:val="0"/>
          <w:i/>
          <w:color w:val="5C6B7A"/>
          <w:sz w:val="21"/>
        </w:rPr>
        <w:t>Drawdown, cover ratios, sculpting and sizing, reserve accounts and shareholder returns: the numbers a credit committee decides on.</w:t>
      </w:r>
    </w:p>
    <w:p>
      <w:pPr>
        <w:keepNext/>
        <w:tabs>
          <w:tab w:pos="2520" w:val="left"/>
        </w:tabs>
        <w:spacing w:before="160" w:after="40"/>
        <w:ind w:left="2520" w:hanging="2520"/>
      </w:pPr>
      <w:r>
        <w:rPr>
          <w:rFonts w:ascii="Garamond" w:hAnsi="Garamond" w:eastAsia="Garamond"/>
          <w:b/>
          <w:i w:val="0"/>
          <w:color w:val="141B4D"/>
        </w:rPr>
        <w:t>09.00 – 10.00 am</w:t>
      </w:r>
      <w:r>
        <w:rPr>
          <w:rFonts w:ascii="Garamond" w:hAnsi="Garamond" w:eastAsia="Garamond"/>
          <w:b w:val="0"/>
          <w:i w:val="0"/>
        </w:rPr>
        <w:tab/>
      </w:r>
      <w:r>
        <w:rPr>
          <w:rFonts w:ascii="Garamond" w:hAnsi="Garamond" w:eastAsia="Garamond"/>
          <w:b/>
          <w:i w:val="0"/>
          <w:color w:val="141B4D"/>
        </w:rPr>
        <w:t>Construction Debt Drawdown Structure; DSCR, LLCR and PLCR</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Drawing debt in line with spend and the gearing rule; defining CFADS; DSCR, LLCR and PLCR and how lenders use minimum and average tests.</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7.1: build the drawdown schedule. Exercise 7.2: compute CFADS, DSCR, LLCR and PLCR for the base case.</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Debt, FinStat, InpC</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What is the Debt Service Coverage Ratio (DSCR) in project finance? (Forvis Mazars Financial Modelling): https://financialmodelling.forvismazars.com/resources/debt-service-coverage-ratio-dscr/</w:t>
      </w:r>
    </w:p>
    <w:p>
      <w:pPr>
        <w:spacing w:after="0"/>
        <w:ind w:left="2880"/>
      </w:pPr>
      <w:r>
        <w:rPr>
          <w:rFonts w:ascii="Garamond" w:hAnsi="Garamond" w:eastAsia="Garamond"/>
          <w:b w:val="0"/>
          <w:i w:val="0"/>
          <w:sz w:val="20"/>
        </w:rPr>
        <w:t>2. E. R. Yescombe, Principles of Project Finance (OneDrive: https://d.docs.live.net/72139f47f6570099/Mastering%20Infrastructure%20Project%20Finance%202023/Project%20Finance%20Materials/E%20R%20Yescombe%20-%20Principles%20of%20Project%20Finance.pdf)</w:t>
      </w:r>
    </w:p>
    <w:p>
      <w:pPr>
        <w:spacing w:after="0"/>
        <w:ind w:left="2880"/>
      </w:pPr>
      <w:r>
        <w:rPr>
          <w:rFonts w:ascii="Garamond" w:hAnsi="Garamond" w:eastAsia="Garamond"/>
          <w:b w:val="0"/>
          <w:i w:val="0"/>
          <w:sz w:val="20"/>
        </w:rPr>
        <w:t>3. Exercises.xlsx; Exercise 14: Debt Sculpting; IRR and MIRR workbooks (OneDrive: https://d.docs.live.net/72139f47f6570099/Documents/Project%20Finance%20Materials/Exercises.xlsx; https://d.docs.live.net/72139f47f6570099/Documents/Project%20Finance%20Materials/Exercise%2014%20-%20Debt%20Sculpting.xls; https://d.docs.live.net/72139f47f6570099/Documents/Project%20Finance%20Materials/IRR.xlsx; https://d.docs.live.net/72139f47f6570099/Documents/Project%20Finance%20Materials/MIRR.xlsx)</w:t>
      </w:r>
    </w:p>
    <w:p>
      <w:pPr>
        <w:keepNext/>
        <w:tabs>
          <w:tab w:pos="2520" w:val="left"/>
        </w:tabs>
        <w:spacing w:before="160" w:after="40"/>
        <w:ind w:left="2520" w:hanging="2520"/>
      </w:pPr>
      <w:r>
        <w:rPr>
          <w:rFonts w:ascii="Garamond" w:hAnsi="Garamond" w:eastAsia="Garamond"/>
          <w:b/>
          <w:i w:val="0"/>
          <w:color w:val="141B4D"/>
        </w:rPr>
        <w:t>10.00 – 10.30 am</w:t>
      </w:r>
      <w:r>
        <w:rPr>
          <w:rFonts w:ascii="Garamond" w:hAnsi="Garamond" w:eastAsia="Garamond"/>
          <w:b w:val="0"/>
          <w:i w:val="0"/>
        </w:rPr>
        <w:tab/>
      </w:r>
      <w:r>
        <w:rPr>
          <w:rFonts w:ascii="Garamond" w:hAnsi="Garamond" w:eastAsia="Garamond"/>
          <w:b w:val="0"/>
          <w:i w:val="0"/>
          <w:color w:val="5C6B7A"/>
        </w:rPr>
        <w:t>Coffee Break</w:t>
      </w:r>
    </w:p>
    <w:p>
      <w:pPr>
        <w:keepNext/>
        <w:tabs>
          <w:tab w:pos="2520" w:val="left"/>
        </w:tabs>
        <w:spacing w:before="160" w:after="40"/>
        <w:ind w:left="2520" w:hanging="2520"/>
      </w:pPr>
      <w:r>
        <w:rPr>
          <w:rFonts w:ascii="Garamond" w:hAnsi="Garamond" w:eastAsia="Garamond"/>
          <w:b/>
          <w:i w:val="0"/>
          <w:color w:val="141B4D"/>
        </w:rPr>
        <w:t>10.30 – 02.00 pm</w:t>
      </w:r>
      <w:r>
        <w:rPr>
          <w:rFonts w:ascii="Garamond" w:hAnsi="Garamond" w:eastAsia="Garamond"/>
          <w:b w:val="0"/>
          <w:i w:val="0"/>
        </w:rPr>
        <w:tab/>
      </w:r>
      <w:r>
        <w:rPr>
          <w:rFonts w:ascii="Garamond" w:hAnsi="Garamond" w:eastAsia="Garamond"/>
          <w:b/>
          <w:i w:val="0"/>
          <w:color w:val="141B4D"/>
        </w:rPr>
        <w:t>Debt Sculpting and Debt Sizing; Blended Equity Rate of Return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Replacing the fixed repayment profiles with a sculpted profile: principal = CFADS ÷ target DSCR − interest; sizing debt as the present value of sculpted debt service, capped by gearing; blended equity return across shareholder loan and equity.</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7.3: sculpt and size the debt at a 1.35x DSCR; compare with the 7.5, 10 and 15-year profiles. Exercise 7.4: compute the blended equity IRR (Exercise 14: Debt Sculpting as the check).</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Debt, Val, InpS</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Project finance transactions: debt sizing versus debt sculpting (Forvis Mazars Financial Modelling): https://financialmodelling.mazars.com/project-finance-transactions-and-debt-sizing-versus-debt-sculpting/</w:t>
      </w:r>
    </w:p>
    <w:p>
      <w:pPr>
        <w:spacing w:after="0"/>
        <w:ind w:left="2880"/>
      </w:pPr>
      <w:r>
        <w:rPr>
          <w:rFonts w:ascii="Garamond" w:hAnsi="Garamond" w:eastAsia="Garamond"/>
          <w:b w:val="0"/>
          <w:i w:val="0"/>
          <w:sz w:val="20"/>
        </w:rPr>
        <w:t>2. What is the Debt Service Coverage Ratio (DSCR) in project finance? (Forvis Mazars Financial Modelling): https://financialmodelling.forvismazars.com/resources/debt-service-coverage-ratio-dscr/</w:t>
      </w:r>
    </w:p>
    <w:p>
      <w:pPr>
        <w:spacing w:after="0"/>
        <w:ind w:left="2880"/>
      </w:pPr>
      <w:r>
        <w:rPr>
          <w:rFonts w:ascii="Garamond" w:hAnsi="Garamond" w:eastAsia="Garamond"/>
          <w:b w:val="0"/>
          <w:i w:val="0"/>
          <w:sz w:val="20"/>
        </w:rPr>
        <w:t>3. Exercises.xlsx; Exercise 14: Debt Sculpting; IRR and MIRR workbooks (OneDrive: https://d.docs.live.net/72139f47f6570099/Documents/Project%20Finance%20Materials/Exercises.xlsx; https://d.docs.live.net/72139f47f6570099/Documents/Project%20Finance%20Materials/Exercise%2014%20-%20Debt%20Sculpting.xls; https://d.docs.live.net/72139f47f6570099/Documents/Project%20Finance%20Materials/IRR.xlsx; https://d.docs.live.net/72139f47f6570099/Documents/Project%20Finance%20Materials/MIRR.xlsx)</w:t>
      </w:r>
    </w:p>
    <w:p>
      <w:pPr>
        <w:spacing w:after="0"/>
        <w:ind w:left="2880"/>
      </w:pPr>
      <w:r>
        <w:rPr>
          <w:rFonts w:ascii="Garamond" w:hAnsi="Garamond" w:eastAsia="Garamond"/>
          <w:b w:val="0"/>
          <w:i w:val="0"/>
          <w:sz w:val="20"/>
        </w:rPr>
        <w:t>4. E. R. Yescombe, Principles of Project Finance (OneDrive: https://d.docs.live.net/72139f47f6570099/Mastering%20Infrastructure%20Project%20Finance%202023/Project%20Finance%20Materials/E%20R%20Yescombe%20-%20Principles%20of%20Project%20Finance.pdf)</w:t>
      </w:r>
    </w:p>
    <w:p>
      <w:pPr>
        <w:keepNext/>
        <w:tabs>
          <w:tab w:pos="2520" w:val="left"/>
        </w:tabs>
        <w:spacing w:before="160" w:after="40"/>
        <w:ind w:left="2520" w:hanging="2520"/>
      </w:pPr>
      <w:r>
        <w:rPr>
          <w:rFonts w:ascii="Garamond" w:hAnsi="Garamond" w:eastAsia="Garamond"/>
          <w:b/>
          <w:i w:val="0"/>
          <w:color w:val="141B4D"/>
        </w:rPr>
        <w:t>02.00 – 02.45 pm</w:t>
      </w:r>
      <w:r>
        <w:rPr>
          <w:rFonts w:ascii="Garamond" w:hAnsi="Garamond" w:eastAsia="Garamond"/>
          <w:b w:val="0"/>
          <w:i w:val="0"/>
        </w:rPr>
        <w:tab/>
      </w:r>
      <w:r>
        <w:rPr>
          <w:rFonts w:ascii="Garamond" w:hAnsi="Garamond" w:eastAsia="Garamond"/>
          <w:b w:val="0"/>
          <w:i w:val="0"/>
          <w:color w:val="5C6B7A"/>
        </w:rPr>
        <w:t>Lunch Break</w:t>
      </w:r>
    </w:p>
    <w:p>
      <w:pPr>
        <w:keepNext/>
        <w:tabs>
          <w:tab w:pos="2520" w:val="left"/>
        </w:tabs>
        <w:spacing w:before="160" w:after="40"/>
        <w:ind w:left="2520" w:hanging="2520"/>
      </w:pPr>
      <w:r>
        <w:rPr>
          <w:rFonts w:ascii="Garamond" w:hAnsi="Garamond" w:eastAsia="Garamond"/>
          <w:b/>
          <w:i w:val="0"/>
          <w:color w:val="141B4D"/>
        </w:rPr>
        <w:t>02.45 – 05.00 pm</w:t>
      </w:r>
      <w:r>
        <w:rPr>
          <w:rFonts w:ascii="Garamond" w:hAnsi="Garamond" w:eastAsia="Garamond"/>
          <w:b w:val="0"/>
          <w:i w:val="0"/>
        </w:rPr>
        <w:tab/>
      </w:r>
      <w:r>
        <w:rPr>
          <w:rFonts w:ascii="Garamond" w:hAnsi="Garamond" w:eastAsia="Garamond"/>
          <w:b/>
          <w:i w:val="0"/>
          <w:color w:val="141B4D"/>
        </w:rPr>
        <w:t>Debt Service Reserve Account; Shareholder's Loan; Model Optimisation</w:t>
      </w:r>
    </w:p>
    <w:p>
      <w:pPr>
        <w:spacing w:after="20"/>
        <w:ind w:left="2520"/>
      </w:pPr>
      <w:r>
        <w:rPr>
          <w:rFonts w:ascii="Garamond" w:hAnsi="Garamond" w:eastAsia="Garamond"/>
          <w:b/>
          <w:i w:val="0"/>
          <w:color w:val="0B5E82"/>
          <w:sz w:val="21"/>
        </w:rPr>
        <w:t xml:space="preserve">In class:  </w:t>
      </w:r>
      <w:r>
        <w:rPr>
          <w:rFonts w:ascii="Garamond" w:hAnsi="Garamond" w:eastAsia="Garamond"/>
          <w:b w:val="0"/>
          <w:i w:val="0"/>
          <w:sz w:val="21"/>
        </w:rPr>
        <w:t>Lecture and Exercise</w:t>
      </w:r>
    </w:p>
    <w:p>
      <w:pPr>
        <w:spacing w:after="20"/>
        <w:ind w:left="2520"/>
      </w:pPr>
      <w:r>
        <w:rPr>
          <w:rFonts w:ascii="Garamond" w:hAnsi="Garamond" w:eastAsia="Garamond"/>
          <w:b/>
          <w:i w:val="0"/>
          <w:color w:val="0B5E82"/>
          <w:sz w:val="21"/>
        </w:rPr>
        <w:t xml:space="preserve">Facilitator:  </w:t>
      </w:r>
      <w:r>
        <w:rPr>
          <w:rFonts w:ascii="Garamond" w:hAnsi="Garamond" w:eastAsia="Garamond"/>
          <w:b w:val="0"/>
          <w:i w:val="0"/>
          <w:sz w:val="21"/>
        </w:rPr>
        <w:t>Promise Godbold</w:t>
      </w:r>
    </w:p>
    <w:p>
      <w:pPr>
        <w:spacing w:after="20"/>
        <w:ind w:left="2520"/>
      </w:pPr>
      <w:r>
        <w:rPr>
          <w:rFonts w:ascii="Garamond" w:hAnsi="Garamond" w:eastAsia="Garamond"/>
          <w:b/>
          <w:i w:val="0"/>
          <w:color w:val="0B5E82"/>
          <w:sz w:val="21"/>
        </w:rPr>
        <w:t xml:space="preserve">Focus:  </w:t>
      </w:r>
      <w:r>
        <w:rPr>
          <w:rFonts w:ascii="Garamond" w:hAnsi="Garamond" w:eastAsia="Garamond"/>
          <w:b w:val="0"/>
          <w:i w:val="0"/>
          <w:sz w:val="21"/>
        </w:rPr>
        <w:t>DSRA: sizing, funding and release; shareholder-loan mechanics and its effect on cover ratios and returns; optimising gearing, tenor and DSCR against the equity IRR; final integrity checks.</w:t>
      </w:r>
    </w:p>
    <w:p>
      <w:pPr>
        <w:spacing w:after="20"/>
        <w:ind w:left="2520"/>
      </w:pPr>
      <w:r>
        <w:rPr>
          <w:rFonts w:ascii="Garamond" w:hAnsi="Garamond" w:eastAsia="Garamond"/>
          <w:b/>
          <w:i w:val="0"/>
          <w:color w:val="0B5E82"/>
          <w:sz w:val="21"/>
        </w:rPr>
        <w:t xml:space="preserve">Exercise:  </w:t>
      </w:r>
      <w:r>
        <w:rPr>
          <w:rFonts w:ascii="Garamond" w:hAnsi="Garamond" w:eastAsia="Garamond"/>
          <w:b w:val="0"/>
          <w:i w:val="0"/>
          <w:sz w:val="21"/>
        </w:rPr>
        <w:t>Exercise 7.5: build the DSRA and shareholder loan. Exercise 7.6: optimise the structure to the highest equity IRR that keeps minimum DSCR at 1.30x and passes all checks.</w:t>
      </w:r>
    </w:p>
    <w:p>
      <w:pPr>
        <w:spacing w:after="20"/>
        <w:ind w:left="2520"/>
      </w:pPr>
      <w:r>
        <w:rPr>
          <w:rFonts w:ascii="Garamond" w:hAnsi="Garamond" w:eastAsia="Garamond"/>
          <w:b/>
          <w:i w:val="0"/>
          <w:color w:val="0B5E82"/>
          <w:sz w:val="21"/>
        </w:rPr>
        <w:t xml:space="preserve">TrainStat sheets:  </w:t>
      </w:r>
      <w:r>
        <w:rPr>
          <w:rFonts w:ascii="Garamond" w:hAnsi="Garamond" w:eastAsia="Garamond"/>
          <w:b w:val="0"/>
          <w:i w:val="0"/>
          <w:sz w:val="21"/>
        </w:rPr>
        <w:t>Debt, Equity, Val, Track</w:t>
      </w:r>
    </w:p>
    <w:p>
      <w:pPr>
        <w:spacing w:after="20"/>
        <w:ind w:left="2520"/>
      </w:pPr>
      <w:r>
        <w:rPr>
          <w:rFonts w:ascii="Garamond" w:hAnsi="Garamond" w:eastAsia="Garamond"/>
          <w:b/>
          <w:i w:val="0"/>
          <w:color w:val="0B5E82"/>
          <w:sz w:val="21"/>
        </w:rPr>
        <w:t xml:space="preserve">Reading materials:  </w:t>
      </w:r>
      <w:r>
        <w:rPr>
          <w:rFonts w:ascii="Garamond" w:hAnsi="Garamond" w:eastAsia="Garamond"/>
          <w:b w:val="0"/>
          <w:i w:val="0"/>
          <w:sz w:val="21"/>
        </w:rPr>
      </w:r>
    </w:p>
    <w:p>
      <w:pPr>
        <w:spacing w:after="0"/>
        <w:ind w:left="2880"/>
      </w:pPr>
      <w:r>
        <w:rPr>
          <w:rFonts w:ascii="Garamond" w:hAnsi="Garamond" w:eastAsia="Garamond"/>
          <w:b w:val="0"/>
          <w:i w:val="0"/>
          <w:sz w:val="20"/>
        </w:rPr>
        <w:t>1. The FAST Standard (Flexible, Appropriate, Structured, Transparent) for financial modelling (FAST Standard Organisation): https://www.fast-standard.org</w:t>
      </w:r>
    </w:p>
    <w:p>
      <w:pPr>
        <w:spacing w:after="0"/>
        <w:ind w:left="2880"/>
      </w:pPr>
      <w:r>
        <w:rPr>
          <w:rFonts w:ascii="Garamond" w:hAnsi="Garamond" w:eastAsia="Garamond"/>
          <w:b w:val="0"/>
          <w:i w:val="0"/>
          <w:sz w:val="20"/>
        </w:rPr>
        <w:t>2. TrainStat Start Model (Excel), corrected and completed (on the course website)</w:t>
      </w:r>
    </w:p>
    <w:p>
      <w:pPr>
        <w:spacing w:after="0"/>
        <w:ind w:left="2880"/>
      </w:pPr>
      <w:r>
        <w:rPr>
          <w:rFonts w:ascii="Garamond" w:hAnsi="Garamond" w:eastAsia="Garamond"/>
          <w:b w:val="0"/>
          <w:i w:val="0"/>
          <w:sz w:val="20"/>
        </w:rPr>
        <w:t>3. E. R. Yescombe, Principles of Project Finance (OneDrive: https://d.docs.live.net/72139f47f6570099/Mastering%20Infrastructure%20Project%20Finance%202023/Project%20Finance%20Materials/E%20R%20Yescombe%20-%20Principles%20of%20Project%20Finance.pdf)</w:t>
      </w:r>
    </w:p>
    <w:p>
      <w:r>
        <w:br w:type="page"/>
      </w:r>
    </w:p>
    <w:p>
      <w:pPr>
        <w:keepNext/>
        <w:spacing w:after="120" w:before="280"/>
        <w:pBdr>
          <w:bottom w:val="single" w:sz="12" w:space="1" w:color="D99A2B"/>
        </w:pBdr>
      </w:pPr>
      <w:r>
        <w:rPr>
          <w:rFonts w:ascii="Garamond" w:hAnsi="Garamond" w:eastAsia="Garamond"/>
          <w:b/>
          <w:i w:val="0"/>
          <w:color w:val="141B4D"/>
          <w:sz w:val="30"/>
        </w:rPr>
        <w:t>Appendix A: The TrainStat start model</w:t>
      </w:r>
    </w:p>
    <w:p>
      <w:pPr>
        <w:jc w:val="both"/>
      </w:pPr>
      <w:r>
        <w:rPr>
          <w:rFonts w:ascii="Garamond" w:hAnsi="Garamond" w:eastAsia="Garamond"/>
          <w:b w:val="0"/>
          <w:i w:val="0"/>
        </w:rPr>
        <w:t>The modelling days (3 to 7) use one workbook, TrainStat_StartModel.xlsx, which participants receive before Day 3. Days 4 and 5 complete the operating three-statement model; Days 6 and 7 extend it into a project finance model.</w:t>
      </w:r>
    </w:p>
    <w:p>
      <w:pPr>
        <w:spacing w:after="20"/>
      </w:pPr>
      <w:r>
        <w:rPr>
          <w:rFonts w:ascii="Garamond" w:hAnsi="Garamond" w:eastAsia="Garamond"/>
          <w:b/>
          <w:i w:val="0"/>
          <w:color w:val="0B5E82"/>
          <w:sz w:val="21"/>
        </w:rPr>
        <w:t xml:space="preserve">Horizon:  </w:t>
      </w:r>
      <w:r>
        <w:rPr>
          <w:rFonts w:ascii="Garamond" w:hAnsi="Garamond" w:eastAsia="Garamond"/>
          <w:b w:val="0"/>
          <w:i w:val="0"/>
          <w:sz w:val="21"/>
        </w:rPr>
        <w:t>20 years, modelled quarterly (4 periods a year)</w:t>
      </w:r>
    </w:p>
    <w:p>
      <w:pPr>
        <w:spacing w:after="20"/>
      </w:pPr>
      <w:r>
        <w:rPr>
          <w:rFonts w:ascii="Garamond" w:hAnsi="Garamond" w:eastAsia="Garamond"/>
          <w:b/>
          <w:i w:val="0"/>
          <w:color w:val="0B5E82"/>
          <w:sz w:val="21"/>
        </w:rPr>
        <w:t xml:space="preserve">Start date:  </w:t>
      </w:r>
      <w:r>
        <w:rPr>
          <w:rFonts w:ascii="Garamond" w:hAnsi="Garamond" w:eastAsia="Garamond"/>
          <w:b w:val="0"/>
          <w:i w:val="0"/>
          <w:sz w:val="21"/>
        </w:rPr>
        <w:t>1 July 2021 timeline; acquisition / opening balance (financial close) at 31 Dec 2021; construction quarters are added on Day 6</w:t>
      </w:r>
    </w:p>
    <w:p>
      <w:pPr>
        <w:spacing w:after="20"/>
      </w:pPr>
      <w:r>
        <w:rPr>
          <w:rFonts w:ascii="Garamond" w:hAnsi="Garamond" w:eastAsia="Garamond"/>
          <w:b/>
          <w:i w:val="0"/>
          <w:color w:val="0B5E82"/>
          <w:sz w:val="21"/>
        </w:rPr>
        <w:t xml:space="preserve">Revenue drivers:  </w:t>
      </w:r>
      <w:r>
        <w:rPr>
          <w:rFonts w:ascii="Garamond" w:hAnsi="Garamond" w:eastAsia="Garamond"/>
          <w:b w:val="0"/>
          <w:i w:val="0"/>
          <w:sz w:val="21"/>
        </w:rPr>
        <w:t>Trains, arrivals per train, seats (350 domestic, 150 international), occupancy and an average fare of US$7.15 per passenger</w:t>
      </w:r>
    </w:p>
    <w:p>
      <w:pPr>
        <w:spacing w:after="20"/>
      </w:pPr>
      <w:r>
        <w:rPr>
          <w:rFonts w:ascii="Garamond" w:hAnsi="Garamond" w:eastAsia="Garamond"/>
          <w:b/>
          <w:i w:val="0"/>
          <w:color w:val="0B5E82"/>
          <w:sz w:val="21"/>
        </w:rPr>
        <w:t xml:space="preserve">Operating cost:  </w:t>
      </w:r>
      <w:r>
        <w:rPr>
          <w:rFonts w:ascii="Garamond" w:hAnsi="Garamond" w:eastAsia="Garamond"/>
          <w:b w:val="0"/>
          <w:i w:val="0"/>
          <w:sz w:val="21"/>
        </w:rPr>
        <w:t>Handling: fixed US$4.5m a year plus US$550 per arrival; O&amp;M fixed US$3.3m a year; a +10% O&amp;M sensitivity input</w:t>
      </w:r>
    </w:p>
    <w:p>
      <w:pPr>
        <w:spacing w:after="20"/>
      </w:pPr>
      <w:r>
        <w:rPr>
          <w:rFonts w:ascii="Garamond" w:hAnsi="Garamond" w:eastAsia="Garamond"/>
          <w:b/>
          <w:i w:val="0"/>
          <w:color w:val="0B5E82"/>
          <w:sz w:val="21"/>
        </w:rPr>
        <w:t xml:space="preserve">Working capital:  </w:t>
      </w:r>
      <w:r>
        <w:rPr>
          <w:rFonts w:ascii="Garamond" w:hAnsi="Garamond" w:eastAsia="Garamond"/>
          <w:b w:val="0"/>
          <w:i w:val="0"/>
          <w:sz w:val="21"/>
        </w:rPr>
        <w:t>Receivable days 25; payable days 35</w:t>
      </w:r>
    </w:p>
    <w:p>
      <w:pPr>
        <w:spacing w:after="20"/>
      </w:pPr>
      <w:r>
        <w:rPr>
          <w:rFonts w:ascii="Garamond" w:hAnsi="Garamond" w:eastAsia="Garamond"/>
          <w:b/>
          <w:i w:val="0"/>
          <w:color w:val="0B5E82"/>
          <w:sz w:val="21"/>
        </w:rPr>
        <w:t xml:space="preserve">Non-current assets:  </w:t>
      </w:r>
      <w:r>
        <w:rPr>
          <w:rFonts w:ascii="Garamond" w:hAnsi="Garamond" w:eastAsia="Garamond"/>
          <w:b w:val="0"/>
          <w:i w:val="0"/>
          <w:sz w:val="21"/>
        </w:rPr>
        <w:t>US$100m opening balance (15-year life); capex of US$0.5–2.0m a year 2023–2029 (5-year life)</w:t>
      </w:r>
    </w:p>
    <w:p>
      <w:pPr>
        <w:spacing w:after="20"/>
      </w:pPr>
      <w:r>
        <w:rPr>
          <w:rFonts w:ascii="Garamond" w:hAnsi="Garamond" w:eastAsia="Garamond"/>
          <w:b/>
          <w:i w:val="0"/>
          <w:color w:val="0B5E82"/>
          <w:sz w:val="21"/>
        </w:rPr>
        <w:t xml:space="preserve">Senior debt:  </w:t>
      </w:r>
      <w:r>
        <w:rPr>
          <w:rFonts w:ascii="Garamond" w:hAnsi="Garamond" w:eastAsia="Garamond"/>
          <w:b w:val="0"/>
          <w:i w:val="0"/>
          <w:sz w:val="21"/>
        </w:rPr>
        <w:t>60% of non-current assets in the start model; all-in rate 6.5%; 360-day count; repayment profiles (7.5, 10, 15 years, and a sculpted profile added on Day 7) chosen by a switch</w:t>
      </w:r>
    </w:p>
    <w:p>
      <w:pPr>
        <w:spacing w:after="20"/>
      </w:pPr>
      <w:r>
        <w:rPr>
          <w:rFonts w:ascii="Garamond" w:hAnsi="Garamond" w:eastAsia="Garamond"/>
          <w:b/>
          <w:i w:val="0"/>
          <w:color w:val="0B5E82"/>
          <w:sz w:val="21"/>
        </w:rPr>
        <w:t xml:space="preserve">Tax:  </w:t>
      </w:r>
      <w:r>
        <w:rPr>
          <w:rFonts w:ascii="Garamond" w:hAnsi="Garamond" w:eastAsia="Garamond"/>
          <w:b w:val="0"/>
          <w:i w:val="0"/>
          <w:sz w:val="21"/>
        </w:rPr>
        <w:t>5% tax depreciation on written-down value; 30% corporation tax; interest is tax deductible; deferred tax unwinds to zero by the end</w:t>
      </w:r>
    </w:p>
    <w:p>
      <w:pPr>
        <w:spacing w:after="20"/>
      </w:pPr>
      <w:r>
        <w:rPr>
          <w:rFonts w:ascii="Garamond" w:hAnsi="Garamond" w:eastAsia="Garamond"/>
          <w:b/>
          <w:i w:val="0"/>
          <w:color w:val="0B5E82"/>
          <w:sz w:val="21"/>
        </w:rPr>
        <w:t xml:space="preserve">Valuation:  </w:t>
      </w:r>
      <w:r>
        <w:rPr>
          <w:rFonts w:ascii="Garamond" w:hAnsi="Garamond" w:eastAsia="Garamond"/>
          <w:b w:val="0"/>
          <w:i w:val="0"/>
          <w:sz w:val="21"/>
        </w:rPr>
        <w:t>Shareholder required return 25.25%; NPV and IRR of shareholder cash flow</w:t>
      </w:r>
    </w:p>
    <w:p>
      <w:pPr>
        <w:spacing w:after="20"/>
      </w:pPr>
      <w:r>
        <w:rPr>
          <w:rFonts w:ascii="Garamond" w:hAnsi="Garamond" w:eastAsia="Garamond"/>
          <w:b/>
          <w:i w:val="0"/>
          <w:color w:val="0B5E82"/>
          <w:sz w:val="21"/>
        </w:rPr>
        <w:t xml:space="preserve">Scenarios:  </w:t>
      </w:r>
      <w:r>
        <w:rPr>
          <w:rFonts w:ascii="Garamond" w:hAnsi="Garamond" w:eastAsia="Garamond"/>
          <w:b w:val="0"/>
          <w:i w:val="0"/>
          <w:sz w:val="21"/>
        </w:rPr>
        <w:t>Switch on InpC: Base; Downside (fare −10%, O&amp;M +10%); Upside (fare +10%). The Track sheet stores key outputs of each run for comparison</w:t>
      </w:r>
    </w:p>
    <w:p>
      <w:pPr>
        <w:keepNext/>
        <w:spacing w:before="200"/>
      </w:pPr>
      <w:r>
        <w:rPr>
          <w:rFonts w:ascii="Garamond" w:hAnsi="Garamond" w:eastAsia="Garamond"/>
          <w:b/>
          <w:i w:val="0"/>
          <w:color w:val="141B4D"/>
        </w:rPr>
        <w:t>Workbook map</w:t>
      </w:r>
    </w:p>
    <w:tbl>
      <w:tblPr>
        <w:tblStyle w:val="TableGrid"/>
        <w:tblW w:type="auto" w:w="0"/>
        <w:tblLook w:firstColumn="1" w:firstRow="1" w:lastColumn="0" w:lastRow="0" w:noHBand="0" w:noVBand="1" w:val="04A0"/>
      </w:tblPr>
      <w:tblGrid>
        <w:gridCol w:w="3009"/>
        <w:gridCol w:w="3009"/>
        <w:gridCol w:w="3009"/>
      </w:tblGrid>
      <w:tr>
        <w:tc>
          <w:tcPr>
            <w:tcW w:type="dxa" w:w="3009"/>
            <w:shd w:val="clear" w:fill="141B4D"/>
          </w:tcPr>
          <w:p>
            <w:r/>
            <w:r>
              <w:rPr>
                <w:rFonts w:ascii="Garamond" w:hAnsi="Garamond" w:eastAsia="Garamond"/>
                <w:b/>
                <w:i w:val="0"/>
                <w:color w:val="FFFFFF"/>
                <w:sz w:val="20"/>
              </w:rPr>
              <w:t>Sheet</w:t>
            </w:r>
          </w:p>
        </w:tc>
        <w:tc>
          <w:tcPr>
            <w:tcW w:type="dxa" w:w="3009"/>
            <w:shd w:val="clear" w:fill="141B4D"/>
          </w:tcPr>
          <w:p>
            <w:r/>
            <w:r>
              <w:rPr>
                <w:rFonts w:ascii="Garamond" w:hAnsi="Garamond" w:eastAsia="Garamond"/>
                <w:b/>
                <w:i w:val="0"/>
                <w:color w:val="FFFFFF"/>
                <w:sz w:val="20"/>
              </w:rPr>
              <w:t>Purpose</w:t>
            </w:r>
          </w:p>
        </w:tc>
        <w:tc>
          <w:tcPr>
            <w:tcW w:type="dxa" w:w="3009"/>
            <w:shd w:val="clear" w:fill="141B4D"/>
          </w:tcPr>
          <w:p>
            <w:r/>
            <w:r>
              <w:rPr>
                <w:rFonts w:ascii="Garamond" w:hAnsi="Garamond" w:eastAsia="Garamond"/>
                <w:b/>
                <w:i w:val="0"/>
                <w:color w:val="FFFFFF"/>
                <w:sz w:val="20"/>
              </w:rPr>
              <w:t>Contents</w:t>
            </w:r>
          </w:p>
        </w:tc>
      </w:tr>
      <w:tr>
        <w:tc>
          <w:tcPr>
            <w:tcW w:type="dxa" w:w="3009"/>
          </w:tcPr>
          <w:p>
            <w:r/>
            <w:r>
              <w:rPr>
                <w:rFonts w:ascii="Garamond" w:hAnsi="Garamond" w:eastAsia="Garamond"/>
                <w:b w:val="0"/>
                <w:i w:val="0"/>
                <w:sz w:val="20"/>
              </w:rPr>
              <w:t>InpC</w:t>
            </w:r>
          </w:p>
        </w:tc>
        <w:tc>
          <w:tcPr>
            <w:tcW w:type="dxa" w:w="3009"/>
          </w:tcPr>
          <w:p>
            <w:r/>
            <w:r>
              <w:rPr>
                <w:rFonts w:ascii="Garamond" w:hAnsi="Garamond" w:eastAsia="Garamond"/>
                <w:b w:val="0"/>
                <w:i w:val="0"/>
                <w:sz w:val="20"/>
              </w:rPr>
              <w:t>Constants and scenario switch</w:t>
            </w:r>
          </w:p>
        </w:tc>
        <w:tc>
          <w:tcPr>
            <w:tcW w:type="dxa" w:w="3009"/>
          </w:tcPr>
          <w:p>
            <w:r/>
            <w:r>
              <w:rPr>
                <w:rFonts w:ascii="Garamond" w:hAnsi="Garamond" w:eastAsia="Garamond"/>
                <w:b w:val="0"/>
                <w:i w:val="0"/>
                <w:sz w:val="20"/>
              </w:rPr>
              <w:t>Time, escalation, revenue, cost, asset, debt, tax and valuation constants</w:t>
            </w:r>
          </w:p>
        </w:tc>
      </w:tr>
      <w:tr>
        <w:tc>
          <w:tcPr>
            <w:tcW w:type="dxa" w:w="3009"/>
          </w:tcPr>
          <w:p>
            <w:r/>
            <w:r>
              <w:rPr>
                <w:rFonts w:ascii="Garamond" w:hAnsi="Garamond" w:eastAsia="Garamond"/>
                <w:b w:val="0"/>
                <w:i w:val="0"/>
                <w:sz w:val="20"/>
              </w:rPr>
              <w:t>InpS</w:t>
            </w:r>
          </w:p>
        </w:tc>
        <w:tc>
          <w:tcPr>
            <w:tcW w:type="dxa" w:w="3009"/>
          </w:tcPr>
          <w:p>
            <w:r/>
            <w:r>
              <w:rPr>
                <w:rFonts w:ascii="Garamond" w:hAnsi="Garamond" w:eastAsia="Garamond"/>
                <w:b w:val="0"/>
                <w:i w:val="0"/>
                <w:sz w:val="20"/>
              </w:rPr>
              <w:t>Time-series inputs</w:t>
            </w:r>
          </w:p>
        </w:tc>
        <w:tc>
          <w:tcPr>
            <w:tcW w:type="dxa" w:w="3009"/>
          </w:tcPr>
          <w:p>
            <w:r/>
            <w:r>
              <w:rPr>
                <w:rFonts w:ascii="Garamond" w:hAnsi="Garamond" w:eastAsia="Garamond"/>
                <w:b w:val="0"/>
                <w:i w:val="0"/>
                <w:sz w:val="20"/>
              </w:rPr>
              <w:t>Trains, arrivals, occupancy and the three debt repayment profiles by period</w:t>
            </w:r>
          </w:p>
        </w:tc>
      </w:tr>
      <w:tr>
        <w:tc>
          <w:tcPr>
            <w:tcW w:type="dxa" w:w="3009"/>
          </w:tcPr>
          <w:p>
            <w:r/>
            <w:r>
              <w:rPr>
                <w:rFonts w:ascii="Garamond" w:hAnsi="Garamond" w:eastAsia="Garamond"/>
                <w:b w:val="0"/>
                <w:i w:val="0"/>
                <w:sz w:val="20"/>
              </w:rPr>
              <w:t>Time</w:t>
            </w:r>
          </w:p>
        </w:tc>
        <w:tc>
          <w:tcPr>
            <w:tcW w:type="dxa" w:w="3009"/>
          </w:tcPr>
          <w:p>
            <w:r/>
            <w:r>
              <w:rPr>
                <w:rFonts w:ascii="Garamond" w:hAnsi="Garamond" w:eastAsia="Garamond"/>
                <w:b w:val="0"/>
                <w:i w:val="0"/>
                <w:sz w:val="20"/>
              </w:rPr>
              <w:t>Timeline</w:t>
            </w:r>
          </w:p>
        </w:tc>
        <w:tc>
          <w:tcPr>
            <w:tcW w:type="dxa" w:w="3009"/>
          </w:tcPr>
          <w:p>
            <w:r/>
            <w:r>
              <w:rPr>
                <w:rFonts w:ascii="Garamond" w:hAnsi="Garamond" w:eastAsia="Garamond"/>
                <w:b w:val="0"/>
                <w:i w:val="0"/>
                <w:sz w:val="20"/>
              </w:rPr>
              <w:t>Time ruler, flags and period counters</w:t>
            </w:r>
          </w:p>
        </w:tc>
      </w:tr>
      <w:tr>
        <w:tc>
          <w:tcPr>
            <w:tcW w:type="dxa" w:w="3009"/>
          </w:tcPr>
          <w:p>
            <w:r/>
            <w:r>
              <w:rPr>
                <w:rFonts w:ascii="Garamond" w:hAnsi="Garamond" w:eastAsia="Garamond"/>
                <w:b w:val="0"/>
                <w:i w:val="0"/>
                <w:sz w:val="20"/>
              </w:rPr>
              <w:t>Esc</w:t>
            </w:r>
          </w:p>
        </w:tc>
        <w:tc>
          <w:tcPr>
            <w:tcW w:type="dxa" w:w="3009"/>
          </w:tcPr>
          <w:p>
            <w:r/>
            <w:r>
              <w:rPr>
                <w:rFonts w:ascii="Garamond" w:hAnsi="Garamond" w:eastAsia="Garamond"/>
                <w:b w:val="0"/>
                <w:i w:val="0"/>
                <w:sz w:val="20"/>
              </w:rPr>
              <w:t>Escalation</w:t>
            </w:r>
          </w:p>
        </w:tc>
        <w:tc>
          <w:tcPr>
            <w:tcW w:type="dxa" w:w="3009"/>
          </w:tcPr>
          <w:p>
            <w:r/>
            <w:r>
              <w:rPr>
                <w:rFonts w:ascii="Garamond" w:hAnsi="Garamond" w:eastAsia="Garamond"/>
                <w:b w:val="0"/>
                <w:i w:val="0"/>
                <w:sz w:val="20"/>
              </w:rPr>
              <w:t>CPI inflation rates and indices</w:t>
            </w:r>
          </w:p>
        </w:tc>
      </w:tr>
      <w:tr>
        <w:tc>
          <w:tcPr>
            <w:tcW w:type="dxa" w:w="3009"/>
          </w:tcPr>
          <w:p>
            <w:r/>
            <w:r>
              <w:rPr>
                <w:rFonts w:ascii="Garamond" w:hAnsi="Garamond" w:eastAsia="Garamond"/>
                <w:b w:val="0"/>
                <w:i w:val="0"/>
                <w:sz w:val="20"/>
              </w:rPr>
              <w:t>OpRev</w:t>
            </w:r>
          </w:p>
        </w:tc>
        <w:tc>
          <w:tcPr>
            <w:tcW w:type="dxa" w:w="3009"/>
          </w:tcPr>
          <w:p>
            <w:r/>
            <w:r>
              <w:rPr>
                <w:rFonts w:ascii="Garamond" w:hAnsi="Garamond" w:eastAsia="Garamond"/>
                <w:b w:val="0"/>
                <w:i w:val="0"/>
                <w:sz w:val="20"/>
              </w:rPr>
              <w:t>Operating revenue</w:t>
            </w:r>
          </w:p>
        </w:tc>
        <w:tc>
          <w:tcPr>
            <w:tcW w:type="dxa" w:w="3009"/>
          </w:tcPr>
          <w:p>
            <w:r/>
            <w:r>
              <w:rPr>
                <w:rFonts w:ascii="Garamond" w:hAnsi="Garamond" w:eastAsia="Garamond"/>
                <w:b w:val="0"/>
                <w:i w:val="0"/>
                <w:sz w:val="20"/>
              </w:rPr>
              <w:t>Demand forecast, revenue, cash received, receivables</w:t>
            </w:r>
          </w:p>
        </w:tc>
      </w:tr>
      <w:tr>
        <w:tc>
          <w:tcPr>
            <w:tcW w:type="dxa" w:w="3009"/>
          </w:tcPr>
          <w:p>
            <w:r/>
            <w:r>
              <w:rPr>
                <w:rFonts w:ascii="Garamond" w:hAnsi="Garamond" w:eastAsia="Garamond"/>
                <w:b w:val="0"/>
                <w:i w:val="0"/>
                <w:sz w:val="20"/>
              </w:rPr>
              <w:t>OpCost</w:t>
            </w:r>
          </w:p>
        </w:tc>
        <w:tc>
          <w:tcPr>
            <w:tcW w:type="dxa" w:w="3009"/>
          </w:tcPr>
          <w:p>
            <w:r/>
            <w:r>
              <w:rPr>
                <w:rFonts w:ascii="Garamond" w:hAnsi="Garamond" w:eastAsia="Garamond"/>
                <w:b w:val="0"/>
                <w:i w:val="0"/>
                <w:sz w:val="20"/>
              </w:rPr>
              <w:t>Operating cost</w:t>
            </w:r>
          </w:p>
        </w:tc>
        <w:tc>
          <w:tcPr>
            <w:tcW w:type="dxa" w:w="3009"/>
          </w:tcPr>
          <w:p>
            <w:r/>
            <w:r>
              <w:rPr>
                <w:rFonts w:ascii="Garamond" w:hAnsi="Garamond" w:eastAsia="Garamond"/>
                <w:b w:val="0"/>
                <w:i w:val="0"/>
                <w:sz w:val="20"/>
              </w:rPr>
              <w:t>Handling and O&amp;M cost, escalation, payables</w:t>
            </w:r>
          </w:p>
        </w:tc>
      </w:tr>
      <w:tr>
        <w:tc>
          <w:tcPr>
            <w:tcW w:type="dxa" w:w="3009"/>
          </w:tcPr>
          <w:p>
            <w:r/>
            <w:r>
              <w:rPr>
                <w:rFonts w:ascii="Garamond" w:hAnsi="Garamond" w:eastAsia="Garamond"/>
                <w:b w:val="0"/>
                <w:i w:val="0"/>
                <w:sz w:val="20"/>
              </w:rPr>
              <w:t>Tax</w:t>
            </w:r>
          </w:p>
        </w:tc>
        <w:tc>
          <w:tcPr>
            <w:tcW w:type="dxa" w:w="3009"/>
          </w:tcPr>
          <w:p>
            <w:r/>
            <w:r>
              <w:rPr>
                <w:rFonts w:ascii="Garamond" w:hAnsi="Garamond" w:eastAsia="Garamond"/>
                <w:b w:val="0"/>
                <w:i w:val="0"/>
                <w:sz w:val="20"/>
              </w:rPr>
              <w:t>Tax</w:t>
            </w:r>
          </w:p>
        </w:tc>
        <w:tc>
          <w:tcPr>
            <w:tcW w:type="dxa" w:w="3009"/>
          </w:tcPr>
          <w:p>
            <w:r/>
            <w:r>
              <w:rPr>
                <w:rFonts w:ascii="Garamond" w:hAnsi="Garamond" w:eastAsia="Garamond"/>
                <w:b w:val="0"/>
                <w:i w:val="0"/>
                <w:sz w:val="20"/>
              </w:rPr>
              <w:t>Tax depreciation, tax paid, tax expense, deferred tax</w:t>
            </w:r>
          </w:p>
        </w:tc>
      </w:tr>
      <w:tr>
        <w:tc>
          <w:tcPr>
            <w:tcW w:type="dxa" w:w="3009"/>
          </w:tcPr>
          <w:p>
            <w:r/>
            <w:r>
              <w:rPr>
                <w:rFonts w:ascii="Garamond" w:hAnsi="Garamond" w:eastAsia="Garamond"/>
                <w:b w:val="0"/>
                <w:i w:val="0"/>
                <w:sz w:val="20"/>
              </w:rPr>
              <w:t>NCA</w:t>
            </w:r>
          </w:p>
        </w:tc>
        <w:tc>
          <w:tcPr>
            <w:tcW w:type="dxa" w:w="3009"/>
          </w:tcPr>
          <w:p>
            <w:r/>
            <w:r>
              <w:rPr>
                <w:rFonts w:ascii="Garamond" w:hAnsi="Garamond" w:eastAsia="Garamond"/>
                <w:b w:val="0"/>
                <w:i w:val="0"/>
                <w:sz w:val="20"/>
              </w:rPr>
              <w:t>Non-current assets</w:t>
            </w:r>
          </w:p>
        </w:tc>
        <w:tc>
          <w:tcPr>
            <w:tcW w:type="dxa" w:w="3009"/>
          </w:tcPr>
          <w:p>
            <w:r/>
            <w:r>
              <w:rPr>
                <w:rFonts w:ascii="Garamond" w:hAnsi="Garamond" w:eastAsia="Garamond"/>
                <w:b w:val="0"/>
                <w:i w:val="0"/>
                <w:sz w:val="20"/>
              </w:rPr>
              <w:t>Capex, accounting depreciation, asset balance</w:t>
            </w:r>
          </w:p>
        </w:tc>
      </w:tr>
      <w:tr>
        <w:tc>
          <w:tcPr>
            <w:tcW w:type="dxa" w:w="3009"/>
          </w:tcPr>
          <w:p>
            <w:r/>
            <w:r>
              <w:rPr>
                <w:rFonts w:ascii="Garamond" w:hAnsi="Garamond" w:eastAsia="Garamond"/>
                <w:b w:val="0"/>
                <w:i w:val="0"/>
                <w:sz w:val="20"/>
              </w:rPr>
              <w:t>Debt</w:t>
            </w:r>
          </w:p>
        </w:tc>
        <w:tc>
          <w:tcPr>
            <w:tcW w:type="dxa" w:w="3009"/>
          </w:tcPr>
          <w:p>
            <w:r/>
            <w:r>
              <w:rPr>
                <w:rFonts w:ascii="Garamond" w:hAnsi="Garamond" w:eastAsia="Garamond"/>
                <w:b w:val="0"/>
                <w:i w:val="0"/>
                <w:sz w:val="20"/>
              </w:rPr>
              <w:t>Senior debt</w:t>
            </w:r>
          </w:p>
        </w:tc>
        <w:tc>
          <w:tcPr>
            <w:tcW w:type="dxa" w:w="3009"/>
          </w:tcPr>
          <w:p>
            <w:r/>
            <w:r>
              <w:rPr>
                <w:rFonts w:ascii="Garamond" w:hAnsi="Garamond" w:eastAsia="Garamond"/>
                <w:b w:val="0"/>
                <w:i w:val="0"/>
                <w:sz w:val="20"/>
              </w:rPr>
              <w:t>Repayment profile, interest, balance</w:t>
            </w:r>
          </w:p>
        </w:tc>
      </w:tr>
      <w:tr>
        <w:tc>
          <w:tcPr>
            <w:tcW w:type="dxa" w:w="3009"/>
          </w:tcPr>
          <w:p>
            <w:r/>
            <w:r>
              <w:rPr>
                <w:rFonts w:ascii="Garamond" w:hAnsi="Garamond" w:eastAsia="Garamond"/>
                <w:b w:val="0"/>
                <w:i w:val="0"/>
                <w:sz w:val="20"/>
              </w:rPr>
              <w:t>Equity</w:t>
            </w:r>
          </w:p>
        </w:tc>
        <w:tc>
          <w:tcPr>
            <w:tcW w:type="dxa" w:w="3009"/>
          </w:tcPr>
          <w:p>
            <w:r/>
            <w:r>
              <w:rPr>
                <w:rFonts w:ascii="Garamond" w:hAnsi="Garamond" w:eastAsia="Garamond"/>
                <w:b w:val="0"/>
                <w:i w:val="0"/>
                <w:sz w:val="20"/>
              </w:rPr>
              <w:t>Equity and distributions</w:t>
            </w:r>
          </w:p>
        </w:tc>
        <w:tc>
          <w:tcPr>
            <w:tcW w:type="dxa" w:w="3009"/>
          </w:tcPr>
          <w:p>
            <w:r/>
            <w:r>
              <w:rPr>
                <w:rFonts w:ascii="Garamond" w:hAnsi="Garamond" w:eastAsia="Garamond"/>
                <w:b w:val="0"/>
                <w:i w:val="0"/>
                <w:sz w:val="20"/>
              </w:rPr>
              <w:t>Share capital, dividends, retained cash and earnings</w:t>
            </w:r>
          </w:p>
        </w:tc>
      </w:tr>
      <w:tr>
        <w:tc>
          <w:tcPr>
            <w:tcW w:type="dxa" w:w="3009"/>
          </w:tcPr>
          <w:p>
            <w:r/>
            <w:r>
              <w:rPr>
                <w:rFonts w:ascii="Garamond" w:hAnsi="Garamond" w:eastAsia="Garamond"/>
                <w:b w:val="0"/>
                <w:i w:val="0"/>
                <w:sz w:val="20"/>
              </w:rPr>
              <w:t>FinStat</w:t>
            </w:r>
          </w:p>
        </w:tc>
        <w:tc>
          <w:tcPr>
            <w:tcW w:type="dxa" w:w="3009"/>
          </w:tcPr>
          <w:p>
            <w:r/>
            <w:r>
              <w:rPr>
                <w:rFonts w:ascii="Garamond" w:hAnsi="Garamond" w:eastAsia="Garamond"/>
                <w:b w:val="0"/>
                <w:i w:val="0"/>
                <w:sz w:val="20"/>
              </w:rPr>
              <w:t>Financial statements</w:t>
            </w:r>
          </w:p>
        </w:tc>
        <w:tc>
          <w:tcPr>
            <w:tcW w:type="dxa" w:w="3009"/>
          </w:tcPr>
          <w:p>
            <w:r/>
            <w:r>
              <w:rPr>
                <w:rFonts w:ascii="Garamond" w:hAnsi="Garamond" w:eastAsia="Garamond"/>
                <w:b w:val="0"/>
                <w:i w:val="0"/>
                <w:sz w:val="20"/>
              </w:rPr>
              <w:t>Income statement, cash flow payment cascade, balance sheet, checks</w:t>
            </w:r>
          </w:p>
        </w:tc>
      </w:tr>
      <w:tr>
        <w:tc>
          <w:tcPr>
            <w:tcW w:type="dxa" w:w="3009"/>
          </w:tcPr>
          <w:p>
            <w:r/>
            <w:r>
              <w:rPr>
                <w:rFonts w:ascii="Garamond" w:hAnsi="Garamond" w:eastAsia="Garamond"/>
                <w:b w:val="0"/>
                <w:i w:val="0"/>
                <w:sz w:val="20"/>
              </w:rPr>
              <w:t>Val</w:t>
            </w:r>
          </w:p>
        </w:tc>
        <w:tc>
          <w:tcPr>
            <w:tcW w:type="dxa" w:w="3009"/>
          </w:tcPr>
          <w:p>
            <w:r/>
            <w:r>
              <w:rPr>
                <w:rFonts w:ascii="Garamond" w:hAnsi="Garamond" w:eastAsia="Garamond"/>
                <w:b w:val="0"/>
                <w:i w:val="0"/>
                <w:sz w:val="20"/>
              </w:rPr>
              <w:t>Valuation</w:t>
            </w:r>
          </w:p>
        </w:tc>
        <w:tc>
          <w:tcPr>
            <w:tcW w:type="dxa" w:w="3009"/>
          </w:tcPr>
          <w:p>
            <w:r/>
            <w:r>
              <w:rPr>
                <w:rFonts w:ascii="Garamond" w:hAnsi="Garamond" w:eastAsia="Garamond"/>
                <w:b w:val="0"/>
                <w:i w:val="0"/>
                <w:sz w:val="20"/>
              </w:rPr>
              <w:t>Discount factors, shareholder cash flow, NPV, IRR</w:t>
            </w:r>
          </w:p>
        </w:tc>
      </w:tr>
      <w:tr>
        <w:tc>
          <w:tcPr>
            <w:tcW w:type="dxa" w:w="3009"/>
          </w:tcPr>
          <w:p>
            <w:r/>
            <w:r>
              <w:rPr>
                <w:rFonts w:ascii="Garamond" w:hAnsi="Garamond" w:eastAsia="Garamond"/>
                <w:b w:val="0"/>
                <w:i w:val="0"/>
                <w:sz w:val="20"/>
              </w:rPr>
              <w:t>Track</w:t>
            </w:r>
          </w:p>
        </w:tc>
        <w:tc>
          <w:tcPr>
            <w:tcW w:type="dxa" w:w="3009"/>
          </w:tcPr>
          <w:p>
            <w:r/>
            <w:r>
              <w:rPr>
                <w:rFonts w:ascii="Garamond" w:hAnsi="Garamond" w:eastAsia="Garamond"/>
                <w:b w:val="0"/>
                <w:i w:val="0"/>
                <w:sz w:val="20"/>
              </w:rPr>
              <w:t>Scenario tracking</w:t>
            </w:r>
          </w:p>
        </w:tc>
        <w:tc>
          <w:tcPr>
            <w:tcW w:type="dxa" w:w="3009"/>
          </w:tcPr>
          <w:p>
            <w:r/>
            <w:r>
              <w:rPr>
                <w:rFonts w:ascii="Garamond" w:hAnsi="Garamond" w:eastAsia="Garamond"/>
                <w:b w:val="0"/>
                <w:i w:val="0"/>
                <w:sz w:val="20"/>
              </w:rPr>
              <w:t>Key outputs saved per run for comparison</w:t>
            </w:r>
          </w:p>
        </w:tc>
      </w:tr>
      <w:tr>
        <w:tc>
          <w:tcPr>
            <w:tcW w:type="dxa" w:w="3009"/>
          </w:tcPr>
          <w:p>
            <w:r/>
            <w:r>
              <w:rPr>
                <w:rFonts w:ascii="Garamond" w:hAnsi="Garamond" w:eastAsia="Garamond"/>
                <w:b w:val="0"/>
                <w:i w:val="0"/>
                <w:sz w:val="20"/>
              </w:rPr>
              <w:t>Temp</w:t>
            </w:r>
          </w:p>
        </w:tc>
        <w:tc>
          <w:tcPr>
            <w:tcW w:type="dxa" w:w="3009"/>
          </w:tcPr>
          <w:p>
            <w:r/>
            <w:r>
              <w:rPr>
                <w:rFonts w:ascii="Garamond" w:hAnsi="Garamond" w:eastAsia="Garamond"/>
                <w:b w:val="0"/>
                <w:i w:val="0"/>
                <w:sz w:val="20"/>
              </w:rPr>
              <w:t>Scratch</w:t>
            </w:r>
          </w:p>
        </w:tc>
        <w:tc>
          <w:tcPr>
            <w:tcW w:type="dxa" w:w="3009"/>
          </w:tcPr>
          <w:p>
            <w:r/>
            <w:r>
              <w:rPr>
                <w:rFonts w:ascii="Garamond" w:hAnsi="Garamond" w:eastAsia="Garamond"/>
                <w:b w:val="0"/>
                <w:i w:val="0"/>
                <w:sz w:val="20"/>
              </w:rPr>
              <w:t>Working area</w:t>
            </w:r>
          </w:p>
        </w:tc>
      </w:tr>
    </w:tbl>
    <w:p>
      <w:pPr>
        <w:keepNext/>
        <w:spacing w:after="120" w:before="280"/>
        <w:pBdr>
          <w:bottom w:val="single" w:sz="12" w:space="1" w:color="D99A2B"/>
        </w:pBdr>
      </w:pPr>
      <w:r>
        <w:rPr>
          <w:rFonts w:ascii="Garamond" w:hAnsi="Garamond" w:eastAsia="Garamond"/>
          <w:b/>
          <w:i w:val="0"/>
          <w:color w:val="141B4D"/>
          <w:sz w:val="30"/>
        </w:rPr>
        <w:t>Appendix B: Reading list</w:t>
      </w:r>
    </w:p>
    <w:p>
      <w:r>
        <w:rPr>
          <w:rFonts w:ascii="Garamond" w:hAnsi="Garamond" w:eastAsia="Garamond"/>
          <w:b w:val="0"/>
          <w:i/>
          <w:color w:val="5C6B7A"/>
          <w:sz w:val="20"/>
        </w:rPr>
        <w:t>Course pack items are distributed in class and are not posted on the website. Public links were checked at the time of writing.</w:t>
      </w:r>
    </w:p>
    <w:p>
      <w:pPr>
        <w:keepNext/>
        <w:spacing w:after="40" w:before="160"/>
      </w:pPr>
      <w:r>
        <w:rPr>
          <w:rFonts w:ascii="Garamond" w:hAnsi="Garamond" w:eastAsia="Garamond"/>
          <w:b/>
          <w:i w:val="0"/>
          <w:color w:val="0B5E82"/>
        </w:rPr>
        <w:t>Provided on the course website</w:t>
      </w:r>
    </w:p>
    <w:p>
      <w:pPr>
        <w:spacing w:after="20"/>
      </w:pPr>
      <w:r>
        <w:rPr>
          <w:rFonts w:ascii="Garamond" w:hAnsi="Garamond" w:eastAsia="Garamond"/>
          <w:b w:val="0"/>
          <w:i w:val="0"/>
          <w:sz w:val="21"/>
        </w:rPr>
        <w:t>•  Pre-read Primer: Infrastructure Finance Essentials</w:t>
      </w:r>
      <w:r>
        <w:rPr>
          <w:rFonts w:ascii="Garamond" w:hAnsi="Garamond" w:eastAsia="Garamond"/>
          <w:b w:val="0"/>
          <w:i/>
          <w:color w:val="5C6B7A"/>
          <w:sz w:val="20"/>
        </w:rPr>
        <w:t xml:space="preserve">  – Prof Bongo Adi, LBS</w:t>
      </w:r>
    </w:p>
    <w:p>
      <w:pPr>
        <w:spacing w:after="20"/>
      </w:pPr>
      <w:r>
        <w:rPr>
          <w:rFonts w:ascii="Garamond" w:hAnsi="Garamond" w:eastAsia="Garamond"/>
          <w:b w:val="0"/>
          <w:i w:val="0"/>
          <w:sz w:val="21"/>
        </w:rPr>
        <w:t>•  Day 1 Participant Workbook: Project Sahel Sun and the Credit Committee Case Pack</w:t>
      </w:r>
      <w:r>
        <w:rPr>
          <w:rFonts w:ascii="Garamond" w:hAnsi="Garamond" w:eastAsia="Garamond"/>
          <w:b w:val="0"/>
          <w:i/>
          <w:color w:val="5C6B7A"/>
          <w:sz w:val="20"/>
        </w:rPr>
        <w:t xml:space="preserve">  – Prof Bongo Adi, LBS</w:t>
      </w:r>
    </w:p>
    <w:p>
      <w:pPr>
        <w:spacing w:after="20"/>
      </w:pPr>
      <w:r>
        <w:rPr>
          <w:rFonts w:ascii="Garamond" w:hAnsi="Garamond" w:eastAsia="Garamond"/>
          <w:b w:val="0"/>
          <w:i w:val="0"/>
          <w:sz w:val="21"/>
        </w:rPr>
        <w:t>•  Day 1 slide deck: Modules 1 &amp; 2</w:t>
      </w:r>
      <w:r>
        <w:rPr>
          <w:rFonts w:ascii="Garamond" w:hAnsi="Garamond" w:eastAsia="Garamond"/>
          <w:b w:val="0"/>
          <w:i/>
          <w:color w:val="5C6B7A"/>
          <w:sz w:val="20"/>
        </w:rPr>
        <w:t xml:space="preserve">  – Prof Bongo Adi, LBS</w:t>
      </w:r>
    </w:p>
    <w:p>
      <w:pPr>
        <w:spacing w:after="20"/>
      </w:pPr>
      <w:r>
        <w:rPr>
          <w:rFonts w:ascii="Garamond" w:hAnsi="Garamond" w:eastAsia="Garamond"/>
          <w:b w:val="0"/>
          <w:i w:val="0"/>
          <w:sz w:val="21"/>
        </w:rPr>
        <w:t>•  Sahel Sun Capital Stack Template (Excel)</w:t>
      </w:r>
      <w:r>
        <w:rPr>
          <w:rFonts w:ascii="Garamond" w:hAnsi="Garamond" w:eastAsia="Garamond"/>
          <w:b w:val="0"/>
          <w:i/>
          <w:color w:val="5C6B7A"/>
          <w:sz w:val="20"/>
        </w:rPr>
        <w:t xml:space="preserve">  – Prof Bongo Adi, LBS</w:t>
      </w:r>
    </w:p>
    <w:p>
      <w:pPr>
        <w:spacing w:after="20"/>
      </w:pPr>
      <w:r>
        <w:rPr>
          <w:rFonts w:ascii="Garamond" w:hAnsi="Garamond" w:eastAsia="Garamond"/>
          <w:b w:val="0"/>
          <w:i w:val="0"/>
          <w:sz w:val="21"/>
        </w:rPr>
        <w:t>•  TrainStat Start Model (Excel), corrected and completed</w:t>
      </w:r>
      <w:r>
        <w:rPr>
          <w:rFonts w:ascii="Garamond" w:hAnsi="Garamond" w:eastAsia="Garamond"/>
          <w:b w:val="0"/>
          <w:i/>
          <w:color w:val="5C6B7A"/>
          <w:sz w:val="20"/>
        </w:rPr>
        <w:t xml:space="preserve">  – MIPF modelling pack; see the change log on the model page</w:t>
      </w:r>
    </w:p>
    <w:p>
      <w:pPr>
        <w:keepNext/>
        <w:spacing w:after="40" w:before="160"/>
      </w:pPr>
      <w:r>
        <w:rPr>
          <w:rFonts w:ascii="Garamond" w:hAnsi="Garamond" w:eastAsia="Garamond"/>
          <w:b/>
          <w:i w:val="0"/>
          <w:color w:val="0B5E82"/>
        </w:rPr>
        <w:t>Course pack and OneDrive readings</w:t>
      </w:r>
    </w:p>
    <w:p>
      <w:pPr>
        <w:spacing w:after="20"/>
      </w:pPr>
      <w:r>
        <w:rPr>
          <w:rFonts w:ascii="Garamond" w:hAnsi="Garamond" w:eastAsia="Garamond"/>
          <w:b w:val="0"/>
          <w:i w:val="0"/>
          <w:sz w:val="21"/>
        </w:rPr>
        <w:t>•  Argentina Power: Don't Cry for Me Argentina (HBS 5-219-010) and Teaching Note</w:t>
      </w:r>
      <w:r>
        <w:rPr>
          <w:rFonts w:ascii="Garamond" w:hAnsi="Garamond" w:eastAsia="Garamond"/>
          <w:b w:val="0"/>
          <w:i/>
          <w:color w:val="5C6B7A"/>
          <w:sz w:val="20"/>
        </w:rPr>
        <w:t xml:space="preserve">  – Harvard Business School case</w:t>
      </w:r>
    </w:p>
    <w:p>
      <w:pPr>
        <w:spacing w:after="20"/>
      </w:pPr>
      <w:r>
        <w:rPr>
          <w:rFonts w:ascii="Garamond" w:hAnsi="Garamond" w:eastAsia="Garamond"/>
          <w:b w:val="0"/>
          <w:i w:val="0"/>
          <w:sz w:val="21"/>
        </w:rPr>
        <w:t>•  Chad-Cameroon Petroleum Development and Pipeline Project (HBS 9-202-010), Cases A &amp; B, Teaching Notes and spreadsheet</w:t>
      </w:r>
      <w:r>
        <w:rPr>
          <w:rFonts w:ascii="Garamond" w:hAnsi="Garamond" w:eastAsia="Garamond"/>
          <w:b w:val="0"/>
          <w:i/>
          <w:color w:val="5C6B7A"/>
          <w:sz w:val="20"/>
        </w:rPr>
        <w:t xml:space="preserve">  – Harvard Business School case</w:t>
      </w:r>
    </w:p>
    <w:p>
      <w:pPr>
        <w:spacing w:after="20"/>
      </w:pPr>
      <w:r>
        <w:rPr>
          <w:rFonts w:ascii="Garamond" w:hAnsi="Garamond" w:eastAsia="Garamond"/>
          <w:b w:val="0"/>
          <w:i w:val="0"/>
          <w:sz w:val="21"/>
        </w:rPr>
        <w:t>•  BP Amoco (A): Policy Statement on the Use of Project Finance (HBS 9-201-054), with (B) and Teaching Note</w:t>
      </w:r>
      <w:r>
        <w:rPr>
          <w:rFonts w:ascii="Garamond" w:hAnsi="Garamond" w:eastAsia="Garamond"/>
          <w:b w:val="0"/>
          <w:i/>
          <w:color w:val="5C6B7A"/>
          <w:sz w:val="20"/>
        </w:rPr>
        <w:t xml:space="preserve">  – Harvard Business School case</w:t>
      </w:r>
    </w:p>
    <w:p>
      <w:pPr>
        <w:spacing w:after="20"/>
      </w:pPr>
      <w:r>
        <w:rPr>
          <w:rFonts w:ascii="Garamond" w:hAnsi="Garamond" w:eastAsia="Garamond"/>
          <w:b w:val="0"/>
          <w:i w:val="0"/>
          <w:sz w:val="21"/>
        </w:rPr>
        <w:t>•  Australia-Japan Cable: Structuring the Project Company</w:t>
      </w:r>
      <w:r>
        <w:rPr>
          <w:rFonts w:ascii="Garamond" w:hAnsi="Garamond" w:eastAsia="Garamond"/>
          <w:b w:val="0"/>
          <w:i/>
          <w:color w:val="5C6B7A"/>
          <w:sz w:val="20"/>
        </w:rPr>
        <w:t xml:space="preserve">  – Case and note</w:t>
      </w:r>
    </w:p>
    <w:p>
      <w:pPr>
        <w:spacing w:after="20"/>
      </w:pPr>
      <w:r>
        <w:rPr>
          <w:rFonts w:ascii="Garamond" w:hAnsi="Garamond" w:eastAsia="Garamond"/>
          <w:b w:val="0"/>
          <w:i w:val="0"/>
          <w:sz w:val="21"/>
        </w:rPr>
        <w:t>•  Risk Mapping in Project Finance</w:t>
      </w:r>
      <w:r>
        <w:rPr>
          <w:rFonts w:ascii="Garamond" w:hAnsi="Garamond" w:eastAsia="Garamond"/>
          <w:b w:val="0"/>
          <w:i/>
          <w:color w:val="5C6B7A"/>
          <w:sz w:val="20"/>
        </w:rPr>
        <w:t xml:space="preserve">  – Course note</w:t>
      </w:r>
    </w:p>
    <w:p>
      <w:pPr>
        <w:spacing w:after="20"/>
      </w:pPr>
      <w:r>
        <w:rPr>
          <w:rFonts w:ascii="Garamond" w:hAnsi="Garamond" w:eastAsia="Garamond"/>
          <w:b w:val="0"/>
          <w:i w:val="0"/>
          <w:sz w:val="21"/>
        </w:rPr>
        <w:t>•  Contract Renegotiation, Revision and Financial Restructuring</w:t>
      </w:r>
      <w:r>
        <w:rPr>
          <w:rFonts w:ascii="Garamond" w:hAnsi="Garamond" w:eastAsia="Garamond"/>
          <w:b w:val="0"/>
          <w:i/>
          <w:color w:val="5C6B7A"/>
          <w:sz w:val="20"/>
        </w:rPr>
        <w:t xml:space="preserve">  – Course note</w:t>
      </w:r>
    </w:p>
    <w:p>
      <w:pPr>
        <w:spacing w:after="20"/>
      </w:pPr>
      <w:r>
        <w:rPr>
          <w:rFonts w:ascii="Garamond" w:hAnsi="Garamond" w:eastAsia="Garamond"/>
          <w:b w:val="0"/>
          <w:i w:val="0"/>
          <w:sz w:val="21"/>
        </w:rPr>
        <w:t>•  Managing the Project Finance Lending Process and Negotiating Credit Enhancements</w:t>
      </w:r>
      <w:r>
        <w:rPr>
          <w:rFonts w:ascii="Garamond" w:hAnsi="Garamond" w:eastAsia="Garamond"/>
          <w:b w:val="0"/>
          <w:i/>
          <w:color w:val="5C6B7A"/>
          <w:sz w:val="20"/>
        </w:rPr>
        <w:t xml:space="preserve">  – Course note</w:t>
      </w:r>
    </w:p>
    <w:p>
      <w:pPr>
        <w:spacing w:after="20"/>
      </w:pPr>
      <w:r>
        <w:rPr>
          <w:rFonts w:ascii="Garamond" w:hAnsi="Garamond" w:eastAsia="Garamond"/>
          <w:b w:val="0"/>
          <w:i w:val="0"/>
          <w:sz w:val="21"/>
        </w:rPr>
        <w:t>•  An Overview of Project Finance and Infrastructure Finance: 2009 Update</w:t>
      </w:r>
      <w:r>
        <w:rPr>
          <w:rFonts w:ascii="Garamond" w:hAnsi="Garamond" w:eastAsia="Garamond"/>
          <w:b w:val="0"/>
          <w:i/>
          <w:color w:val="5C6B7A"/>
          <w:sz w:val="20"/>
        </w:rPr>
        <w:t xml:space="preserve">  – Pack reading</w:t>
      </w:r>
    </w:p>
    <w:p>
      <w:pPr>
        <w:spacing w:after="20"/>
      </w:pPr>
      <w:r>
        <w:rPr>
          <w:rFonts w:ascii="Garamond" w:hAnsi="Garamond" w:eastAsia="Garamond"/>
          <w:b w:val="0"/>
          <w:i w:val="0"/>
          <w:sz w:val="21"/>
        </w:rPr>
        <w:t>•  An Introduction to Project Finance in Emerging Markets</w:t>
      </w:r>
      <w:r>
        <w:rPr>
          <w:rFonts w:ascii="Garamond" w:hAnsi="Garamond" w:eastAsia="Garamond"/>
          <w:b w:val="0"/>
          <w:i/>
          <w:color w:val="5C6B7A"/>
          <w:sz w:val="20"/>
        </w:rPr>
        <w:t xml:space="preserve">  – Pack reading</w:t>
      </w:r>
    </w:p>
    <w:p>
      <w:pPr>
        <w:spacing w:after="20"/>
      </w:pPr>
      <w:r>
        <w:rPr>
          <w:rFonts w:ascii="Garamond" w:hAnsi="Garamond" w:eastAsia="Garamond"/>
          <w:b w:val="0"/>
          <w:i w:val="0"/>
          <w:sz w:val="21"/>
        </w:rPr>
        <w:t>•  Overview of Project Finance (Esty, 2014)</w:t>
      </w:r>
      <w:r>
        <w:rPr>
          <w:rFonts w:ascii="Garamond" w:hAnsi="Garamond" w:eastAsia="Garamond"/>
          <w:b w:val="0"/>
          <w:i/>
          <w:color w:val="5C6B7A"/>
          <w:sz w:val="20"/>
        </w:rPr>
        <w:t xml:space="preserve">  – Pack reading</w:t>
      </w:r>
    </w:p>
    <w:p>
      <w:pPr>
        <w:spacing w:after="20"/>
      </w:pPr>
      <w:r>
        <w:rPr>
          <w:rFonts w:ascii="Garamond" w:hAnsi="Garamond" w:eastAsia="Garamond"/>
          <w:b w:val="0"/>
          <w:i w:val="0"/>
          <w:sz w:val="21"/>
        </w:rPr>
        <w:t>•  E. R. Yescombe, Principles of Project Finance</w:t>
      </w:r>
      <w:r>
        <w:rPr>
          <w:rFonts w:ascii="Garamond" w:hAnsi="Garamond" w:eastAsia="Garamond"/>
          <w:b w:val="0"/>
          <w:i/>
          <w:color w:val="5C6B7A"/>
          <w:sz w:val="20"/>
        </w:rPr>
        <w:t xml:space="preserve">  – Book; chapters named per session</w:t>
      </w:r>
    </w:p>
    <w:p>
      <w:pPr>
        <w:spacing w:after="20"/>
      </w:pPr>
      <w:r>
        <w:rPr>
          <w:rFonts w:ascii="Garamond" w:hAnsi="Garamond" w:eastAsia="Garamond"/>
          <w:b w:val="0"/>
          <w:i w:val="0"/>
          <w:sz w:val="21"/>
        </w:rPr>
        <w:t>•  E. Bodmer, Corporate and Project Finance Modeling</w:t>
      </w:r>
      <w:r>
        <w:rPr>
          <w:rFonts w:ascii="Garamond" w:hAnsi="Garamond" w:eastAsia="Garamond"/>
          <w:b w:val="0"/>
          <w:i/>
          <w:color w:val="5C6B7A"/>
          <w:sz w:val="20"/>
        </w:rPr>
        <w:t xml:space="preserve">  – Book; chapters named per session</w:t>
      </w:r>
    </w:p>
    <w:p>
      <w:pPr>
        <w:spacing w:after="20"/>
      </w:pPr>
      <w:r>
        <w:rPr>
          <w:rFonts w:ascii="Garamond" w:hAnsi="Garamond" w:eastAsia="Garamond"/>
          <w:b w:val="0"/>
          <w:i w:val="0"/>
          <w:sz w:val="21"/>
        </w:rPr>
        <w:t>•  P. Pignataro, Financial Modeling and Valuation</w:t>
      </w:r>
      <w:r>
        <w:rPr>
          <w:rFonts w:ascii="Garamond" w:hAnsi="Garamond" w:eastAsia="Garamond"/>
          <w:b w:val="0"/>
          <w:i/>
          <w:color w:val="5C6B7A"/>
          <w:sz w:val="20"/>
        </w:rPr>
        <w:t xml:space="preserve">  – Book</w:t>
      </w:r>
    </w:p>
    <w:p>
      <w:pPr>
        <w:spacing w:after="20"/>
      </w:pPr>
      <w:r>
        <w:rPr>
          <w:rFonts w:ascii="Garamond" w:hAnsi="Garamond" w:eastAsia="Garamond"/>
          <w:b w:val="0"/>
          <w:i w:val="0"/>
          <w:sz w:val="21"/>
        </w:rPr>
        <w:t>•  S. Gatti, Project Finance in Theory and Practice (Elsevier)</w:t>
      </w:r>
      <w:r>
        <w:rPr>
          <w:rFonts w:ascii="Garamond" w:hAnsi="Garamond" w:eastAsia="Garamond"/>
          <w:b w:val="0"/>
          <w:i/>
          <w:color w:val="5C6B7A"/>
          <w:sz w:val="20"/>
        </w:rPr>
        <w:t xml:space="preserve">  – Book (reference copy in the course folder: Project Finance in Theory and Practice)</w:t>
      </w:r>
    </w:p>
    <w:p>
      <w:pPr>
        <w:spacing w:after="20"/>
      </w:pPr>
      <w:r>
        <w:rPr>
          <w:rFonts w:ascii="Garamond" w:hAnsi="Garamond" w:eastAsia="Garamond"/>
          <w:b w:val="0"/>
          <w:i w:val="0"/>
          <w:sz w:val="21"/>
        </w:rPr>
        <w:t>•  Loan Syndication (note)</w:t>
      </w:r>
      <w:r>
        <w:rPr>
          <w:rFonts w:ascii="Garamond" w:hAnsi="Garamond" w:eastAsia="Garamond"/>
          <w:b w:val="0"/>
          <w:i/>
          <w:color w:val="5C6B7A"/>
          <w:sz w:val="20"/>
        </w:rPr>
        <w:t xml:space="preserve">  – Course note</w:t>
      </w:r>
    </w:p>
    <w:p>
      <w:pPr>
        <w:spacing w:after="20"/>
      </w:pPr>
      <w:r>
        <w:rPr>
          <w:rFonts w:ascii="Garamond" w:hAnsi="Garamond" w:eastAsia="Garamond"/>
          <w:b w:val="0"/>
          <w:i w:val="0"/>
          <w:sz w:val="21"/>
        </w:rPr>
        <w:t>•  Sample Term Sheet</w:t>
      </w:r>
      <w:r>
        <w:rPr>
          <w:rFonts w:ascii="Garamond" w:hAnsi="Garamond" w:eastAsia="Garamond"/>
          <w:b w:val="0"/>
          <w:i/>
          <w:color w:val="5C6B7A"/>
          <w:sz w:val="20"/>
        </w:rPr>
        <w:t xml:space="preserve">  – Course document</w:t>
      </w:r>
    </w:p>
    <w:p>
      <w:pPr>
        <w:spacing w:after="20"/>
      </w:pPr>
      <w:r>
        <w:rPr>
          <w:rFonts w:ascii="Garamond" w:hAnsi="Garamond" w:eastAsia="Garamond"/>
          <w:b w:val="0"/>
          <w:i w:val="0"/>
          <w:sz w:val="21"/>
        </w:rPr>
        <w:t>•  Overview of Nigeria's PPP Framework and PPP Status; Status of Nigeria PPP (World Bank)</w:t>
      </w:r>
      <w:r>
        <w:rPr>
          <w:rFonts w:ascii="Garamond" w:hAnsi="Garamond" w:eastAsia="Garamond"/>
          <w:b w:val="0"/>
          <w:i/>
          <w:color w:val="5C6B7A"/>
          <w:sz w:val="20"/>
        </w:rPr>
        <w:t xml:space="preserve">  – Slides and report</w:t>
      </w:r>
    </w:p>
    <w:p>
      <w:pPr>
        <w:spacing w:after="20"/>
      </w:pPr>
      <w:r>
        <w:rPr>
          <w:rFonts w:ascii="Garamond" w:hAnsi="Garamond" w:eastAsia="Garamond"/>
          <w:b w:val="0"/>
          <w:i w:val="0"/>
          <w:sz w:val="21"/>
        </w:rPr>
        <w:t>•  Sources of Finance for PPP Project Finance</w:t>
      </w:r>
      <w:r>
        <w:rPr>
          <w:rFonts w:ascii="Garamond" w:hAnsi="Garamond" w:eastAsia="Garamond"/>
          <w:b w:val="0"/>
          <w:i/>
          <w:color w:val="5C6B7A"/>
          <w:sz w:val="20"/>
        </w:rPr>
        <w:t xml:space="preserve">  – Slides</w:t>
      </w:r>
    </w:p>
    <w:p>
      <w:pPr>
        <w:spacing w:after="20"/>
      </w:pPr>
      <w:r>
        <w:rPr>
          <w:rFonts w:ascii="Garamond" w:hAnsi="Garamond" w:eastAsia="Garamond"/>
          <w:b w:val="0"/>
          <w:i w:val="0"/>
          <w:sz w:val="21"/>
        </w:rPr>
        <w:t>•  LBS Contractual Framework for Project Finance</w:t>
      </w:r>
      <w:r>
        <w:rPr>
          <w:rFonts w:ascii="Garamond" w:hAnsi="Garamond" w:eastAsia="Garamond"/>
          <w:b w:val="0"/>
          <w:i/>
          <w:color w:val="5C6B7A"/>
          <w:sz w:val="20"/>
        </w:rPr>
        <w:t xml:space="preserve">  – Slides</w:t>
      </w:r>
    </w:p>
    <w:p>
      <w:pPr>
        <w:spacing w:after="20"/>
      </w:pPr>
      <w:r>
        <w:rPr>
          <w:rFonts w:ascii="Garamond" w:hAnsi="Garamond" w:eastAsia="Garamond"/>
          <w:b w:val="0"/>
          <w:i w:val="0"/>
          <w:sz w:val="21"/>
        </w:rPr>
        <w:t>•  Project Finance Teaching Note; Teaching Project Finance</w:t>
      </w:r>
      <w:r>
        <w:rPr>
          <w:rFonts w:ascii="Garamond" w:hAnsi="Garamond" w:eastAsia="Garamond"/>
          <w:b w:val="0"/>
          <w:i/>
          <w:color w:val="5C6B7A"/>
          <w:sz w:val="20"/>
        </w:rPr>
        <w:t xml:space="preserve">  – Notes</w:t>
      </w:r>
    </w:p>
    <w:p>
      <w:pPr>
        <w:spacing w:after="20"/>
      </w:pPr>
      <w:r>
        <w:rPr>
          <w:rFonts w:ascii="Garamond" w:hAnsi="Garamond" w:eastAsia="Garamond"/>
          <w:b w:val="0"/>
          <w:i w:val="0"/>
          <w:sz w:val="21"/>
        </w:rPr>
        <w:t>•  The City of Bogoma: Case Study and Bogoma Model Spreadsheet</w:t>
      </w:r>
      <w:r>
        <w:rPr>
          <w:rFonts w:ascii="Garamond" w:hAnsi="Garamond" w:eastAsia="Garamond"/>
          <w:b w:val="0"/>
          <w:i/>
          <w:color w:val="5C6B7A"/>
          <w:sz w:val="20"/>
        </w:rPr>
        <w:t xml:space="preserve">  – Case and Excel model</w:t>
      </w:r>
    </w:p>
    <w:p>
      <w:pPr>
        <w:spacing w:after="20"/>
      </w:pPr>
      <w:r>
        <w:rPr>
          <w:rFonts w:ascii="Garamond" w:hAnsi="Garamond" w:eastAsia="Garamond"/>
          <w:b w:val="0"/>
          <w:i w:val="0"/>
          <w:sz w:val="21"/>
        </w:rPr>
        <w:t>•  Thumann, Energy Project Financing</w:t>
      </w:r>
      <w:r>
        <w:rPr>
          <w:rFonts w:ascii="Garamond" w:hAnsi="Garamond" w:eastAsia="Garamond"/>
          <w:b w:val="0"/>
          <w:i/>
          <w:color w:val="5C6B7A"/>
          <w:sz w:val="20"/>
        </w:rPr>
        <w:t xml:space="preserve">  – Pack reading</w:t>
      </w:r>
    </w:p>
    <w:p>
      <w:pPr>
        <w:spacing w:after="20"/>
      </w:pPr>
      <w:r>
        <w:rPr>
          <w:rFonts w:ascii="Garamond" w:hAnsi="Garamond" w:eastAsia="Garamond"/>
          <w:b w:val="0"/>
          <w:i w:val="0"/>
          <w:sz w:val="21"/>
        </w:rPr>
        <w:t>•  Exercises.xlsx; Exercise 14: Debt Sculpting; IRR and MIRR workbooks</w:t>
      </w:r>
      <w:r>
        <w:rPr>
          <w:rFonts w:ascii="Garamond" w:hAnsi="Garamond" w:eastAsia="Garamond"/>
          <w:b w:val="0"/>
          <w:i/>
          <w:color w:val="5C6B7A"/>
          <w:sz w:val="20"/>
        </w:rPr>
        <w:t xml:space="preserve">  – Excel exercises</w:t>
      </w:r>
    </w:p>
    <w:p>
      <w:pPr>
        <w:keepNext/>
        <w:spacing w:after="40" w:before="160"/>
      </w:pPr>
      <w:r>
        <w:rPr>
          <w:rFonts w:ascii="Garamond" w:hAnsi="Garamond" w:eastAsia="Garamond"/>
          <w:b/>
          <w:i w:val="0"/>
          <w:color w:val="0B5E82"/>
        </w:rPr>
        <w:t>Public links</w:t>
      </w:r>
    </w:p>
    <w:p>
      <w:pPr>
        <w:spacing w:after="20"/>
      </w:pPr>
      <w:r>
        <w:rPr>
          <w:rFonts w:ascii="Garamond" w:hAnsi="Garamond" w:eastAsia="Garamond"/>
          <w:b w:val="0"/>
          <w:i w:val="0"/>
          <w:sz w:val="21"/>
        </w:rPr>
        <w:t>•  PPP Reference Guide, Version 3</w:t>
      </w:r>
      <w:r>
        <w:rPr>
          <w:rFonts w:ascii="Garamond" w:hAnsi="Garamond" w:eastAsia="Garamond"/>
          <w:b w:val="0"/>
          <w:i/>
          <w:color w:val="5C6B7A"/>
          <w:sz w:val="20"/>
        </w:rPr>
        <w:t xml:space="preserve">  – World Bank Group and partners</w:t>
      </w:r>
      <w:r>
        <w:rPr>
          <w:rFonts w:ascii="Garamond" w:hAnsi="Garamond" w:eastAsia="Garamond"/>
          <w:b w:val="0"/>
          <w:i w:val="0"/>
          <w:color w:val="0B5E82"/>
          <w:sz w:val="19"/>
        </w:rPr>
        <w:t xml:space="preserve">  https://ppp.worldbank.org/public-private-partnership/library/ppp-reference-guide-3-0-full-version</w:t>
      </w:r>
    </w:p>
    <w:p>
      <w:pPr>
        <w:spacing w:after="20"/>
      </w:pPr>
      <w:r>
        <w:rPr>
          <w:rFonts w:ascii="Garamond" w:hAnsi="Garamond" w:eastAsia="Garamond"/>
          <w:b w:val="0"/>
          <w:i w:val="0"/>
          <w:sz w:val="21"/>
        </w:rPr>
        <w:t>•  Allocating Risks in Public-Private Partnership Contracts (interactive matrices)</w:t>
      </w:r>
      <w:r>
        <w:rPr>
          <w:rFonts w:ascii="Garamond" w:hAnsi="Garamond" w:eastAsia="Garamond"/>
          <w:b w:val="0"/>
          <w:i/>
          <w:color w:val="5C6B7A"/>
          <w:sz w:val="20"/>
        </w:rPr>
        <w:t xml:space="preserve">  – Global Infrastructure Hub / World Bank PPP</w:t>
      </w:r>
      <w:r>
        <w:rPr>
          <w:rFonts w:ascii="Garamond" w:hAnsi="Garamond" w:eastAsia="Garamond"/>
          <w:b w:val="0"/>
          <w:i w:val="0"/>
          <w:color w:val="0B5E82"/>
          <w:sz w:val="19"/>
        </w:rPr>
        <w:t xml:space="preserve">  https://ppp.worldbank.org/node/8649</w:t>
      </w:r>
    </w:p>
    <w:p>
      <w:pPr>
        <w:spacing w:after="20"/>
      </w:pPr>
      <w:r>
        <w:rPr>
          <w:rFonts w:ascii="Garamond" w:hAnsi="Garamond" w:eastAsia="Garamond"/>
          <w:b w:val="0"/>
          <w:i w:val="0"/>
          <w:sz w:val="21"/>
        </w:rPr>
        <w:t>•  IFC Performance Standards on Environmental and Social Sustainability (2012)</w:t>
      </w:r>
      <w:r>
        <w:rPr>
          <w:rFonts w:ascii="Garamond" w:hAnsi="Garamond" w:eastAsia="Garamond"/>
          <w:b w:val="0"/>
          <w:i/>
          <w:color w:val="5C6B7A"/>
          <w:sz w:val="20"/>
        </w:rPr>
        <w:t xml:space="preserve">  – IFC</w:t>
      </w:r>
      <w:r>
        <w:rPr>
          <w:rFonts w:ascii="Garamond" w:hAnsi="Garamond" w:eastAsia="Garamond"/>
          <w:b w:val="0"/>
          <w:i w:val="0"/>
          <w:color w:val="0B5E82"/>
          <w:sz w:val="19"/>
        </w:rPr>
        <w:t xml:space="preserve">  https://www.ifc.org/performancestandards</w:t>
      </w:r>
    </w:p>
    <w:p>
      <w:pPr>
        <w:spacing w:after="20"/>
      </w:pPr>
      <w:r>
        <w:rPr>
          <w:rFonts w:ascii="Garamond" w:hAnsi="Garamond" w:eastAsia="Garamond"/>
          <w:b w:val="0"/>
          <w:i w:val="0"/>
          <w:sz w:val="21"/>
        </w:rPr>
        <w:t>•  The Equator Principles (EP4)</w:t>
      </w:r>
      <w:r>
        <w:rPr>
          <w:rFonts w:ascii="Garamond" w:hAnsi="Garamond" w:eastAsia="Garamond"/>
          <w:b w:val="0"/>
          <w:i/>
          <w:color w:val="5C6B7A"/>
          <w:sz w:val="20"/>
        </w:rPr>
        <w:t xml:space="preserve">  – Equator Principles Association</w:t>
      </w:r>
      <w:r>
        <w:rPr>
          <w:rFonts w:ascii="Garamond" w:hAnsi="Garamond" w:eastAsia="Garamond"/>
          <w:b w:val="0"/>
          <w:i w:val="0"/>
          <w:color w:val="0B5E82"/>
          <w:sz w:val="19"/>
        </w:rPr>
        <w:t xml:space="preserve">  https://equator-principles.com</w:t>
      </w:r>
    </w:p>
    <w:p>
      <w:pPr>
        <w:spacing w:after="20"/>
      </w:pPr>
      <w:r>
        <w:rPr>
          <w:rFonts w:ascii="Garamond" w:hAnsi="Garamond" w:eastAsia="Garamond"/>
          <w:b w:val="0"/>
          <w:i w:val="0"/>
          <w:sz w:val="21"/>
        </w:rPr>
        <w:t>•  InfraCredit: financial guarantee for local-currency infrastructure debt</w:t>
      </w:r>
      <w:r>
        <w:rPr>
          <w:rFonts w:ascii="Garamond" w:hAnsi="Garamond" w:eastAsia="Garamond"/>
          <w:b w:val="0"/>
          <w:i/>
          <w:color w:val="5C6B7A"/>
          <w:sz w:val="20"/>
        </w:rPr>
        <w:t xml:space="preserve">  – InfraCredit Nigeria</w:t>
      </w:r>
      <w:r>
        <w:rPr>
          <w:rFonts w:ascii="Garamond" w:hAnsi="Garamond" w:eastAsia="Garamond"/>
          <w:b w:val="0"/>
          <w:i w:val="0"/>
          <w:color w:val="0B5E82"/>
          <w:sz w:val="19"/>
        </w:rPr>
        <w:t xml:space="preserve">  https://infracredit.ng/our-products/our-financial-guarantee</w:t>
      </w:r>
    </w:p>
    <w:p>
      <w:pPr>
        <w:spacing w:after="20"/>
      </w:pPr>
      <w:r>
        <w:rPr>
          <w:rFonts w:ascii="Garamond" w:hAnsi="Garamond" w:eastAsia="Garamond"/>
          <w:b w:val="0"/>
          <w:i w:val="0"/>
          <w:sz w:val="21"/>
        </w:rPr>
        <w:t>•  The ICRC 2025 PPP Guidelines: catalyst for private investment or another policy experiment? (commentary)</w:t>
      </w:r>
      <w:r>
        <w:rPr>
          <w:rFonts w:ascii="Garamond" w:hAnsi="Garamond" w:eastAsia="Garamond"/>
          <w:b w:val="0"/>
          <w:i/>
          <w:color w:val="5C6B7A"/>
          <w:sz w:val="20"/>
        </w:rPr>
        <w:t xml:space="preserve">  – Mondaq, Nigeria</w:t>
      </w:r>
      <w:r>
        <w:rPr>
          <w:rFonts w:ascii="Garamond" w:hAnsi="Garamond" w:eastAsia="Garamond"/>
          <w:b w:val="0"/>
          <w:i w:val="0"/>
          <w:color w:val="0B5E82"/>
          <w:sz w:val="19"/>
        </w:rPr>
        <w:t xml:space="preserve">  https://www.mondaq.com/nigeria/government-contracts-procurement-ppp/1694180/thought-leadership-the-icrc-2025-ppp-guidelines-catalyst-for-private-investment-or-another-policy-experiment</w:t>
      </w:r>
    </w:p>
    <w:p>
      <w:pPr>
        <w:spacing w:after="20"/>
      </w:pPr>
      <w:r>
        <w:rPr>
          <w:rFonts w:ascii="Garamond" w:hAnsi="Garamond" w:eastAsia="Garamond"/>
          <w:b w:val="0"/>
          <w:i w:val="0"/>
          <w:sz w:val="21"/>
        </w:rPr>
        <w:t>•  What is the Debt Service Coverage Ratio (DSCR) in project finance?</w:t>
      </w:r>
      <w:r>
        <w:rPr>
          <w:rFonts w:ascii="Garamond" w:hAnsi="Garamond" w:eastAsia="Garamond"/>
          <w:b w:val="0"/>
          <w:i/>
          <w:color w:val="5C6B7A"/>
          <w:sz w:val="20"/>
        </w:rPr>
        <w:t xml:space="preserve">  – Forvis Mazars Financial Modelling</w:t>
      </w:r>
      <w:r>
        <w:rPr>
          <w:rFonts w:ascii="Garamond" w:hAnsi="Garamond" w:eastAsia="Garamond"/>
          <w:b w:val="0"/>
          <w:i w:val="0"/>
          <w:color w:val="0B5E82"/>
          <w:sz w:val="19"/>
        </w:rPr>
        <w:t xml:space="preserve">  https://financialmodelling.forvismazars.com/resources/debt-service-coverage-ratio-dscr/</w:t>
      </w:r>
    </w:p>
    <w:p>
      <w:pPr>
        <w:spacing w:after="20"/>
      </w:pPr>
      <w:r>
        <w:rPr>
          <w:rFonts w:ascii="Garamond" w:hAnsi="Garamond" w:eastAsia="Garamond"/>
          <w:b w:val="0"/>
          <w:i w:val="0"/>
          <w:sz w:val="21"/>
        </w:rPr>
        <w:t>•  Project finance transactions: debt sizing versus debt sculpting</w:t>
      </w:r>
      <w:r>
        <w:rPr>
          <w:rFonts w:ascii="Garamond" w:hAnsi="Garamond" w:eastAsia="Garamond"/>
          <w:b w:val="0"/>
          <w:i/>
          <w:color w:val="5C6B7A"/>
          <w:sz w:val="20"/>
        </w:rPr>
        <w:t xml:space="preserve">  – Forvis Mazars Financial Modelling</w:t>
      </w:r>
      <w:r>
        <w:rPr>
          <w:rFonts w:ascii="Garamond" w:hAnsi="Garamond" w:eastAsia="Garamond"/>
          <w:b w:val="0"/>
          <w:i w:val="0"/>
          <w:color w:val="0B5E82"/>
          <w:sz w:val="19"/>
        </w:rPr>
        <w:t xml:space="preserve">  https://financialmodelling.mazars.com/project-finance-transactions-and-debt-sizing-versus-debt-sculpting/</w:t>
      </w:r>
    </w:p>
    <w:p>
      <w:pPr>
        <w:spacing w:after="20"/>
      </w:pPr>
      <w:r>
        <w:rPr>
          <w:rFonts w:ascii="Garamond" w:hAnsi="Garamond" w:eastAsia="Garamond"/>
          <w:b w:val="0"/>
          <w:i w:val="0"/>
          <w:sz w:val="21"/>
        </w:rPr>
        <w:t>•  The FAST Standard (Flexible, Appropriate, Structured, Transparent) for financial modelling</w:t>
      </w:r>
      <w:r>
        <w:rPr>
          <w:rFonts w:ascii="Garamond" w:hAnsi="Garamond" w:eastAsia="Garamond"/>
          <w:b w:val="0"/>
          <w:i/>
          <w:color w:val="5C6B7A"/>
          <w:sz w:val="20"/>
        </w:rPr>
        <w:t xml:space="preserve">  – FAST Standard Organisation</w:t>
      </w:r>
      <w:r>
        <w:rPr>
          <w:rFonts w:ascii="Garamond" w:hAnsi="Garamond" w:eastAsia="Garamond"/>
          <w:b w:val="0"/>
          <w:i w:val="0"/>
          <w:color w:val="0B5E82"/>
          <w:sz w:val="19"/>
        </w:rPr>
        <w:t xml:space="preserve">  https://www.fast-standard.org</w:t>
      </w:r>
    </w:p>
    <w:sectPr w:rsidR="00FC693F" w:rsidRPr="0006063C" w:rsidSect="00034616">
      <w:footerReference w:type="default" r:id="rId9"/>
      <w:head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b w:val="0"/>
        <w:i w:val="0"/>
        <w:color w:val="5C6B7A"/>
        <w:sz w:val="16"/>
      </w:rPr>
      <w:t>Lagos Business School  |  MIPF Boot Camp  |  14–22 October 2026  |  Prof Bongo Adi  +234 706 164 8699  |  badi@lbs.edu.ng  |  bongo.adi@fulbrightmail.org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mipf_hex_256.png"/>
                  <pic:cNvPicPr/>
                </pic:nvPicPr>
                <pic:blipFill>
                  <a:blip r:embed="rId1"/>
                  <a:stretch>
                    <a:fillRect/>
                  </a:stretch>
                </pic:blipFill>
                <pic:spPr>
                  <a:xfrm>
                    <a:off x="0" y="0"/>
                    <a:ext cx="360000" cy="360000"/>
                  </a:xfrm>
                  <a:prstGeom prst="rect"/>
                </pic:spPr>
              </pic:pic>
            </a:graphicData>
          </a:graphic>
        </wp:inline>
      </w:drawing>
    </w:r>
    <w:r>
      <w:t xml:space="preserve">  </w:t>
    </w:r>
    <w:r>
      <w:drawing>
        <wp:inline xmlns:a="http://schemas.openxmlformats.org/drawingml/2006/main" xmlns:pic="http://schemas.openxmlformats.org/drawingml/2006/picture">
          <wp:extent cx="360000" cy="360000"/>
          <wp:docPr id="2" name="Picture 2"/>
          <wp:cNvGraphicFramePr>
            <a:graphicFrameLocks noChangeAspect="1"/>
          </wp:cNvGraphicFramePr>
          <a:graphic>
            <a:graphicData uri="http://schemas.openxmlformats.org/drawingml/2006/picture">
              <pic:pic>
                <pic:nvPicPr>
                  <pic:cNvPr id="0" name="bongo_ai_hex_256.png"/>
                  <pic:cNvPicPr/>
                </pic:nvPicPr>
                <pic:blipFill>
                  <a:blip r:embed="rId2"/>
                  <a:stretch>
                    <a:fillRect/>
                  </a:stretch>
                </pic:blipFill>
                <pic:spPr>
                  <a:xfrm>
                    <a:off x="0" y="0"/>
                    <a:ext cx="360000" cy="360000"/>
                  </a:xfrm>
                  <a:prstGeom prst="rect"/>
                </pic:spPr>
              </pic:pic>
            </a:graphicData>
          </a:graphic>
        </wp:inline>
      </w:drawing>
    </w:r>
    <w:r>
      <w:t xml:space="preserve">  </w:t>
    </w:r>
    <w:r>
      <w:drawing>
        <wp:inline xmlns:a="http://schemas.openxmlformats.org/drawingml/2006/main" xmlns:pic="http://schemas.openxmlformats.org/drawingml/2006/picture">
          <wp:extent cx="1147265" cy="396000"/>
          <wp:docPr id="3" name="Picture 3"/>
          <wp:cNvGraphicFramePr>
            <a:graphicFrameLocks noChangeAspect="1"/>
          </wp:cNvGraphicFramePr>
          <a:graphic>
            <a:graphicData uri="http://schemas.openxmlformats.org/drawingml/2006/picture">
              <pic:pic>
                <pic:nvPicPr>
                  <pic:cNvPr id="0" name="lbs-logo.png"/>
                  <pic:cNvPicPr/>
                </pic:nvPicPr>
                <pic:blipFill>
                  <a:blip r:embed="rId3"/>
                  <a:stretch>
                    <a:fillRect/>
                  </a:stretch>
                </pic:blipFill>
                <pic:spPr>
                  <a:xfrm>
                    <a:off x="0" y="0"/>
                    <a:ext cx="1147265"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