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r>
        <w:rPr>
          <w:b/>
          <w:i w:val="0"/>
          <w:color w:val="0070C0"/>
          <w:sz w:val="22"/>
        </w:rPr>
        <w:t>LAGOS BUSINESS SCHOOL  |  MIPF BOOT CAMP, DAY 1</w:t>
      </w:r>
    </w:p>
    <w:p>
      <w:pPr>
        <w:spacing w:after="120"/>
      </w:pPr>
      <w:r>
        <w:rPr>
          <w:b/>
          <w:i w:val="0"/>
          <w:color w:val="002060"/>
          <w:sz w:val="56"/>
        </w:rPr>
        <w:t>Participant Workbook</w:t>
      </w:r>
    </w:p>
    <w:p>
      <w:pPr>
        <w:spacing w:after="360"/>
      </w:pPr>
      <w:r>
        <w:rPr>
          <w:b w:val="0"/>
          <w:i w:val="0"/>
          <w:color w:val="595959"/>
          <w:sz w:val="28"/>
        </w:rPr>
        <w:t>Exercises, handouts and the Credit Committee Case Pack for Project Sahel Sun</w:t>
      </w:r>
    </w:p>
    <w:p>
      <w:r>
        <w:rPr>
          <w:b w:val="0"/>
          <w:i w:val="0"/>
          <w:sz w:val="22"/>
        </w:rPr>
        <w:t>Day 1: Infrastructure Finance: Structuring, Risk Management and Sustainable Project Delivery</w:t>
      </w:r>
    </w:p>
    <w:p>
      <w:r>
        <w:rPr>
          <w:b w:val="0"/>
          <w:i w:val="0"/>
          <w:sz w:val="22"/>
        </w:rPr>
        <w:t>Modules 1 &amp; 2  |  Wednesday, 14 October 2026  |  Lagos Business School, Ajah, Lagos</w:t>
      </w:r>
    </w:p>
    <w:p>
      <w:r>
        <w:rPr>
          <w:b w:val="0"/>
          <w:i w:val="0"/>
          <w:sz w:val="22"/>
        </w:rPr>
        <w:t>Facilitator: Prof. Bongo Adi, Lagos Business School, Pan-Atlantic University</w:t>
      </w:r>
    </w:p>
    <w:p>
      <w:r>
        <w:br w:type="page"/>
      </w:r>
    </w:p>
    <w:p>
      <w:pPr>
        <w:pStyle w:val="Heading1"/>
      </w:pPr>
      <w:r>
        <w:t>Page 1  |  How to use this workbook</w:t>
      </w:r>
    </w:p>
    <w:p>
      <w:r>
        <w:rPr>
          <w:b w:val="0"/>
          <w:i w:val="0"/>
        </w:rPr>
        <w:t xml:space="preserve">Today we follow one fictional deal, </w:t>
      </w:r>
      <w:r>
        <w:rPr>
          <w:b/>
          <w:i w:val="0"/>
        </w:rPr>
        <w:t>Project Sahel Sun</w:t>
      </w:r>
      <w:r>
        <w:rPr>
          <w:b w:val="0"/>
          <w:i w:val="0"/>
        </w:rPr>
        <w:t>, a 50MW solar power plant in Kano State, from structuring to credit committee. Each exercise in the slides points to a page in this workbook. The companion Excel file (Sahel_Sun_Capital_Stack_Template.xlsx) does the calculations.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w="9639" w:type="dxa"/>
        <w:tblLayout w:type="fixed"/>
      </w:tblPr>
      <w:tblGrid>
        <w:gridCol w:w="1701"/>
        <w:gridCol w:w="4536"/>
        <w:gridCol w:w="3402"/>
      </w:tblGrid>
      <w:tr>
        <w:tc>
          <w:tcPr>
            <w:tcW w:type="dxa" w:w="1701"/>
            <w:shd w:val="clear" w:color="auto" w:fill="002060"/>
          </w:tcPr>
          <w:p>
            <w:r/>
            <w:r>
              <w:rPr>
                <w:b/>
                <w:color w:val="FFFFFF"/>
                <w:sz w:val="20"/>
              </w:rPr>
              <w:t>Time</w:t>
            </w:r>
          </w:p>
        </w:tc>
        <w:tc>
          <w:tcPr>
            <w:tcW w:type="dxa" w:w="4535"/>
            <w:shd w:val="clear" w:color="auto" w:fill="002060"/>
          </w:tcPr>
          <w:p>
            <w:r/>
            <w:r>
              <w:rPr>
                <w:b/>
                <w:color w:val="FFFFFF"/>
                <w:sz w:val="20"/>
              </w:rPr>
              <w:t>Session</w:t>
            </w:r>
          </w:p>
        </w:tc>
        <w:tc>
          <w:tcPr>
            <w:tcW w:type="dxa" w:w="3402"/>
            <w:shd w:val="clear" w:color="auto" w:fill="002060"/>
          </w:tcPr>
          <w:p>
            <w:r/>
            <w:r>
              <w:rPr>
                <w:b/>
                <w:color w:val="FFFFFF"/>
                <w:sz w:val="20"/>
              </w:rPr>
              <w:t>Workbook page</w:t>
            </w:r>
          </w:p>
        </w:tc>
      </w:tr>
      <w:tr>
        <w:tc>
          <w:tcPr>
            <w:tcW w:type="dxa" w:w="1701"/>
          </w:tcPr>
          <w:p>
            <w:r>
              <w:t>9:00 – 10:00</w:t>
            </w:r>
            <w:r>
              <w:rPr>
                <w:sz w:val="20"/>
              </w:rPr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M1.1 SPVs &amp; non-recourse lending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Page 2: Exercise 1</w:t>
            </w:r>
          </w:p>
        </w:tc>
      </w:tr>
      <w:tr>
        <w:tc>
          <w:tcPr>
            <w:tcW w:type="dxa" w:w="1701"/>
            <w:shd w:val="clear" w:color="auto" w:fill="EEF4FB"/>
          </w:tcPr>
          <w:p>
            <w:r>
              <w:t>10:00 – 11:00</w:t>
            </w:r>
            <w:r>
              <w:rPr>
                <w:sz w:val="20"/>
              </w:rPr>
            </w:r>
          </w:p>
        </w:tc>
        <w:tc>
          <w:tcPr>
            <w:tcW w:type="dxa" w:w="4535"/>
            <w:shd w:val="clear" w:color="auto" w:fill="EEF4FB"/>
          </w:tcPr>
          <w:p>
            <w:r/>
            <w:r>
              <w:rPr>
                <w:sz w:val="20"/>
              </w:rPr>
              <w:t>M1.2 Capital stack design</w:t>
            </w:r>
          </w:p>
        </w:tc>
        <w:tc>
          <w:tcPr>
            <w:tcW w:type="dxa" w:w="3402"/>
            <w:shd w:val="clear" w:color="auto" w:fill="EEF4FB"/>
          </w:tcPr>
          <w:p>
            <w:r/>
            <w:r>
              <w:rPr>
                <w:sz w:val="20"/>
              </w:rPr>
              <w:t>Page 3: Exercise 2</w:t>
            </w:r>
          </w:p>
        </w:tc>
      </w:tr>
      <w:tr>
        <w:tc>
          <w:tcPr>
            <w:tcW w:type="dxa" w:w="1701"/>
          </w:tcPr>
          <w:p>
            <w:r>
              <w:t>11:30 – 12:30</w:t>
            </w:r>
            <w:r>
              <w:rPr>
                <w:sz w:val="20"/>
              </w:rPr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M1.3 Appraisal with cash-flow models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Page 4: Bankability Checklist</w:t>
            </w:r>
          </w:p>
        </w:tc>
      </w:tr>
      <w:tr>
        <w:tc>
          <w:tcPr>
            <w:tcW w:type="dxa" w:w="1701"/>
            <w:shd w:val="clear" w:color="auto" w:fill="EEF4FB"/>
          </w:tcPr>
          <w:p>
            <w:r>
              <w:t>12:30 – 2:00</w:t>
            </w:r>
            <w:r>
              <w:rPr>
                <w:sz w:val="20"/>
              </w:rPr>
            </w:r>
          </w:p>
        </w:tc>
        <w:tc>
          <w:tcPr>
            <w:tcW w:type="dxa" w:w="4535"/>
            <w:shd w:val="clear" w:color="auto" w:fill="EEF4FB"/>
          </w:tcPr>
          <w:p>
            <w:r/>
            <w:r>
              <w:rPr>
                <w:sz w:val="20"/>
              </w:rPr>
              <w:t>M2.1 Risk: identify, allocate, mitigate</w:t>
            </w:r>
          </w:p>
        </w:tc>
        <w:tc>
          <w:tcPr>
            <w:tcW w:type="dxa" w:w="3402"/>
            <w:shd w:val="clear" w:color="auto" w:fill="EEF4FB"/>
          </w:tcPr>
          <w:p>
            <w:r/>
            <w:r>
              <w:rPr>
                <w:sz w:val="20"/>
              </w:rPr>
              <w:t>Page 5: Risk Allocation Matrix</w:t>
            </w:r>
          </w:p>
        </w:tc>
      </w:tr>
      <w:tr>
        <w:tc>
          <w:tcPr>
            <w:tcW w:type="dxa" w:w="1701"/>
          </w:tcPr>
          <w:p>
            <w:r>
              <w:t>2:45 – 3:30</w:t>
            </w:r>
            <w:r>
              <w:rPr>
                <w:sz w:val="20"/>
              </w:rPr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M2.2 PPPs &amp; blended finance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Page 6: Glossary</w:t>
            </w:r>
          </w:p>
        </w:tc>
      </w:tr>
      <w:tr>
        <w:tc>
          <w:tcPr>
            <w:tcW w:type="dxa" w:w="1701"/>
            <w:shd w:val="clear" w:color="auto" w:fill="EEF4FB"/>
          </w:tcPr>
          <w:p>
            <w:r>
              <w:t>2:00 – 2:45</w:t>
            </w:r>
            <w:r>
              <w:rPr>
                <w:sz w:val="20"/>
              </w:rPr>
            </w:r>
          </w:p>
        </w:tc>
        <w:tc>
          <w:tcPr>
            <w:tcW w:type="dxa" w:w="4535"/>
            <w:shd w:val="clear" w:color="auto" w:fill="EEF4FB"/>
          </w:tcPr>
          <w:p>
            <w:r/>
            <w:r>
              <w:rPr>
                <w:sz w:val="20"/>
              </w:rPr>
              <w:t>Working lunch</w:t>
            </w:r>
          </w:p>
        </w:tc>
        <w:tc>
          <w:tcPr>
            <w:tcW w:type="dxa" w:w="3402"/>
            <w:shd w:val="clear" w:color="auto" w:fill="EEF4FB"/>
          </w:tcPr>
          <w:p>
            <w:r/>
            <w:r>
              <w:rPr>
                <w:sz w:val="20"/>
              </w:rPr>
              <w:t>Pages 7–9: Credit Committee Case Pack</w:t>
            </w:r>
          </w:p>
        </w:tc>
      </w:tr>
      <w:tr>
        <w:tc>
          <w:tcPr>
            <w:tcW w:type="dxa" w:w="1701"/>
          </w:tcPr>
          <w:p>
            <w:r>
              <w:t>3:30 – 4:30</w:t>
            </w:r>
            <w:r>
              <w:rPr>
                <w:sz w:val="20"/>
              </w:rPr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M2.4 Credit committee simulation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Page 9: Decision form</w:t>
            </w:r>
          </w:p>
        </w:tc>
      </w:tr>
    </w:tbl>
    <w:p>
      <w:pPr>
        <w:spacing w:after="40"/>
      </w:pPr>
    </w:p>
    <w:p>
      <w:pPr>
        <w:pStyle w:val="Heading2"/>
      </w:pPr>
      <w:r>
        <w:t>Project Sahel Sun: fact sheet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w="9639" w:type="dxa"/>
        <w:tblLayout w:type="fixed"/>
      </w:tblPr>
      <w:tblGrid>
        <w:gridCol w:w="2835"/>
        <w:gridCol w:w="6804"/>
      </w:tblGrid>
      <w:tr>
        <w:tc>
          <w:tcPr>
            <w:tcW w:type="dxa" w:w="2835"/>
            <w:shd w:val="clear" w:color="auto" w:fill="002060"/>
          </w:tcPr>
          <w:p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6803"/>
            <w:shd w:val="clear" w:color="auto" w:fill="002060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Technology / size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Solar PV, 50 MWac, Kano State (fictional)</w:t>
            </w:r>
          </w:p>
        </w:tc>
      </w:tr>
      <w:tr>
        <w:tc>
          <w:tcPr>
            <w:tcW w:type="dxa" w:w="2835"/>
            <w:shd w:val="clear" w:color="auto" w:fill="EEF4FB"/>
          </w:tcPr>
          <w:p>
            <w:r/>
            <w:r>
              <w:rPr>
                <w:sz w:val="20"/>
              </w:rPr>
              <w:t>Total project cost</w:t>
            </w:r>
          </w:p>
        </w:tc>
        <w:tc>
          <w:tcPr>
            <w:tcW w:type="dxa" w:w="6803"/>
            <w:shd w:val="clear" w:color="auto" w:fill="EEF4FB"/>
          </w:tcPr>
          <w:p>
            <w:r/>
            <w:r>
              <w:rPr>
                <w:sz w:val="20"/>
              </w:rPr>
              <w:t>US$55.0m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Offtake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20-year PPA with a state-licensed offtaker (Electricity Act 2023)</w:t>
            </w:r>
          </w:p>
        </w:tc>
      </w:tr>
      <w:tr>
        <w:tc>
          <w:tcPr>
            <w:tcW w:type="dxa" w:w="2835"/>
            <w:shd w:val="clear" w:color="auto" w:fill="EEF4FB"/>
          </w:tcPr>
          <w:p>
            <w:r/>
            <w:r>
              <w:rPr>
                <w:sz w:val="20"/>
              </w:rPr>
              <w:t>Tariff</w:t>
            </w:r>
          </w:p>
        </w:tc>
        <w:tc>
          <w:tcPr>
            <w:tcW w:type="dxa" w:w="6803"/>
            <w:shd w:val="clear" w:color="auto" w:fill="EEF4FB"/>
          </w:tcPr>
          <w:p>
            <w:r/>
            <w:r>
              <w:rPr>
                <w:sz w:val="20"/>
              </w:rPr>
              <w:t>US$95/MWh, dollar-indexed, paid in naira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Net capacity factor (P50)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21%  →  ~91,980 MWh in Year 1</w:t>
            </w:r>
          </w:p>
        </w:tc>
      </w:tr>
      <w:tr>
        <w:tc>
          <w:tcPr>
            <w:tcW w:type="dxa" w:w="2835"/>
            <w:shd w:val="clear" w:color="auto" w:fill="EEF4FB"/>
          </w:tcPr>
          <w:p>
            <w:r/>
            <w:r>
              <w:rPr>
                <w:sz w:val="20"/>
              </w:rPr>
              <w:t>Operating costs</w:t>
            </w:r>
          </w:p>
        </w:tc>
        <w:tc>
          <w:tcPr>
            <w:tcW w:type="dxa" w:w="6803"/>
            <w:shd w:val="clear" w:color="auto" w:fill="EEF4FB"/>
          </w:tcPr>
          <w:p>
            <w:r/>
            <w:r>
              <w:rPr>
                <w:sz w:val="20"/>
              </w:rPr>
              <w:t>US$1.10m in Year 1, +2% a year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Tax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30% CIT after a 5-year pioneer-status holiday (illustrative)</w:t>
            </w:r>
          </w:p>
        </w:tc>
      </w:tr>
      <w:tr>
        <w:tc>
          <w:tcPr>
            <w:tcW w:type="dxa" w:w="2835"/>
            <w:shd w:val="clear" w:color="auto" w:fill="EEF4FB"/>
          </w:tcPr>
          <w:p>
            <w:r/>
            <w:r>
              <w:rPr>
                <w:sz w:val="20"/>
              </w:rPr>
              <w:t>Market reference</w:t>
            </w:r>
          </w:p>
        </w:tc>
        <w:tc>
          <w:tcPr>
            <w:tcW w:type="dxa" w:w="6803"/>
            <w:shd w:val="clear" w:color="auto" w:fill="EEF4FB"/>
          </w:tcPr>
          <w:p>
            <w:r/>
            <w:r>
              <w:rPr>
                <w:sz w:val="20"/>
              </w:rPr>
              <w:t>CBN MPR 26.5%; ~₦1,330/US$ (Sept 2026)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DDEBF7"/>
          </w:tcPr>
          <w:p>
            <w:r/>
            <w:r>
              <w:rPr>
                <w:b/>
                <w:color w:val="002060"/>
                <w:sz w:val="21"/>
              </w:rPr>
              <w:t>Note:</w:t>
            </w:r>
            <w:r>
              <w:rPr>
                <w:b w:val="0"/>
                <w:color w:val="002060"/>
                <w:sz w:val="21"/>
              </w:rPr>
              <w:t xml:space="preserve"> Project Sahel Sun is a teaching case. All figures are illustrative and do not describe any real transaction.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Page 2  |  Exercise 1: Draw both structures</w:t>
      </w:r>
    </w:p>
    <w:p>
      <w:r>
        <w:rPr>
          <w:b w:val="0"/>
          <w:i/>
          <w:color w:val="595959"/>
        </w:rPr>
        <w:t>Tables of 4–5. 6 minutes + 2 minutes feedback.</w:t>
      </w:r>
    </w:p>
    <w:p>
      <w:pPr>
        <w:pStyle w:val="ListBullet"/>
        <w:spacing w:after="40"/>
      </w:pPr>
      <w:r>
        <w:rPr>
          <w:b w:val="0"/>
        </w:rPr>
        <w:t>On the LEFT: draw a corporate loan to a sponsor building a 450MW gas plant.</w:t>
      </w:r>
    </w:p>
    <w:p>
      <w:pPr>
        <w:pStyle w:val="ListBullet"/>
        <w:spacing w:after="40"/>
      </w:pPr>
      <w:r>
        <w:rPr>
          <w:b w:val="0"/>
        </w:rPr>
        <w:t>On the RIGHT: draw Azura-Edo IPP: SPV, sponsors, four debt tranches (commercial US$234m with MIGA/IBRD cover; DFI US$267m; local banks ₦24bn; DFI mezzanine US$65m), NBET (offtaker), Seplat (gas), Siemens/Julius Berger (EPC).</w:t>
      </w:r>
    </w:p>
    <w:p>
      <w:pPr>
        <w:pStyle w:val="ListBullet"/>
        <w:spacing w:after="40"/>
      </w:pPr>
      <w:r>
        <w:rPr>
          <w:b w:val="0"/>
        </w:rPr>
        <w:t>Add the credit enhancements: letter of credit, World Bank Partial Risk Guarantee, FGN put-call option, MIGA insurance.</w:t>
      </w:r>
    </w:p>
    <w:p>
      <w:pPr>
        <w:pStyle w:val="ListBullet"/>
        <w:spacing w:after="40"/>
      </w:pPr>
      <w:r>
        <w:rPr>
          <w:b w:val="0"/>
        </w:rPr>
        <w:t>Circle the ONE contract without which the lenders would not lend.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002060"/>
          </w:tcPr>
          <w:p>
            <w:r/>
            <w:r>
              <w:rPr>
                <w:b/>
                <w:color w:val="FFFFFF"/>
              </w:rPr>
              <w:t>Corporate finance</w:t>
            </w:r>
          </w:p>
        </w:tc>
        <w:tc>
          <w:tcPr>
            <w:tcW w:type="dxa" w:w="4819"/>
            <w:shd w:val="clear" w:color="auto" w:fill="002060"/>
          </w:tcPr>
          <w:p>
            <w:r/>
            <w:r>
              <w:rPr>
                <w:b/>
                <w:color w:val="FFFFFF"/>
              </w:rPr>
              <w:t>Project finance (Azura-Edo)</w:t>
            </w:r>
          </w:p>
        </w:tc>
      </w:tr>
      <w:tr>
        <w:trPr>
          <w:trHeight w:val="8505"/>
        </w:trPr>
        <w:tc>
          <w:tcPr>
            <w:tcW w:type="dxa" w:w="4819"/>
          </w:tcPr>
          <w:p/>
        </w:tc>
        <w:tc>
          <w:tcPr>
            <w:tcW w:type="dxa" w:w="4819"/>
          </w:tcPr>
          <w:p/>
        </w:tc>
      </w:tr>
    </w:tbl>
    <w:p/>
    <w:p>
      <w:r>
        <w:rPr>
          <w:b w:val="0"/>
          <w:i w:val="0"/>
          <w:color w:val="595959"/>
        </w:rPr>
        <w:t>Notes: 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Page 3  |  Exercise 2: Build the Sahel Sun capital stack</w:t>
      </w:r>
    </w:p>
    <w:p>
      <w:r>
        <w:rPr>
          <w:b w:val="0"/>
          <w:i/>
          <w:color w:val="595959"/>
        </w:rPr>
        <w:t>Use the Excel template (sheets 'Inputs' and 'Capital Stack'), or work on paper. 7 minutes + 3 minutes debrief.</w:t>
      </w:r>
    </w:p>
    <w:p>
      <w:pPr>
        <w:pStyle w:val="Heading2"/>
      </w:pPr>
      <w:r>
        <w:t>Step 1. Uses of funds (US$m)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w="9072" w:type="dxa"/>
        <w:tblLayout w:type="fixed"/>
      </w:tblPr>
      <w:tblGrid>
        <w:gridCol w:w="6804"/>
        <w:gridCol w:w="2268"/>
      </w:tblGrid>
      <w:tr>
        <w:tc>
          <w:tcPr>
            <w:tcW w:type="dxa" w:w="6803"/>
            <w:shd w:val="clear" w:color="auto" w:fill="002060"/>
          </w:tcPr>
          <w:p>
            <w:r/>
            <w:r>
              <w:rPr>
                <w:b/>
                <w:color w:val="FFFFFF"/>
                <w:sz w:val="20"/>
              </w:rPr>
              <w:t>Use</w:t>
            </w:r>
          </w:p>
        </w:tc>
        <w:tc>
          <w:tcPr>
            <w:tcW w:type="dxa" w:w="2268"/>
            <w:shd w:val="clear" w:color="auto" w:fill="002060"/>
          </w:tcPr>
          <w:p>
            <w:r/>
            <w:r>
              <w:rPr>
                <w:b/>
                <w:color w:val="FFFFFF"/>
                <w:sz w:val="20"/>
              </w:rPr>
              <w:t>US$m</w:t>
            </w:r>
          </w:p>
        </w:tc>
      </w:tr>
      <w:tr>
        <w:trPr>
          <w:trHeight w:val="396"/>
        </w:trPr>
        <w:tc>
          <w:tcPr>
            <w:tcW w:type="dxa" w:w="6803"/>
          </w:tcPr>
          <w:p>
            <w:r/>
            <w:r>
              <w:rPr>
                <w:sz w:val="20"/>
              </w:rPr>
              <w:t>EPC contract (modules, inverters, balance of system)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44.0</w:t>
            </w:r>
          </w:p>
        </w:tc>
      </w:tr>
      <w:tr>
        <w:trPr>
          <w:trHeight w:val="396"/>
        </w:trPr>
        <w:tc>
          <w:tcPr>
            <w:tcW w:type="dxa" w:w="6803"/>
            <w:shd w:val="clear" w:color="auto" w:fill="EEF4FB"/>
          </w:tcPr>
          <w:p>
            <w:r/>
            <w:r>
              <w:rPr>
                <w:sz w:val="20"/>
              </w:rPr>
              <w:t>Grid connection / evacuation line</w:t>
            </w:r>
          </w:p>
        </w:tc>
        <w:tc>
          <w:tcPr>
            <w:tcW w:type="dxa" w:w="2268"/>
            <w:shd w:val="clear" w:color="auto" w:fill="EEF4FB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96"/>
        </w:trPr>
        <w:tc>
          <w:tcPr>
            <w:tcW w:type="dxa" w:w="6803"/>
          </w:tcPr>
          <w:p>
            <w:r/>
            <w:r>
              <w:rPr>
                <w:sz w:val="20"/>
              </w:rPr>
              <w:t>Development, permits, land, ESIA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96"/>
        </w:trPr>
        <w:tc>
          <w:tcPr>
            <w:tcW w:type="dxa" w:w="6803"/>
            <w:shd w:val="clear" w:color="auto" w:fill="EEF4FB"/>
          </w:tcPr>
          <w:p>
            <w:r/>
            <w:r>
              <w:rPr>
                <w:sz w:val="20"/>
              </w:rPr>
              <w:t>Financing fees &amp; interest during construction</w:t>
            </w:r>
          </w:p>
        </w:tc>
        <w:tc>
          <w:tcPr>
            <w:tcW w:type="dxa" w:w="2268"/>
            <w:shd w:val="clear" w:color="auto" w:fill="EEF4FB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96"/>
        </w:trPr>
        <w:tc>
          <w:tcPr>
            <w:tcW w:type="dxa" w:w="6803"/>
          </w:tcPr>
          <w:p>
            <w:r/>
            <w:r>
              <w:rPr>
                <w:sz w:val="20"/>
              </w:rPr>
              <w:t>Initial DSRA funding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96"/>
        </w:trPr>
        <w:tc>
          <w:tcPr>
            <w:tcW w:type="dxa" w:w="6803"/>
            <w:shd w:val="clear" w:color="auto" w:fill="EEF4FB"/>
          </w:tcPr>
          <w:p>
            <w:r/>
            <w:r>
              <w:rPr>
                <w:sz w:val="20"/>
              </w:rPr>
              <w:t>TOTAL</w:t>
            </w:r>
          </w:p>
        </w:tc>
        <w:tc>
          <w:tcPr>
            <w:tcW w:type="dxa" w:w="2268"/>
            <w:shd w:val="clear" w:color="auto" w:fill="EEF4FB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Step 2. How much debt?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w="9072" w:type="dxa"/>
        <w:tblLayout w:type="fixed"/>
      </w:tblPr>
      <w:tblGrid>
        <w:gridCol w:w="5670"/>
        <w:gridCol w:w="3402"/>
      </w:tblGrid>
      <w:tr>
        <w:tc>
          <w:tcPr>
            <w:tcW w:type="dxa" w:w="5669"/>
            <w:shd w:val="clear" w:color="auto" w:fill="002060"/>
          </w:tcPr>
          <w:p>
            <w:r/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type="dxa" w:w="3402"/>
            <w:shd w:val="clear" w:color="auto" w:fill="002060"/>
          </w:tcPr>
          <w:p>
            <w:r/>
            <w:r>
              <w:rPr>
                <w:b/>
                <w:color w:val="FFFFFF"/>
                <w:sz w:val="20"/>
              </w:rPr>
              <w:t>Your answer</w:t>
            </w:r>
          </w:p>
        </w:tc>
      </w:tr>
      <w:tr>
        <w:trPr>
          <w:trHeight w:val="396"/>
        </w:trPr>
        <w:tc>
          <w:tcPr>
            <w:tcW w:type="dxa" w:w="5669"/>
          </w:tcPr>
          <w:p>
            <w:r/>
            <w:r>
              <w:rPr>
                <w:sz w:val="20"/>
              </w:rPr>
              <w:t>Debt capacity at a 1.35x DSCR (PV of CFADS ÷ 1.35)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96"/>
        </w:trPr>
        <w:tc>
          <w:tcPr>
            <w:tcW w:type="dxa" w:w="5669"/>
            <w:shd w:val="clear" w:color="auto" w:fill="EEF4FB"/>
          </w:tcPr>
          <w:p>
            <w:r/>
            <w:r>
              <w:rPr>
                <w:sz w:val="20"/>
              </w:rPr>
              <w:t>Gearing cap: 70% × total cost</w:t>
            </w:r>
          </w:p>
        </w:tc>
        <w:tc>
          <w:tcPr>
            <w:tcW w:type="dxa" w:w="3402"/>
            <w:shd w:val="clear" w:color="auto" w:fill="EEF4FB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96"/>
        </w:trPr>
        <w:tc>
          <w:tcPr>
            <w:tcW w:type="dxa" w:w="5669"/>
          </w:tcPr>
          <w:p>
            <w:r/>
            <w:r>
              <w:rPr>
                <w:sz w:val="20"/>
              </w:rPr>
              <w:t>Senior debt = MIN of the two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96"/>
        </w:trPr>
        <w:tc>
          <w:tcPr>
            <w:tcW w:type="dxa" w:w="5669"/>
            <w:shd w:val="clear" w:color="auto" w:fill="EEF4FB"/>
          </w:tcPr>
          <w:p>
            <w:r/>
            <w:r>
              <w:rPr>
                <w:sz w:val="20"/>
              </w:rPr>
              <w:t>Which test binds?</w:t>
            </w:r>
          </w:p>
        </w:tc>
        <w:tc>
          <w:tcPr>
            <w:tcW w:type="dxa" w:w="3402"/>
            <w:shd w:val="clear" w:color="auto" w:fill="EEF4FB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Step 3. Sources of funds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w="9639" w:type="dxa"/>
        <w:tblLayout w:type="fixed"/>
      </w:tblPr>
      <w:tblGrid>
        <w:gridCol w:w="3402"/>
        <w:gridCol w:w="1247"/>
        <w:gridCol w:w="1247"/>
        <w:gridCol w:w="3742"/>
      </w:tblGrid>
      <w:tr>
        <w:tc>
          <w:tcPr>
            <w:tcW w:type="dxa" w:w="3402"/>
            <w:shd w:val="clear" w:color="auto" w:fill="002060"/>
          </w:tcPr>
          <w:p>
            <w:r/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1247"/>
            <w:shd w:val="clear" w:color="auto" w:fill="002060"/>
          </w:tcPr>
          <w:p>
            <w:r/>
            <w:r>
              <w:rPr>
                <w:b/>
                <w:color w:val="FFFFFF"/>
                <w:sz w:val="20"/>
              </w:rPr>
              <w:t>US$m</w:t>
            </w:r>
          </w:p>
        </w:tc>
        <w:tc>
          <w:tcPr>
            <w:tcW w:type="dxa" w:w="1247"/>
            <w:shd w:val="clear" w:color="auto" w:fill="002060"/>
          </w:tcPr>
          <w:p>
            <w:r/>
            <w:r>
              <w:rPr>
                <w:b/>
                <w:color w:val="FFFFFF"/>
                <w:sz w:val="20"/>
              </w:rPr>
              <w:t>% of total</w:t>
            </w:r>
          </w:p>
        </w:tc>
        <w:tc>
          <w:tcPr>
            <w:tcW w:type="dxa" w:w="3742"/>
            <w:shd w:val="clear" w:color="auto" w:fill="002060"/>
          </w:tcPr>
          <w:p>
            <w:r/>
            <w:r>
              <w:rPr>
                <w:b/>
                <w:color w:val="FFFFFF"/>
                <w:sz w:val="20"/>
              </w:rPr>
              <w:t>Why this provider?</w:t>
            </w:r>
          </w:p>
        </w:tc>
      </w:tr>
      <w:tr>
        <w:trPr>
          <w:trHeight w:val="396"/>
        </w:trPr>
        <w:tc>
          <w:tcPr>
            <w:tcW w:type="dxa" w:w="3402"/>
          </w:tcPr>
          <w:p>
            <w:r/>
            <w:r>
              <w:rPr>
                <w:sz w:val="20"/>
              </w:rPr>
              <w:t>Senior A: DFI US$ loan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96"/>
        </w:trPr>
        <w:tc>
          <w:tcPr>
            <w:tcW w:type="dxa" w:w="3402"/>
            <w:shd w:val="clear" w:color="auto" w:fill="EEF4FB"/>
          </w:tcPr>
          <w:p>
            <w:r/>
            <w:r>
              <w:rPr>
                <w:sz w:val="20"/>
              </w:rPr>
              <w:t>Senior B: InfraCredit-guaranteed naira bond</w:t>
            </w:r>
          </w:p>
        </w:tc>
        <w:tc>
          <w:tcPr>
            <w:tcW w:type="dxa" w:w="1247"/>
            <w:shd w:val="clear" w:color="auto" w:fill="EEF4FB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  <w:shd w:val="clear" w:color="auto" w:fill="EEF4FB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742"/>
            <w:shd w:val="clear" w:color="auto" w:fill="EEF4FB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96"/>
        </w:trPr>
        <w:tc>
          <w:tcPr>
            <w:tcW w:type="dxa" w:w="3402"/>
          </w:tcPr>
          <w:p>
            <w:r/>
            <w:r>
              <w:rPr>
                <w:sz w:val="20"/>
              </w:rPr>
              <w:t>Shareholder loan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96"/>
        </w:trPr>
        <w:tc>
          <w:tcPr>
            <w:tcW w:type="dxa" w:w="3402"/>
            <w:shd w:val="clear" w:color="auto" w:fill="EEF4FB"/>
          </w:tcPr>
          <w:p>
            <w:r/>
            <w:r>
              <w:rPr>
                <w:sz w:val="20"/>
              </w:rPr>
              <w:t>Ordinary equity</w:t>
            </w:r>
          </w:p>
        </w:tc>
        <w:tc>
          <w:tcPr>
            <w:tcW w:type="dxa" w:w="1247"/>
            <w:shd w:val="clear" w:color="auto" w:fill="EEF4FB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  <w:shd w:val="clear" w:color="auto" w:fill="EEF4FB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742"/>
            <w:shd w:val="clear" w:color="auto" w:fill="EEF4FB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96"/>
        </w:trPr>
        <w:tc>
          <w:tcPr>
            <w:tcW w:type="dxa" w:w="3402"/>
          </w:tcPr>
          <w:p>
            <w:r/>
            <w:r>
              <w:rPr>
                <w:sz w:val="20"/>
              </w:rPr>
              <w:t>TOTAL (must equal uses)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Step 4. Questions</w:t>
      </w:r>
    </w:p>
    <w:p>
      <w:pPr>
        <w:pStyle w:val="ListBullet"/>
        <w:spacing w:after="40"/>
      </w:pPr>
      <w:r>
        <w:rPr>
          <w:b w:val="0"/>
        </w:rPr>
        <w:t>Change the target DSCR to 1.25x. What happens to debt, and why does it stop at US$38.5m? ________________</w:t>
      </w:r>
    </w:p>
    <w:p>
      <w:pPr>
        <w:pStyle w:val="ListBullet"/>
        <w:spacing w:after="40"/>
      </w:pPr>
      <w:r>
        <w:rPr>
          <w:b w:val="0"/>
        </w:rPr>
        <w:t>Gearing: ______ %     Sponsor IRR: ______ %     Would the sponsor be happy? ________________</w:t>
      </w:r>
    </w:p>
    <w:p>
      <w:r>
        <w:br w:type="page"/>
      </w:r>
    </w:p>
    <w:p>
      <w:pPr>
        <w:pStyle w:val="Heading1"/>
      </w:pPr>
      <w:r>
        <w:t>Page 4  |  The Bankability Checklist (20 questions)</w:t>
      </w:r>
    </w:p>
    <w:p>
      <w:r>
        <w:rPr>
          <w:b w:val="0"/>
          <w:i/>
          <w:color w:val="595959"/>
        </w:rPr>
        <w:t>Use it on Sahel Sun today and on your next infrastructure deal. Tick Yes / No / Unclear and note the evidence.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w="9639" w:type="dxa"/>
        <w:tblLayout w:type="fixed"/>
      </w:tblPr>
      <w:tblGrid>
        <w:gridCol w:w="453"/>
        <w:gridCol w:w="5386"/>
        <w:gridCol w:w="1530"/>
        <w:gridCol w:w="2268"/>
      </w:tblGrid>
      <w:tr>
        <w:tc>
          <w:tcPr>
            <w:tcW w:type="dxa" w:w="454"/>
            <w:shd w:val="clear" w:color="auto" w:fill="002060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5386"/>
            <w:shd w:val="clear" w:color="auto" w:fill="002060"/>
          </w:tcPr>
          <w:p>
            <w:r/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1531"/>
            <w:shd w:val="clear" w:color="auto" w:fill="002060"/>
          </w:tcPr>
          <w:p>
            <w:r/>
            <w:r>
              <w:rPr>
                <w:b/>
                <w:color w:val="FFFFFF"/>
                <w:sz w:val="19"/>
              </w:rPr>
              <w:t>Yes / No / Unclear</w:t>
            </w:r>
          </w:p>
        </w:tc>
        <w:tc>
          <w:tcPr>
            <w:tcW w:type="dxa" w:w="2268"/>
            <w:shd w:val="clear" w:color="auto" w:fill="002060"/>
          </w:tcPr>
          <w:p>
            <w:r/>
            <w:r>
              <w:rPr>
                <w:b/>
                <w:color w:val="FFFFFF"/>
                <w:sz w:val="19"/>
              </w:rPr>
              <w:t>Evidence / notes</w:t>
            </w:r>
          </w:p>
        </w:tc>
      </w:tr>
      <w:tr>
        <w:tc>
          <w:tcPr>
            <w:tcW w:type="dxa" w:w="454"/>
            <w:shd w:val="clear" w:color="auto" w:fill="DDEBF7"/>
          </w:tcPr>
          <w:p>
            <w:r>
              <w:rPr>
                <w:b/>
                <w:color w:val="002060"/>
              </w:rPr>
            </w:r>
            <w:r>
              <w:rPr>
                <w:b/>
                <w:color w:val="002060"/>
                <w:sz w:val="19"/>
              </w:rPr>
            </w:r>
          </w:p>
        </w:tc>
        <w:tc>
          <w:tcPr>
            <w:tcW w:type="dxa" w:w="5386"/>
            <w:shd w:val="clear" w:color="auto" w:fill="DDEBF7"/>
          </w:tcPr>
          <w:p>
            <w:r>
              <w:rPr>
                <w:b/>
                <w:color w:val="002060"/>
              </w:rPr>
            </w:r>
            <w:r>
              <w:rPr>
                <w:b/>
                <w:color w:val="002060"/>
                <w:sz w:val="19"/>
              </w:rPr>
              <w:t>SPONSORS</w:t>
            </w:r>
          </w:p>
        </w:tc>
        <w:tc>
          <w:tcPr>
            <w:tcW w:type="dxa" w:w="1531"/>
            <w:shd w:val="clear" w:color="auto" w:fill="DDEBF7"/>
          </w:tcPr>
          <w:p>
            <w:r>
              <w:rPr>
                <w:b/>
                <w:color w:val="002060"/>
              </w:rPr>
            </w:r>
            <w:r>
              <w:rPr>
                <w:b/>
                <w:color w:val="002060"/>
                <w:sz w:val="19"/>
              </w:rPr>
            </w:r>
          </w:p>
        </w:tc>
        <w:tc>
          <w:tcPr>
            <w:tcW w:type="dxa" w:w="2268"/>
            <w:shd w:val="clear" w:color="auto" w:fill="DDEBF7"/>
          </w:tcPr>
          <w:p>
            <w:r>
              <w:rPr>
                <w:b/>
                <w:color w:val="002060"/>
              </w:rPr>
            </w:r>
            <w:r>
              <w:rPr>
                <w:b/>
                <w:color w:val="002060"/>
                <w:sz w:val="19"/>
              </w:rPr>
            </w:r>
          </w:p>
        </w:tc>
      </w:tr>
      <w:tr>
        <w:tc>
          <w:tcPr>
            <w:tcW w:type="dxa" w:w="454"/>
            <w:shd w:val="clear" w:color="auto" w:fill="EEF4FB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5386"/>
            <w:shd w:val="clear" w:color="auto" w:fill="EEF4FB"/>
          </w:tcPr>
          <w:p>
            <w:r/>
            <w:r>
              <w:rPr>
                <w:sz w:val="19"/>
              </w:rPr>
              <w:t>Do the sponsors have a track record in this sector and country?</w:t>
            </w:r>
          </w:p>
        </w:tc>
        <w:tc>
          <w:tcPr>
            <w:tcW w:type="dxa" w:w="1531"/>
            <w:shd w:val="clear" w:color="auto" w:fill="EEF4FB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268"/>
            <w:shd w:val="clear" w:color="auto" w:fill="EEF4FB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Is equity at least 25–30% of cost, committed and backed by LCs?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54"/>
            <w:shd w:val="clear" w:color="auto" w:fill="EEF4FB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5386"/>
            <w:shd w:val="clear" w:color="auto" w:fill="EEF4FB"/>
          </w:tcPr>
          <w:p>
            <w:r/>
            <w:r>
              <w:rPr>
                <w:sz w:val="19"/>
              </w:rPr>
              <w:t>Is there sponsor support (completion guarantee, cost-overrun facility) until completion?</w:t>
            </w:r>
          </w:p>
        </w:tc>
        <w:tc>
          <w:tcPr>
            <w:tcW w:type="dxa" w:w="1531"/>
            <w:shd w:val="clear" w:color="auto" w:fill="EEF4FB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268"/>
            <w:shd w:val="clear" w:color="auto" w:fill="EEF4FB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Are the sponsors' interests aligned (lock-in, share retention)?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54"/>
            <w:shd w:val="clear" w:color="auto" w:fill="EEF4FB"/>
            <w:shd w:val="clear" w:color="auto" w:fill="DDEBF7"/>
          </w:tcPr>
          <w:p>
            <w:r>
              <w:rPr>
                <w:b/>
                <w:color w:val="002060"/>
              </w:rPr>
            </w:r>
            <w:r>
              <w:rPr>
                <w:b/>
                <w:color w:val="002060"/>
                <w:sz w:val="19"/>
              </w:rPr>
            </w:r>
          </w:p>
        </w:tc>
        <w:tc>
          <w:tcPr>
            <w:tcW w:type="dxa" w:w="5386"/>
            <w:shd w:val="clear" w:color="auto" w:fill="EEF4FB"/>
            <w:shd w:val="clear" w:color="auto" w:fill="DDEBF7"/>
          </w:tcPr>
          <w:p>
            <w:r>
              <w:rPr>
                <w:b/>
                <w:color w:val="002060"/>
              </w:rPr>
            </w:r>
            <w:r>
              <w:rPr>
                <w:b/>
                <w:color w:val="002060"/>
                <w:sz w:val="19"/>
              </w:rPr>
              <w:t>CONTRACTS</w:t>
            </w:r>
          </w:p>
        </w:tc>
        <w:tc>
          <w:tcPr>
            <w:tcW w:type="dxa" w:w="1531"/>
            <w:shd w:val="clear" w:color="auto" w:fill="EEF4FB"/>
            <w:shd w:val="clear" w:color="auto" w:fill="DDEBF7"/>
          </w:tcPr>
          <w:p>
            <w:r>
              <w:rPr>
                <w:b/>
                <w:color w:val="002060"/>
              </w:rPr>
            </w:r>
            <w:r>
              <w:rPr>
                <w:b/>
                <w:color w:val="002060"/>
                <w:sz w:val="19"/>
              </w:rPr>
            </w:r>
          </w:p>
        </w:tc>
        <w:tc>
          <w:tcPr>
            <w:tcW w:type="dxa" w:w="2268"/>
            <w:shd w:val="clear" w:color="auto" w:fill="EEF4FB"/>
            <w:shd w:val="clear" w:color="auto" w:fill="DDEBF7"/>
          </w:tcPr>
          <w:p>
            <w:r>
              <w:rPr>
                <w:b/>
                <w:color w:val="002060"/>
              </w:rPr>
            </w:r>
            <w:r>
              <w:rPr>
                <w:b/>
                <w:color w:val="002060"/>
                <w:sz w:val="19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Is there a bankable PPA / concession for longer than the loan tenor?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54"/>
            <w:shd w:val="clear" w:color="auto" w:fill="EEF4FB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5386"/>
            <w:shd w:val="clear" w:color="auto" w:fill="EEF4FB"/>
          </w:tcPr>
          <w:p>
            <w:r/>
            <w:r>
              <w:rPr>
                <w:sz w:val="19"/>
              </w:rPr>
              <w:t>Is the EPC fixed-price, date-certain and turnkey, with LDs and bonds?</w:t>
            </w:r>
          </w:p>
        </w:tc>
        <w:tc>
          <w:tcPr>
            <w:tcW w:type="dxa" w:w="1531"/>
            <w:shd w:val="clear" w:color="auto" w:fill="EEF4FB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268"/>
            <w:shd w:val="clear" w:color="auto" w:fill="EEF4FB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Is there a long-term O&amp;M contract with performance guarantees?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54"/>
            <w:shd w:val="clear" w:color="auto" w:fill="EEF4FB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5386"/>
            <w:shd w:val="clear" w:color="auto" w:fill="EEF4FB"/>
          </w:tcPr>
          <w:p>
            <w:r/>
            <w:r>
              <w:rPr>
                <w:sz w:val="19"/>
              </w:rPr>
              <w:t>Are land, permits, grid connection and ESIA in place?</w:t>
            </w:r>
          </w:p>
        </w:tc>
        <w:tc>
          <w:tcPr>
            <w:tcW w:type="dxa" w:w="1531"/>
            <w:shd w:val="clear" w:color="auto" w:fill="EEF4FB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268"/>
            <w:shd w:val="clear" w:color="auto" w:fill="EEF4FB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54"/>
            <w:shd w:val="clear" w:color="auto" w:fill="DDEBF7"/>
          </w:tcPr>
          <w:p>
            <w:r>
              <w:rPr>
                <w:b/>
                <w:color w:val="002060"/>
              </w:rPr>
            </w:r>
            <w:r>
              <w:rPr>
                <w:b/>
                <w:color w:val="002060"/>
                <w:sz w:val="19"/>
              </w:rPr>
            </w:r>
          </w:p>
        </w:tc>
        <w:tc>
          <w:tcPr>
            <w:tcW w:type="dxa" w:w="5386"/>
            <w:shd w:val="clear" w:color="auto" w:fill="DDEBF7"/>
          </w:tcPr>
          <w:p>
            <w:r>
              <w:rPr>
                <w:b/>
                <w:color w:val="002060"/>
              </w:rPr>
            </w:r>
            <w:r>
              <w:rPr>
                <w:b/>
                <w:color w:val="002060"/>
                <w:sz w:val="19"/>
              </w:rPr>
              <w:t>REVENUE &amp; PAYMENT</w:t>
            </w:r>
          </w:p>
        </w:tc>
        <w:tc>
          <w:tcPr>
            <w:tcW w:type="dxa" w:w="1531"/>
            <w:shd w:val="clear" w:color="auto" w:fill="DDEBF7"/>
          </w:tcPr>
          <w:p>
            <w:r>
              <w:rPr>
                <w:b/>
                <w:color w:val="002060"/>
              </w:rPr>
            </w:r>
            <w:r>
              <w:rPr>
                <w:b/>
                <w:color w:val="002060"/>
                <w:sz w:val="19"/>
              </w:rPr>
            </w:r>
          </w:p>
        </w:tc>
        <w:tc>
          <w:tcPr>
            <w:tcW w:type="dxa" w:w="2268"/>
            <w:shd w:val="clear" w:color="auto" w:fill="DDEBF7"/>
          </w:tcPr>
          <w:p>
            <w:r>
              <w:rPr>
                <w:b/>
                <w:color w:val="002060"/>
              </w:rPr>
            </w:r>
            <w:r>
              <w:rPr>
                <w:b/>
                <w:color w:val="002060"/>
                <w:sz w:val="19"/>
              </w:rPr>
            </w:r>
          </w:p>
        </w:tc>
      </w:tr>
      <w:tr>
        <w:tc>
          <w:tcPr>
            <w:tcW w:type="dxa" w:w="454"/>
            <w:shd w:val="clear" w:color="auto" w:fill="EEF4FB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5386"/>
            <w:shd w:val="clear" w:color="auto" w:fill="EEF4FB"/>
          </w:tcPr>
          <w:p>
            <w:r/>
            <w:r>
              <w:rPr>
                <w:sz w:val="19"/>
              </w:rPr>
              <w:t>Is the payer creditworthy? What is its payment record?</w:t>
            </w:r>
          </w:p>
        </w:tc>
        <w:tc>
          <w:tcPr>
            <w:tcW w:type="dxa" w:w="1531"/>
            <w:shd w:val="clear" w:color="auto" w:fill="EEF4FB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268"/>
            <w:shd w:val="clear" w:color="auto" w:fill="EEF4FB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Is there payment security (LC, escrow, guarantee, PRG)?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54"/>
            <w:shd w:val="clear" w:color="auto" w:fill="EEF4FB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5386"/>
            <w:shd w:val="clear" w:color="auto" w:fill="EEF4FB"/>
          </w:tcPr>
          <w:p>
            <w:r/>
            <w:r>
              <w:rPr>
                <w:sz w:val="19"/>
              </w:rPr>
              <w:t>Are there termination payments that at least cover outstanding debt?</w:t>
            </w:r>
          </w:p>
        </w:tc>
        <w:tc>
          <w:tcPr>
            <w:tcW w:type="dxa" w:w="1531"/>
            <w:shd w:val="clear" w:color="auto" w:fill="EEF4FB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268"/>
            <w:shd w:val="clear" w:color="auto" w:fill="EEF4FB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Is grid/demand risk carried by the offtaker (deemed energy / take-or-pay)?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54"/>
            <w:shd w:val="clear" w:color="auto" w:fill="EEF4FB"/>
            <w:shd w:val="clear" w:color="auto" w:fill="DDEBF7"/>
          </w:tcPr>
          <w:p>
            <w:r>
              <w:rPr>
                <w:b/>
                <w:color w:val="002060"/>
              </w:rPr>
            </w:r>
            <w:r>
              <w:rPr>
                <w:b/>
                <w:color w:val="002060"/>
                <w:sz w:val="19"/>
              </w:rPr>
            </w:r>
          </w:p>
        </w:tc>
        <w:tc>
          <w:tcPr>
            <w:tcW w:type="dxa" w:w="5386"/>
            <w:shd w:val="clear" w:color="auto" w:fill="EEF4FB"/>
            <w:shd w:val="clear" w:color="auto" w:fill="DDEBF7"/>
          </w:tcPr>
          <w:p>
            <w:r>
              <w:rPr>
                <w:b/>
                <w:color w:val="002060"/>
              </w:rPr>
            </w:r>
            <w:r>
              <w:rPr>
                <w:b/>
                <w:color w:val="002060"/>
                <w:sz w:val="19"/>
              </w:rPr>
              <w:t>CURRENCY &amp; MARKET</w:t>
            </w:r>
          </w:p>
        </w:tc>
        <w:tc>
          <w:tcPr>
            <w:tcW w:type="dxa" w:w="1531"/>
            <w:shd w:val="clear" w:color="auto" w:fill="EEF4FB"/>
            <w:shd w:val="clear" w:color="auto" w:fill="DDEBF7"/>
          </w:tcPr>
          <w:p>
            <w:r>
              <w:rPr>
                <w:b/>
                <w:color w:val="002060"/>
              </w:rPr>
            </w:r>
            <w:r>
              <w:rPr>
                <w:b/>
                <w:color w:val="002060"/>
                <w:sz w:val="19"/>
              </w:rPr>
            </w:r>
          </w:p>
        </w:tc>
        <w:tc>
          <w:tcPr>
            <w:tcW w:type="dxa" w:w="2268"/>
            <w:shd w:val="clear" w:color="auto" w:fill="EEF4FB"/>
            <w:shd w:val="clear" w:color="auto" w:fill="DDEBF7"/>
          </w:tcPr>
          <w:p>
            <w:r>
              <w:rPr>
                <w:b/>
                <w:color w:val="002060"/>
              </w:rPr>
            </w:r>
            <w:r>
              <w:rPr>
                <w:b/>
                <w:color w:val="002060"/>
                <w:sz w:val="19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Are revenue and debt in the same currency? If not, is there FX pass-through?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54"/>
            <w:shd w:val="clear" w:color="auto" w:fill="EEF4FB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5386"/>
            <w:shd w:val="clear" w:color="auto" w:fill="EEF4FB"/>
          </w:tcPr>
          <w:p>
            <w:r/>
            <w:r>
              <w:rPr>
                <w:sz w:val="19"/>
              </w:rPr>
              <w:t>Is convertibility / transfer risk covered (MIGA, offshore accounts)?</w:t>
            </w:r>
          </w:p>
        </w:tc>
        <w:tc>
          <w:tcPr>
            <w:tcW w:type="dxa" w:w="1531"/>
            <w:shd w:val="clear" w:color="auto" w:fill="EEF4FB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268"/>
            <w:shd w:val="clear" w:color="auto" w:fill="EEF4FB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54"/>
            <w:shd w:val="clear" w:color="auto" w:fill="DDEBF7"/>
          </w:tcPr>
          <w:p>
            <w:r>
              <w:rPr>
                <w:b/>
                <w:color w:val="002060"/>
              </w:rPr>
            </w:r>
            <w:r>
              <w:rPr>
                <w:b/>
                <w:color w:val="002060"/>
                <w:sz w:val="19"/>
              </w:rPr>
            </w:r>
          </w:p>
        </w:tc>
        <w:tc>
          <w:tcPr>
            <w:tcW w:type="dxa" w:w="5386"/>
            <w:shd w:val="clear" w:color="auto" w:fill="DDEBF7"/>
          </w:tcPr>
          <w:p>
            <w:r>
              <w:rPr>
                <w:b/>
                <w:color w:val="002060"/>
              </w:rPr>
            </w:r>
            <w:r>
              <w:rPr>
                <w:b/>
                <w:color w:val="002060"/>
                <w:sz w:val="19"/>
              </w:rPr>
              <w:t>NUMBERS</w:t>
            </w:r>
          </w:p>
        </w:tc>
        <w:tc>
          <w:tcPr>
            <w:tcW w:type="dxa" w:w="1531"/>
            <w:shd w:val="clear" w:color="auto" w:fill="DDEBF7"/>
          </w:tcPr>
          <w:p>
            <w:r>
              <w:rPr>
                <w:b/>
                <w:color w:val="002060"/>
              </w:rPr>
            </w:r>
            <w:r>
              <w:rPr>
                <w:b/>
                <w:color w:val="002060"/>
                <w:sz w:val="19"/>
              </w:rPr>
            </w:r>
          </w:p>
        </w:tc>
        <w:tc>
          <w:tcPr>
            <w:tcW w:type="dxa" w:w="2268"/>
            <w:shd w:val="clear" w:color="auto" w:fill="DDEBF7"/>
          </w:tcPr>
          <w:p>
            <w:r>
              <w:rPr>
                <w:b/>
                <w:color w:val="002060"/>
              </w:rPr>
            </w:r>
            <w:r>
              <w:rPr>
                <w:b/>
                <w:color w:val="002060"/>
                <w:sz w:val="19"/>
              </w:rPr>
            </w:r>
          </w:p>
        </w:tc>
      </w:tr>
      <w:tr>
        <w:tc>
          <w:tcPr>
            <w:tcW w:type="dxa" w:w="454"/>
            <w:shd w:val="clear" w:color="auto" w:fill="EEF4FB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5386"/>
            <w:shd w:val="clear" w:color="auto" w:fill="EEF4FB"/>
          </w:tcPr>
          <w:p>
            <w:r/>
            <w:r>
              <w:rPr>
                <w:sz w:val="19"/>
              </w:rPr>
              <w:t>Is minimum DSCR ≥ target in the base case AND a realistic downside?</w:t>
            </w:r>
          </w:p>
        </w:tc>
        <w:tc>
          <w:tcPr>
            <w:tcW w:type="dxa" w:w="1531"/>
            <w:shd w:val="clear" w:color="auto" w:fill="EEF4FB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268"/>
            <w:shd w:val="clear" w:color="auto" w:fill="EEF4FB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Is LLCR comfortable (≥1.30x)?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54"/>
            <w:shd w:val="clear" w:color="auto" w:fill="EEF4FB"/>
          </w:tcPr>
          <w:p>
            <w:r/>
            <w:r>
              <w:rPr>
                <w:sz w:val="19"/>
              </w:rPr>
              <w:t>17</w:t>
            </w:r>
          </w:p>
        </w:tc>
        <w:tc>
          <w:tcPr>
            <w:tcW w:type="dxa" w:w="5386"/>
            <w:shd w:val="clear" w:color="auto" w:fill="EEF4FB"/>
          </w:tcPr>
          <w:p>
            <w:r/>
            <w:r>
              <w:rPr>
                <w:sz w:val="19"/>
              </w:rPr>
              <w:t>Are DSRA, lock-up and cash-sweep provisions adequate?</w:t>
            </w:r>
          </w:p>
        </w:tc>
        <w:tc>
          <w:tcPr>
            <w:tcW w:type="dxa" w:w="1531"/>
            <w:shd w:val="clear" w:color="auto" w:fill="EEF4FB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268"/>
            <w:shd w:val="clear" w:color="auto" w:fill="EEF4FB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18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Has the model been independently audited?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54"/>
            <w:shd w:val="clear" w:color="auto" w:fill="EEF4FB"/>
            <w:shd w:val="clear" w:color="auto" w:fill="DDEBF7"/>
          </w:tcPr>
          <w:p>
            <w:r>
              <w:rPr>
                <w:b/>
                <w:color w:val="002060"/>
              </w:rPr>
            </w:r>
            <w:r>
              <w:rPr>
                <w:b/>
                <w:color w:val="002060"/>
                <w:sz w:val="19"/>
              </w:rPr>
            </w:r>
          </w:p>
        </w:tc>
        <w:tc>
          <w:tcPr>
            <w:tcW w:type="dxa" w:w="5386"/>
            <w:shd w:val="clear" w:color="auto" w:fill="EEF4FB"/>
            <w:shd w:val="clear" w:color="auto" w:fill="DDEBF7"/>
          </w:tcPr>
          <w:p>
            <w:r>
              <w:rPr>
                <w:b/>
                <w:color w:val="002060"/>
              </w:rPr>
            </w:r>
            <w:r>
              <w:rPr>
                <w:b/>
                <w:color w:val="002060"/>
                <w:sz w:val="19"/>
              </w:rPr>
              <w:t>COUNTRY, LEGAL &amp; ESG</w:t>
            </w:r>
          </w:p>
        </w:tc>
        <w:tc>
          <w:tcPr>
            <w:tcW w:type="dxa" w:w="1531"/>
            <w:shd w:val="clear" w:color="auto" w:fill="EEF4FB"/>
            <w:shd w:val="clear" w:color="auto" w:fill="DDEBF7"/>
          </w:tcPr>
          <w:p>
            <w:r>
              <w:rPr>
                <w:b/>
                <w:color w:val="002060"/>
              </w:rPr>
            </w:r>
            <w:r>
              <w:rPr>
                <w:b/>
                <w:color w:val="002060"/>
                <w:sz w:val="19"/>
              </w:rPr>
            </w:r>
          </w:p>
        </w:tc>
        <w:tc>
          <w:tcPr>
            <w:tcW w:type="dxa" w:w="2268"/>
            <w:shd w:val="clear" w:color="auto" w:fill="EEF4FB"/>
            <w:shd w:val="clear" w:color="auto" w:fill="DDEBF7"/>
          </w:tcPr>
          <w:p>
            <w:r>
              <w:rPr>
                <w:b/>
                <w:color w:val="002060"/>
              </w:rPr>
            </w:r>
            <w:r>
              <w:rPr>
                <w:b/>
                <w:color w:val="002060"/>
                <w:sz w:val="19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19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Are change-in-law and political risks allocated / insured?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54"/>
            <w:shd w:val="clear" w:color="auto" w:fill="EEF4FB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5386"/>
            <w:shd w:val="clear" w:color="auto" w:fill="EEF4FB"/>
          </w:tcPr>
          <w:p>
            <w:r/>
            <w:r>
              <w:rPr>
                <w:sz w:val="19"/>
              </w:rPr>
              <w:t>Is the project compliant with IFC PS / Equator / NSBP, with an ESAP in the loan?</w:t>
            </w:r>
          </w:p>
        </w:tc>
        <w:tc>
          <w:tcPr>
            <w:tcW w:type="dxa" w:w="1531"/>
            <w:shd w:val="clear" w:color="auto" w:fill="EEF4FB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268"/>
            <w:shd w:val="clear" w:color="auto" w:fill="EEF4FB"/>
          </w:tcPr>
          <w:p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sectPr>
          <w:footerReference w:type="default" r:id="rId9"/>
          <w:headerReference w:type="default" r:id="rId10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t>Page 5  |  Risk Allocation Matrix: Project Sahel Sun</w:t>
      </w:r>
    </w:p>
    <w:p>
      <w:r>
        <w:rPr>
          <w:b w:val="0"/>
          <w:i/>
          <w:color w:val="595959"/>
        </w:rPr>
        <w:t>Your table's role: ______________________   Score likelihood and impact on DSCR from 1 (low) to 5 (high). Name the specific contract or instrument.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w="14515" w:type="dxa"/>
        <w:tblLayout w:type="fixed"/>
      </w:tblPr>
      <w:tblGrid>
        <w:gridCol w:w="2835"/>
        <w:gridCol w:w="1304"/>
        <w:gridCol w:w="1304"/>
        <w:gridCol w:w="1984"/>
        <w:gridCol w:w="4536"/>
        <w:gridCol w:w="2551"/>
      </w:tblGrid>
      <w:tr>
        <w:tc>
          <w:tcPr>
            <w:tcW w:type="dxa" w:w="2835"/>
            <w:shd w:val="clear" w:color="auto" w:fill="002060"/>
          </w:tcPr>
          <w:p>
            <w:r/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1304"/>
            <w:shd w:val="clear" w:color="auto" w:fill="002060"/>
          </w:tcPr>
          <w:p>
            <w:r/>
            <w:r>
              <w:rPr>
                <w:b/>
                <w:color w:val="FFFFFF"/>
                <w:sz w:val="20"/>
              </w:rPr>
              <w:t>Likelihood (1–5)</w:t>
            </w:r>
          </w:p>
        </w:tc>
        <w:tc>
          <w:tcPr>
            <w:tcW w:type="dxa" w:w="1304"/>
            <w:shd w:val="clear" w:color="auto" w:fill="002060"/>
          </w:tcPr>
          <w:p>
            <w:r/>
            <w:r>
              <w:rPr>
                <w:b/>
                <w:color w:val="FFFFFF"/>
                <w:sz w:val="20"/>
              </w:rPr>
              <w:t>Impact (1–5)</w:t>
            </w:r>
          </w:p>
        </w:tc>
        <w:tc>
          <w:tcPr>
            <w:tcW w:type="dxa" w:w="1984"/>
            <w:shd w:val="clear" w:color="auto" w:fill="002060"/>
          </w:tcPr>
          <w:p>
            <w:r/>
            <w:r>
              <w:rPr>
                <w:b/>
                <w:color w:val="FFFFFF"/>
                <w:sz w:val="20"/>
              </w:rPr>
              <w:t>Allocated to</w:t>
            </w:r>
          </w:p>
        </w:tc>
        <w:tc>
          <w:tcPr>
            <w:tcW w:type="dxa" w:w="4535"/>
            <w:shd w:val="clear" w:color="auto" w:fill="002060"/>
          </w:tcPr>
          <w:p>
            <w:r/>
            <w:r>
              <w:rPr>
                <w:b/>
                <w:color w:val="FFFFFF"/>
                <w:sz w:val="20"/>
              </w:rPr>
              <w:t>Contract / instrument / mitigant</w:t>
            </w:r>
          </w:p>
        </w:tc>
        <w:tc>
          <w:tcPr>
            <w:tcW w:type="dxa" w:w="2551"/>
            <w:shd w:val="clear" w:color="auto" w:fill="002060"/>
          </w:tcPr>
          <w:p>
            <w:r/>
            <w:r>
              <w:rPr>
                <w:b/>
                <w:color w:val="FFFFFF"/>
                <w:sz w:val="20"/>
              </w:rPr>
              <w:t>Residual risk for lenders</w:t>
            </w:r>
          </w:p>
        </w:tc>
      </w:tr>
      <w:tr>
        <w:trPr>
          <w:trHeight w:val="538"/>
        </w:trPr>
        <w:tc>
          <w:tcPr>
            <w:tcW w:type="dxa" w:w="2835"/>
          </w:tcPr>
          <w:p>
            <w:r/>
            <w:r>
              <w:rPr>
                <w:sz w:val="20"/>
              </w:rPr>
              <w:t>e.g. Construction delay</w:t>
            </w:r>
          </w:p>
        </w:tc>
        <w:tc>
          <w:tcPr>
            <w:tcW w:type="dxa" w:w="1304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304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EPC contractor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Delay LDs; sponsor completion guarantee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Low</w:t>
            </w:r>
          </w:p>
        </w:tc>
      </w:tr>
      <w:tr>
        <w:trPr>
          <w:trHeight w:val="538"/>
        </w:trPr>
        <w:tc>
          <w:tcPr>
            <w:tcW w:type="dxa" w:w="2835"/>
            <w:shd w:val="clear" w:color="auto" w:fill="EEF4FB"/>
          </w:tcPr>
          <w:p>
            <w:r/>
            <w:r>
              <w:rPr>
                <w:sz w:val="20"/>
              </w:rPr>
              <w:t>Construction cost overrun</w:t>
            </w:r>
          </w:p>
        </w:tc>
        <w:tc>
          <w:tcPr>
            <w:tcW w:type="dxa" w:w="1304"/>
            <w:shd w:val="clear" w:color="auto" w:fill="EEF4FB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304"/>
            <w:shd w:val="clear" w:color="auto" w:fill="EEF4FB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84"/>
            <w:shd w:val="clear" w:color="auto" w:fill="EEF4FB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535"/>
            <w:shd w:val="clear" w:color="auto" w:fill="EEF4FB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551"/>
            <w:shd w:val="clear" w:color="auto" w:fill="EEF4FB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38"/>
        </w:trPr>
        <w:tc>
          <w:tcPr>
            <w:tcW w:type="dxa" w:w="2835"/>
          </w:tcPr>
          <w:p>
            <w:r/>
            <w:r>
              <w:rPr>
                <w:sz w:val="20"/>
              </w:rPr>
              <w:t>Completion delay</w:t>
            </w:r>
          </w:p>
        </w:tc>
        <w:tc>
          <w:tcPr>
            <w:tcW w:type="dxa" w:w="1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38"/>
        </w:trPr>
        <w:tc>
          <w:tcPr>
            <w:tcW w:type="dxa" w:w="2835"/>
            <w:shd w:val="clear" w:color="auto" w:fill="EEF4FB"/>
          </w:tcPr>
          <w:p>
            <w:r/>
            <w:r>
              <w:rPr>
                <w:sz w:val="20"/>
              </w:rPr>
              <w:t>P90 output year</w:t>
            </w:r>
          </w:p>
        </w:tc>
        <w:tc>
          <w:tcPr>
            <w:tcW w:type="dxa" w:w="1304"/>
            <w:shd w:val="clear" w:color="auto" w:fill="EEF4FB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304"/>
            <w:shd w:val="clear" w:color="auto" w:fill="EEF4FB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84"/>
            <w:shd w:val="clear" w:color="auto" w:fill="EEF4FB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535"/>
            <w:shd w:val="clear" w:color="auto" w:fill="EEF4FB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551"/>
            <w:shd w:val="clear" w:color="auto" w:fill="EEF4FB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38"/>
        </w:trPr>
        <w:tc>
          <w:tcPr>
            <w:tcW w:type="dxa" w:w="2835"/>
          </w:tcPr>
          <w:p>
            <w:r/>
            <w:r>
              <w:rPr>
                <w:sz w:val="20"/>
              </w:rPr>
              <w:t>Offtaker late payment</w:t>
            </w:r>
          </w:p>
        </w:tc>
        <w:tc>
          <w:tcPr>
            <w:tcW w:type="dxa" w:w="1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38"/>
        </w:trPr>
        <w:tc>
          <w:tcPr>
            <w:tcW w:type="dxa" w:w="2835"/>
            <w:shd w:val="clear" w:color="auto" w:fill="EEF4FB"/>
          </w:tcPr>
          <w:p>
            <w:r/>
            <w:r>
              <w:rPr>
                <w:sz w:val="20"/>
              </w:rPr>
              <w:t>Naira devaluation</w:t>
            </w:r>
          </w:p>
        </w:tc>
        <w:tc>
          <w:tcPr>
            <w:tcW w:type="dxa" w:w="1304"/>
            <w:shd w:val="clear" w:color="auto" w:fill="EEF4FB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304"/>
            <w:shd w:val="clear" w:color="auto" w:fill="EEF4FB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84"/>
            <w:shd w:val="clear" w:color="auto" w:fill="EEF4FB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535"/>
            <w:shd w:val="clear" w:color="auto" w:fill="EEF4FB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551"/>
            <w:shd w:val="clear" w:color="auto" w:fill="EEF4FB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38"/>
        </w:trPr>
        <w:tc>
          <w:tcPr>
            <w:tcW w:type="dxa" w:w="2835"/>
          </w:tcPr>
          <w:p>
            <w:r/>
            <w:r>
              <w:rPr>
                <w:sz w:val="20"/>
              </w:rPr>
              <w:t>Change in tax law</w:t>
            </w:r>
          </w:p>
        </w:tc>
        <w:tc>
          <w:tcPr>
            <w:tcW w:type="dxa" w:w="1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38"/>
        </w:trPr>
        <w:tc>
          <w:tcPr>
            <w:tcW w:type="dxa" w:w="2835"/>
            <w:shd w:val="clear" w:color="auto" w:fill="EEF4FB"/>
          </w:tcPr>
          <w:p>
            <w:r/>
            <w:r>
              <w:rPr>
                <w:sz w:val="20"/>
              </w:rPr>
              <w:t>Grid evacuation failure (TCN)</w:t>
            </w:r>
          </w:p>
        </w:tc>
        <w:tc>
          <w:tcPr>
            <w:tcW w:type="dxa" w:w="1304"/>
            <w:shd w:val="clear" w:color="auto" w:fill="EEF4FB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304"/>
            <w:shd w:val="clear" w:color="auto" w:fill="EEF4FB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84"/>
            <w:shd w:val="clear" w:color="auto" w:fill="EEF4FB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535"/>
            <w:shd w:val="clear" w:color="auto" w:fill="EEF4FB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551"/>
            <w:shd w:val="clear" w:color="auto" w:fill="EEF4FB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38"/>
        </w:trPr>
        <w:tc>
          <w:tcPr>
            <w:tcW w:type="dxa" w:w="2835"/>
          </w:tcPr>
          <w:p>
            <w:r/>
            <w:r>
              <w:rPr>
                <w:sz w:val="20"/>
              </w:rPr>
              <w:t>Community land dispute</w:t>
            </w:r>
          </w:p>
        </w:tc>
        <w:tc>
          <w:tcPr>
            <w:tcW w:type="dxa" w:w="1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38"/>
        </w:trPr>
        <w:tc>
          <w:tcPr>
            <w:tcW w:type="dxa" w:w="2835"/>
            <w:shd w:val="clear" w:color="auto" w:fill="EEF4FB"/>
          </w:tcPr>
          <w:p>
            <w:r/>
            <w:r>
              <w:rPr>
                <w:sz w:val="20"/>
              </w:rPr>
              <w:t>Your own: ______________</w:t>
            </w:r>
          </w:p>
        </w:tc>
        <w:tc>
          <w:tcPr>
            <w:tcW w:type="dxa" w:w="1304"/>
            <w:shd w:val="clear" w:color="auto" w:fill="EEF4FB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304"/>
            <w:shd w:val="clear" w:color="auto" w:fill="EEF4FB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84"/>
            <w:shd w:val="clear" w:color="auto" w:fill="EEF4FB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535"/>
            <w:shd w:val="clear" w:color="auto" w:fill="EEF4FB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551"/>
            <w:shd w:val="clear" w:color="auto" w:fill="EEF4FB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r>
        <w:rPr>
          <w:b/>
          <w:i w:val="0"/>
          <w:color w:val="002060"/>
        </w:rPr>
        <w:t>Which ONE risk would your role refuse to accept at any price? ______________________________________</w:t>
      </w:r>
    </w:p>
    <w:p>
      <w:pPr>
        <w:sectPr>
          <w:pgSz w:w="16838" w:h="11906" w:orient="landscape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t>Page 6  |  Glossary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w="9639" w:type="dxa"/>
        <w:tblLayout w:type="fixed"/>
      </w:tblPr>
      <w:tblGrid>
        <w:gridCol w:w="2268"/>
        <w:gridCol w:w="7371"/>
      </w:tblGrid>
      <w:tr>
        <w:tc>
          <w:tcPr>
            <w:tcW w:type="dxa" w:w="2268"/>
            <w:shd w:val="clear" w:color="auto" w:fill="002060"/>
          </w:tcPr>
          <w:p>
            <w:r/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type="dxa" w:w="7370"/>
            <w:shd w:val="clear" w:color="auto" w:fill="002060"/>
          </w:tcPr>
          <w:p>
            <w:r/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CFADS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Cash Flow Available for Debt Service: revenue − opex − tax (± working capital − maintenance capex).</w:t>
            </w:r>
          </w:p>
        </w:tc>
      </w:tr>
      <w:tr>
        <w:tc>
          <w:tcPr>
            <w:tcW w:type="dxa" w:w="2268"/>
            <w:shd w:val="clear" w:color="auto" w:fill="EEF4FB"/>
          </w:tcPr>
          <w:p>
            <w:r/>
            <w:r>
              <w:rPr>
                <w:sz w:val="20"/>
              </w:rPr>
              <w:t>DSCR</w:t>
            </w:r>
          </w:p>
        </w:tc>
        <w:tc>
          <w:tcPr>
            <w:tcW w:type="dxa" w:w="7370"/>
            <w:shd w:val="clear" w:color="auto" w:fill="EEF4FB"/>
          </w:tcPr>
          <w:p>
            <w:r/>
            <w:r>
              <w:rPr>
                <w:sz w:val="20"/>
              </w:rPr>
              <w:t>Debt Service Cover Ratio = CFADS ÷ debt service (interest + principal) for a period.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LLCR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Loan Life Cover Ratio = PV of CFADS over the loan life ÷ debt outstanding.</w:t>
            </w:r>
          </w:p>
        </w:tc>
      </w:tr>
      <w:tr>
        <w:tc>
          <w:tcPr>
            <w:tcW w:type="dxa" w:w="2268"/>
            <w:shd w:val="clear" w:color="auto" w:fill="EEF4FB"/>
          </w:tcPr>
          <w:p>
            <w:r/>
            <w:r>
              <w:rPr>
                <w:sz w:val="20"/>
              </w:rPr>
              <w:t>Gearing</w:t>
            </w:r>
          </w:p>
        </w:tc>
        <w:tc>
          <w:tcPr>
            <w:tcW w:type="dxa" w:w="7370"/>
            <w:shd w:val="clear" w:color="auto" w:fill="EEF4FB"/>
          </w:tcPr>
          <w:p>
            <w:r/>
            <w:r>
              <w:rPr>
                <w:sz w:val="20"/>
              </w:rPr>
              <w:t>Debt ÷ total project cost (or debt ÷ (debt + equity)).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Sculpting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Shaping repayments so debt service = CFADS ÷ target DSCR in every period.</w:t>
            </w:r>
          </w:p>
        </w:tc>
      </w:tr>
      <w:tr>
        <w:tc>
          <w:tcPr>
            <w:tcW w:type="dxa" w:w="2268"/>
            <w:shd w:val="clear" w:color="auto" w:fill="EEF4FB"/>
          </w:tcPr>
          <w:p>
            <w:r/>
            <w:r>
              <w:rPr>
                <w:sz w:val="20"/>
              </w:rPr>
              <w:t>DSRA / MRA</w:t>
            </w:r>
          </w:p>
        </w:tc>
        <w:tc>
          <w:tcPr>
            <w:tcW w:type="dxa" w:w="7370"/>
            <w:shd w:val="clear" w:color="auto" w:fill="EEF4FB"/>
          </w:tcPr>
          <w:p>
            <w:r/>
            <w:r>
              <w:rPr>
                <w:sz w:val="20"/>
              </w:rPr>
              <w:t>Debt Service Reserve Account (usually 6 months of debt service) / Maintenance Reserve Account.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Lock-up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Distributions to equity blocked when DSCR falls below a set level (e.g. 1.20x).</w:t>
            </w:r>
          </w:p>
        </w:tc>
      </w:tr>
      <w:tr>
        <w:tc>
          <w:tcPr>
            <w:tcW w:type="dxa" w:w="2268"/>
            <w:shd w:val="clear" w:color="auto" w:fill="EEF4FB"/>
          </w:tcPr>
          <w:p>
            <w:r/>
            <w:r>
              <w:rPr>
                <w:sz w:val="20"/>
              </w:rPr>
              <w:t>SPV</w:t>
            </w:r>
          </w:p>
        </w:tc>
        <w:tc>
          <w:tcPr>
            <w:tcW w:type="dxa" w:w="7370"/>
            <w:shd w:val="clear" w:color="auto" w:fill="EEF4FB"/>
          </w:tcPr>
          <w:p>
            <w:r/>
            <w:r>
              <w:rPr>
                <w:sz w:val="20"/>
              </w:rPr>
              <w:t>Special Purpose Vehicle: a company created to own and run a single project.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Non- / limited recourse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Lenders rely only (or mainly) on project cash flow; sponsor support limited to defined risks or periods.</w:t>
            </w:r>
          </w:p>
        </w:tc>
      </w:tr>
      <w:tr>
        <w:tc>
          <w:tcPr>
            <w:tcW w:type="dxa" w:w="2268"/>
            <w:shd w:val="clear" w:color="auto" w:fill="EEF4FB"/>
          </w:tcPr>
          <w:p>
            <w:r/>
            <w:r>
              <w:rPr>
                <w:sz w:val="20"/>
              </w:rPr>
              <w:t>EPC</w:t>
            </w:r>
          </w:p>
        </w:tc>
        <w:tc>
          <w:tcPr>
            <w:tcW w:type="dxa" w:w="7370"/>
            <w:shd w:val="clear" w:color="auto" w:fill="EEF4FB"/>
          </w:tcPr>
          <w:p>
            <w:r/>
            <w:r>
              <w:rPr>
                <w:sz w:val="20"/>
              </w:rPr>
              <w:t>Engineering, Procurement and Construction contract: usually fixed-price, date-certain, turnkey.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PPA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Power Purchase Agreement: long-term contract to sell electricity to an offtaker.</w:t>
            </w:r>
          </w:p>
        </w:tc>
      </w:tr>
      <w:tr>
        <w:tc>
          <w:tcPr>
            <w:tcW w:type="dxa" w:w="2268"/>
            <w:shd w:val="clear" w:color="auto" w:fill="EEF4FB"/>
          </w:tcPr>
          <w:p>
            <w:r/>
            <w:r>
              <w:rPr>
                <w:sz w:val="20"/>
              </w:rPr>
              <w:t>Take-or-pay / deemed energy</w:t>
            </w:r>
          </w:p>
        </w:tc>
        <w:tc>
          <w:tcPr>
            <w:tcW w:type="dxa" w:w="7370"/>
            <w:shd w:val="clear" w:color="auto" w:fill="EEF4FB"/>
          </w:tcPr>
          <w:p>
            <w:r/>
            <w:r>
              <w:rPr>
                <w:sz w:val="20"/>
              </w:rPr>
              <w:t>Offtaker pays for available capacity even if it cannot take the power.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PRG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Partial Risk Guarantee (World Bank): covers a government's failure to meet contractual obligations.</w:t>
            </w:r>
          </w:p>
        </w:tc>
      </w:tr>
      <w:tr>
        <w:tc>
          <w:tcPr>
            <w:tcW w:type="dxa" w:w="2268"/>
            <w:shd w:val="clear" w:color="auto" w:fill="EEF4FB"/>
          </w:tcPr>
          <w:p>
            <w:r/>
            <w:r>
              <w:rPr>
                <w:sz w:val="20"/>
              </w:rPr>
              <w:t>MIGA</w:t>
            </w:r>
          </w:p>
        </w:tc>
        <w:tc>
          <w:tcPr>
            <w:tcW w:type="dxa" w:w="7370"/>
            <w:shd w:val="clear" w:color="auto" w:fill="EEF4FB"/>
          </w:tcPr>
          <w:p>
            <w:r/>
            <w:r>
              <w:rPr>
                <w:sz w:val="20"/>
              </w:rPr>
              <w:t>Multilateral Investment Guarantee Agency: political risk insurance (expropriation, war, transfer).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P50 / P90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Output expected to be exceeded 50% / 90% of the time.</w:t>
            </w:r>
          </w:p>
        </w:tc>
      </w:tr>
      <w:tr>
        <w:tc>
          <w:tcPr>
            <w:tcW w:type="dxa" w:w="2268"/>
            <w:shd w:val="clear" w:color="auto" w:fill="EEF4FB"/>
          </w:tcPr>
          <w:p>
            <w:r/>
            <w:r>
              <w:rPr>
                <w:sz w:val="20"/>
              </w:rPr>
              <w:t>ICRC</w:t>
            </w:r>
          </w:p>
        </w:tc>
        <w:tc>
          <w:tcPr>
            <w:tcW w:type="dxa" w:w="7370"/>
            <w:shd w:val="clear" w:color="auto" w:fill="EEF4FB"/>
          </w:tcPr>
          <w:p>
            <w:r/>
            <w:r>
              <w:rPr>
                <w:sz w:val="20"/>
              </w:rPr>
              <w:t>Infrastructure Concession Regulatory Commission: regulator of federal PPPs (ICRC Act 2005).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OBC / FBC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Outline / Full Business Case: stages in the Nigerian PPP process, each needing ICRC certification.</w:t>
            </w:r>
          </w:p>
        </w:tc>
      </w:tr>
      <w:tr>
        <w:tc>
          <w:tcPr>
            <w:tcW w:type="dxa" w:w="2268"/>
            <w:shd w:val="clear" w:color="auto" w:fill="EEF4FB"/>
          </w:tcPr>
          <w:p>
            <w:r/>
            <w:r>
              <w:rPr>
                <w:sz w:val="20"/>
              </w:rPr>
              <w:t>InfraCredit</w:t>
            </w:r>
          </w:p>
        </w:tc>
        <w:tc>
          <w:tcPr>
            <w:tcW w:type="dxa" w:w="7370"/>
            <w:shd w:val="clear" w:color="auto" w:fill="EEF4FB"/>
          </w:tcPr>
          <w:p>
            <w:r/>
            <w:r>
              <w:rPr>
                <w:sz w:val="20"/>
              </w:rPr>
              <w:t>Nigerian AAA(NG)-rated guarantor of local-currency infrastructure bonds (est. 2017).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InfraCorp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Infrastructure Corporation of Nigeria, promoted by CBN, AFC and NSIA.</w:t>
            </w:r>
          </w:p>
        </w:tc>
      </w:tr>
      <w:tr>
        <w:tc>
          <w:tcPr>
            <w:tcW w:type="dxa" w:w="2268"/>
            <w:shd w:val="clear" w:color="auto" w:fill="EEF4FB"/>
          </w:tcPr>
          <w:p>
            <w:r/>
            <w:r>
              <w:rPr>
                <w:sz w:val="20"/>
              </w:rPr>
              <w:t>ESIA / ESAP / RAP</w:t>
            </w:r>
          </w:p>
        </w:tc>
        <w:tc>
          <w:tcPr>
            <w:tcW w:type="dxa" w:w="7370"/>
            <w:shd w:val="clear" w:color="auto" w:fill="EEF4FB"/>
          </w:tcPr>
          <w:p>
            <w:r/>
            <w:r>
              <w:rPr>
                <w:sz w:val="20"/>
              </w:rPr>
              <w:t>Environmental &amp; Social Impact Assessment / Action Plan / Resettlement Action Plan.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NSBP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Nigerian Sustainable Banking Principles (2012).</w:t>
            </w:r>
          </w:p>
        </w:tc>
      </w:tr>
      <w:tr>
        <w:tc>
          <w:tcPr>
            <w:tcW w:type="dxa" w:w="2268"/>
            <w:shd w:val="clear" w:color="auto" w:fill="EEF4FB"/>
          </w:tcPr>
          <w:p>
            <w:r/>
            <w:r>
              <w:rPr>
                <w:sz w:val="20"/>
              </w:rPr>
              <w:t>EO 007</w:t>
            </w:r>
          </w:p>
        </w:tc>
        <w:tc>
          <w:tcPr>
            <w:tcW w:type="dxa" w:w="7370"/>
            <w:shd w:val="clear" w:color="auto" w:fill="EEF4FB"/>
          </w:tcPr>
          <w:p>
            <w:r/>
            <w:r>
              <w:rPr>
                <w:sz w:val="20"/>
              </w:rPr>
              <w:t>Executive Order establishing the Road Infrastructure Development and Refurbishment Investment Tax Credit Scheme (2019).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Pages 7–9  |  Credit Committee Case Pack: Project Sahel Sun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DDEBF7"/>
          </w:tcPr>
          <w:p>
            <w:r/>
            <w:r>
              <w:rPr>
                <w:b/>
                <w:color w:val="002060"/>
                <w:sz w:val="21"/>
              </w:rPr>
              <w:t>Read over lunch.</w:t>
            </w:r>
            <w:r>
              <w:rPr>
                <w:b w:val="0"/>
                <w:color w:val="002060"/>
                <w:sz w:val="21"/>
              </w:rPr>
              <w:t xml:space="preserve"> At 1:30 your group sits as a credit committee. You have 12 minutes to reach a decision: FUND as is, RESTRUCTURE with conditions, or REJECT.</w:t>
            </w:r>
          </w:p>
        </w:tc>
      </w:tr>
    </w:tbl>
    <w:p>
      <w:pPr>
        <w:spacing w:after="40"/>
      </w:pPr>
    </w:p>
    <w:p>
      <w:pPr>
        <w:pStyle w:val="Heading2"/>
      </w:pPr>
      <w:r>
        <w:t>1. Credit request</w:t>
      </w:r>
    </w:p>
    <w:p>
      <w:r>
        <w:rPr>
          <w:b w:val="0"/>
          <w:i w:val="0"/>
        </w:rPr>
        <w:t xml:space="preserve">Sahel Sun Power Ltd (the SPV) requests senior debt of </w:t>
      </w:r>
      <w:r>
        <w:rPr>
          <w:b/>
          <w:i w:val="0"/>
        </w:rPr>
        <w:t>US$37.4m</w:t>
      </w:r>
      <w:r>
        <w:rPr>
          <w:b w:val="0"/>
          <w:i w:val="0"/>
        </w:rPr>
        <w:t xml:space="preserve"> to finance a 50MW solar PV plant in Kano State. The debt is in two tranches: a 15-year DFI US-dollar loan (US$22.4m) and a naira green bond guaranteed by InfraCredit (US$15.0m equivalent). Sponsors contribute US$17.6m (half ordinary equity, half shareholder loan). Gearing: 68%.</w:t>
      </w:r>
    </w:p>
    <w:p>
      <w:pPr>
        <w:pStyle w:val="Heading2"/>
      </w:pPr>
      <w:r>
        <w:t>2. Indicative term sheet (summary)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w="9639" w:type="dxa"/>
        <w:tblLayout w:type="fixed"/>
      </w:tblPr>
      <w:tblGrid>
        <w:gridCol w:w="2551"/>
        <w:gridCol w:w="7087"/>
      </w:tblGrid>
      <w:tr>
        <w:tc>
          <w:tcPr>
            <w:tcW w:type="dxa" w:w="2551"/>
            <w:shd w:val="clear" w:color="auto" w:fill="002060"/>
          </w:tcPr>
          <w:p>
            <w:r/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type="dxa" w:w="7087"/>
            <w:shd w:val="clear" w:color="auto" w:fill="002060"/>
          </w:tcPr>
          <w:p>
            <w:r/>
            <w:r>
              <w:rPr>
                <w:b/>
                <w:color w:val="FFFFFF"/>
                <w:sz w:val="20"/>
              </w:rPr>
              <w:t>Proposed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Borrower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Sahel Sun Power Ltd (SPV)</w:t>
            </w:r>
          </w:p>
        </w:tc>
      </w:tr>
      <w:tr>
        <w:tc>
          <w:tcPr>
            <w:tcW w:type="dxa" w:w="2551"/>
            <w:shd w:val="clear" w:color="auto" w:fill="EEF4FB"/>
          </w:tcPr>
          <w:p>
            <w:r/>
            <w:r>
              <w:rPr>
                <w:sz w:val="20"/>
              </w:rPr>
              <w:t>Facility</w:t>
            </w:r>
          </w:p>
        </w:tc>
        <w:tc>
          <w:tcPr>
            <w:tcW w:type="dxa" w:w="7087"/>
            <w:shd w:val="clear" w:color="auto" w:fill="EEF4FB"/>
          </w:tcPr>
          <w:p>
            <w:r/>
            <w:r>
              <w:rPr>
                <w:sz w:val="20"/>
              </w:rPr>
              <w:t>Senior secured term loan / bond, US$37.4m total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Tenor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15 years from COD; sculpted repayment</w:t>
            </w:r>
          </w:p>
        </w:tc>
      </w:tr>
      <w:tr>
        <w:tc>
          <w:tcPr>
            <w:tcW w:type="dxa" w:w="2551"/>
            <w:shd w:val="clear" w:color="auto" w:fill="EEF4FB"/>
          </w:tcPr>
          <w:p>
            <w:r/>
            <w:r>
              <w:rPr>
                <w:sz w:val="20"/>
              </w:rPr>
              <w:t>Pricing</w:t>
            </w:r>
          </w:p>
        </w:tc>
        <w:tc>
          <w:tcPr>
            <w:tcW w:type="dxa" w:w="7087"/>
            <w:shd w:val="clear" w:color="auto" w:fill="EEF4FB"/>
          </w:tcPr>
          <w:p>
            <w:r/>
            <w:r>
              <w:rPr>
                <w:sz w:val="20"/>
              </w:rPr>
              <w:t>Blended all-in cost ~10% (US$-equivalent), illustrative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Sizing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Minimum DSCR 1.35x (P50); gearing max 70%</w:t>
            </w:r>
          </w:p>
        </w:tc>
      </w:tr>
      <w:tr>
        <w:tc>
          <w:tcPr>
            <w:tcW w:type="dxa" w:w="2551"/>
            <w:shd w:val="clear" w:color="auto" w:fill="EEF4FB"/>
          </w:tcPr>
          <w:p>
            <w:r/>
            <w:r>
              <w:rPr>
                <w:sz w:val="20"/>
              </w:rPr>
              <w:t>Lock-up / default</w:t>
            </w:r>
          </w:p>
        </w:tc>
        <w:tc>
          <w:tcPr>
            <w:tcW w:type="dxa" w:w="7087"/>
            <w:shd w:val="clear" w:color="auto" w:fill="EEF4FB"/>
          </w:tcPr>
          <w:p>
            <w:r/>
            <w:r>
              <w:rPr>
                <w:sz w:val="20"/>
              </w:rPr>
              <w:t>DSCR &lt; 1.20x lock-up; &lt; 1.05x event of default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Reserves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DSRA = 6 months' debt service, funded at close</w:t>
            </w:r>
          </w:p>
        </w:tc>
      </w:tr>
      <w:tr>
        <w:tc>
          <w:tcPr>
            <w:tcW w:type="dxa" w:w="2551"/>
            <w:shd w:val="clear" w:color="auto" w:fill="EEF4FB"/>
          </w:tcPr>
          <w:p>
            <w:r/>
            <w:r>
              <w:rPr>
                <w:sz w:val="20"/>
              </w:rPr>
              <w:t>Security</w:t>
            </w:r>
          </w:p>
        </w:tc>
        <w:tc>
          <w:tcPr>
            <w:tcW w:type="dxa" w:w="7087"/>
            <w:shd w:val="clear" w:color="auto" w:fill="EEF4FB"/>
          </w:tcPr>
          <w:p>
            <w:r/>
            <w:r>
              <w:rPr>
                <w:sz w:val="20"/>
              </w:rPr>
              <w:t>Share pledge; charges over assets and accounts; assignment of PPA, EPC, O&amp;M, insurances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Conditions precedent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Signed PPA, EPC, O&amp;M; land &amp; permits; ESIA and ESAP; equity paid in; legal opinions; model audit</w:t>
            </w:r>
          </w:p>
        </w:tc>
      </w:tr>
      <w:tr>
        <w:tc>
          <w:tcPr>
            <w:tcW w:type="dxa" w:w="2551"/>
            <w:shd w:val="clear" w:color="auto" w:fill="EEF4FB"/>
          </w:tcPr>
          <w:p>
            <w:r/>
            <w:r>
              <w:rPr>
                <w:sz w:val="20"/>
              </w:rPr>
              <w:t>Offtaker payment security</w:t>
            </w:r>
          </w:p>
        </w:tc>
        <w:tc>
          <w:tcPr>
            <w:tcW w:type="dxa" w:w="7087"/>
            <w:shd w:val="clear" w:color="auto" w:fill="EEF4FB"/>
          </w:tcPr>
          <w:p>
            <w:r/>
            <w:r>
              <w:rPr>
                <w:sz w:val="20"/>
              </w:rPr>
              <w:t>None beyond the PPA (to be negotiated)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FX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Tariff US$-indexed but PPA passes through only 50% of FX movements (to be negotiated)</w:t>
            </w:r>
          </w:p>
        </w:tc>
      </w:tr>
    </w:tbl>
    <w:p>
      <w:pPr>
        <w:spacing w:after="40"/>
      </w:pPr>
    </w:p>
    <w:p>
      <w:pPr>
        <w:pStyle w:val="Heading2"/>
      </w:pPr>
      <w:r>
        <w:t>3. Base-case metrics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w="9639" w:type="dxa"/>
        <w:tblLayout w:type="fixed"/>
      </w:tblPr>
      <w:tblGrid>
        <w:gridCol w:w="3969"/>
        <w:gridCol w:w="5670"/>
      </w:tblGrid>
      <w:tr>
        <w:tc>
          <w:tcPr>
            <w:tcW w:type="dxa" w:w="3969"/>
            <w:shd w:val="clear" w:color="auto" w:fill="002060"/>
          </w:tcPr>
          <w:p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5669"/>
            <w:shd w:val="clear" w:color="auto" w:fill="002060"/>
          </w:tcPr>
          <w:p>
            <w:r/>
            <w:r>
              <w:rPr>
                <w:b/>
                <w:color w:val="FFFFFF"/>
                <w:sz w:val="20"/>
              </w:rPr>
              <w:t>Base case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Minimum / average DSCR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1.35x / 1.35x</w:t>
            </w:r>
          </w:p>
        </w:tc>
      </w:tr>
      <w:tr>
        <w:tc>
          <w:tcPr>
            <w:tcW w:type="dxa" w:w="3969"/>
            <w:shd w:val="clear" w:color="auto" w:fill="EEF4FB"/>
          </w:tcPr>
          <w:p>
            <w:r/>
            <w:r>
              <w:rPr>
                <w:sz w:val="20"/>
              </w:rPr>
              <w:t>LLCR at close</w:t>
            </w:r>
          </w:p>
        </w:tc>
        <w:tc>
          <w:tcPr>
            <w:tcW w:type="dxa" w:w="5669"/>
            <w:shd w:val="clear" w:color="auto" w:fill="EEF4FB"/>
          </w:tcPr>
          <w:p>
            <w:r/>
            <w:r>
              <w:rPr>
                <w:sz w:val="20"/>
              </w:rPr>
              <w:t>1.35x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Sponsor IRR (US$, 20 yrs)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10.3%</w:t>
            </w:r>
          </w:p>
        </w:tc>
      </w:tr>
      <w:tr>
        <w:tc>
          <w:tcPr>
            <w:tcW w:type="dxa" w:w="3969"/>
            <w:shd w:val="clear" w:color="auto" w:fill="EEF4FB"/>
          </w:tcPr>
          <w:p>
            <w:r/>
            <w:r>
              <w:rPr>
                <w:sz w:val="20"/>
              </w:rPr>
              <w:t>Binding sizing constraint</w:t>
            </w:r>
          </w:p>
        </w:tc>
        <w:tc>
          <w:tcPr>
            <w:tcW w:type="dxa" w:w="5669"/>
            <w:shd w:val="clear" w:color="auto" w:fill="EEF4FB"/>
          </w:tcPr>
          <w:p>
            <w:r/>
            <w:r>
              <w:rPr>
                <w:sz w:val="20"/>
              </w:rPr>
              <w:t>DSCR (debt capacity US$37.4m vs gearing cap US$38.5m)</w:t>
            </w:r>
          </w:p>
        </w:tc>
      </w:tr>
    </w:tbl>
    <w:p>
      <w:pPr>
        <w:spacing w:after="40"/>
      </w:pPr>
    </w:p>
    <w:p>
      <w:pPr>
        <w:pStyle w:val="Heading2"/>
      </w:pPr>
      <w:r>
        <w:t>4. The shock (six months after financial close)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D7DA"/>
          </w:tcPr>
          <w:p>
            <w:r/>
            <w:r>
              <w:rPr>
                <w:b w:val="0"/>
                <w:color w:val="002060"/>
                <w:sz w:val="21"/>
              </w:rPr>
              <w:t xml:space="preserve">The naira falls </w:t>
            </w:r>
            <w:r>
              <w:rPr>
                <w:b/>
                <w:color w:val="002060"/>
                <w:sz w:val="21"/>
              </w:rPr>
              <w:t>30%</w:t>
            </w:r>
            <w:r>
              <w:rPr>
                <w:b w:val="0"/>
                <w:color w:val="002060"/>
                <w:sz w:val="21"/>
              </w:rPr>
              <w:t xml:space="preserve"> against the US dollar. The PPA passes through only </w:t>
            </w:r>
            <w:r>
              <w:rPr>
                <w:b/>
                <w:color w:val="002060"/>
                <w:sz w:val="21"/>
              </w:rPr>
              <w:t>50%</w:t>
            </w:r>
            <w:r>
              <w:rPr>
                <w:b w:val="0"/>
                <w:color w:val="002060"/>
                <w:sz w:val="21"/>
              </w:rPr>
              <w:t xml:space="preserve"> of FX movements. The state offtaker pays only </w:t>
            </w:r>
            <w:r>
              <w:rPr>
                <w:b/>
                <w:color w:val="002060"/>
                <w:sz w:val="21"/>
              </w:rPr>
              <w:t>90%</w:t>
            </w:r>
            <w:r>
              <w:rPr>
                <w:b w:val="0"/>
                <w:color w:val="002060"/>
                <w:sz w:val="21"/>
              </w:rPr>
              <w:t xml:space="preserve"> of invoices on time.  →  Minimum DSCR </w:t>
            </w:r>
            <w:r>
              <w:rPr>
                <w:b/>
                <w:color w:val="002060"/>
                <w:sz w:val="21"/>
              </w:rPr>
              <w:t>0.98x</w:t>
            </w:r>
            <w:r>
              <w:rPr>
                <w:b w:val="0"/>
                <w:color w:val="002060"/>
                <w:sz w:val="21"/>
              </w:rPr>
              <w:t xml:space="preserve">, LLCR </w:t>
            </w:r>
            <w:r>
              <w:rPr>
                <w:b/>
                <w:color w:val="002060"/>
                <w:sz w:val="21"/>
              </w:rPr>
              <w:t>1.00x</w:t>
            </w:r>
            <w:r>
              <w:rPr>
                <w:b w:val="0"/>
                <w:color w:val="002060"/>
                <w:sz w:val="21"/>
              </w:rPr>
              <w:t xml:space="preserve">, </w:t>
            </w:r>
            <w:r>
              <w:rPr>
                <w:b/>
                <w:color w:val="002060"/>
                <w:sz w:val="21"/>
              </w:rPr>
              <w:t>5 years</w:t>
            </w:r>
            <w:r>
              <w:rPr>
                <w:b w:val="0"/>
                <w:color w:val="002060"/>
                <w:sz w:val="21"/>
              </w:rPr>
              <w:t xml:space="preserve"> with DSCR below 1.0x, sponsor IRR </w:t>
            </w:r>
            <w:r>
              <w:rPr>
                <w:b/>
                <w:color w:val="002060"/>
                <w:sz w:val="21"/>
              </w:rPr>
              <w:t>1.0%</w:t>
            </w:r>
            <w:r>
              <w:rPr>
                <w:b w:val="0"/>
                <w:color w:val="002060"/>
                <w:sz w:val="21"/>
              </w:rPr>
              <w:t>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5. Stress results (debt fixed at close)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w="9639" w:type="dxa"/>
        <w:tblLayout w:type="fixed"/>
      </w:tblPr>
      <w:tblGrid>
        <w:gridCol w:w="3969"/>
        <w:gridCol w:w="1417"/>
        <w:gridCol w:w="1417"/>
        <w:gridCol w:w="1417"/>
        <w:gridCol w:w="1417"/>
      </w:tblGrid>
      <w:tr>
        <w:tc>
          <w:tcPr>
            <w:tcW w:type="dxa" w:w="3969"/>
            <w:shd w:val="clear" w:color="auto" w:fill="002060"/>
          </w:tcPr>
          <w:p>
            <w:r/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417"/>
            <w:shd w:val="clear" w:color="auto" w:fill="002060"/>
          </w:tcPr>
          <w:p>
            <w:r/>
            <w:r>
              <w:rPr>
                <w:b/>
                <w:color w:val="FFFFFF"/>
                <w:sz w:val="20"/>
              </w:rPr>
              <w:t>Min DSCR</w:t>
            </w:r>
          </w:p>
        </w:tc>
        <w:tc>
          <w:tcPr>
            <w:tcW w:type="dxa" w:w="1417"/>
            <w:shd w:val="clear" w:color="auto" w:fill="002060"/>
          </w:tcPr>
          <w:p>
            <w:r/>
            <w:r>
              <w:rPr>
                <w:b/>
                <w:color w:val="FFFFFF"/>
                <w:sz w:val="20"/>
              </w:rPr>
              <w:t>LLCR</w:t>
            </w:r>
          </w:p>
        </w:tc>
        <w:tc>
          <w:tcPr>
            <w:tcW w:type="dxa" w:w="1417"/>
            <w:shd w:val="clear" w:color="auto" w:fill="002060"/>
          </w:tcPr>
          <w:p>
            <w:r/>
            <w:r>
              <w:rPr>
                <w:b/>
                <w:color w:val="FFFFFF"/>
                <w:sz w:val="20"/>
              </w:rPr>
              <w:t>Sponsor IRR</w:t>
            </w:r>
          </w:p>
        </w:tc>
        <w:tc>
          <w:tcPr>
            <w:tcW w:type="dxa" w:w="1417"/>
            <w:shd w:val="clear" w:color="auto" w:fill="002060"/>
          </w:tcPr>
          <w:p>
            <w:r/>
            <w:r>
              <w:rPr>
                <w:b/>
                <w:color w:val="FFFFFF"/>
                <w:sz w:val="20"/>
              </w:rPr>
              <w:t>Years &lt; 1.0x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Base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1.35x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1.35x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10.3%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3969"/>
            <w:shd w:val="clear" w:color="auto" w:fill="EEF4FB"/>
          </w:tcPr>
          <w:p>
            <w:r/>
            <w:r>
              <w:rPr>
                <w:sz w:val="20"/>
              </w:rPr>
              <w:t>P90 output (−8%)</w:t>
            </w:r>
          </w:p>
        </w:tc>
        <w:tc>
          <w:tcPr>
            <w:tcW w:type="dxa" w:w="1417"/>
            <w:shd w:val="clear" w:color="auto" w:fill="EEF4FB"/>
          </w:tcPr>
          <w:p>
            <w:r/>
            <w:r>
              <w:rPr>
                <w:sz w:val="20"/>
              </w:rPr>
              <w:t>1.22x</w:t>
            </w:r>
          </w:p>
        </w:tc>
        <w:tc>
          <w:tcPr>
            <w:tcW w:type="dxa" w:w="1417"/>
            <w:shd w:val="clear" w:color="auto" w:fill="EEF4FB"/>
          </w:tcPr>
          <w:p>
            <w:r/>
            <w:r>
              <w:rPr>
                <w:sz w:val="20"/>
              </w:rPr>
              <w:t>1.23x</w:t>
            </w:r>
          </w:p>
        </w:tc>
        <w:tc>
          <w:tcPr>
            <w:tcW w:type="dxa" w:w="1417"/>
            <w:shd w:val="clear" w:color="auto" w:fill="EEF4FB"/>
          </w:tcPr>
          <w:p>
            <w:r/>
            <w:r>
              <w:rPr>
                <w:sz w:val="20"/>
              </w:rPr>
              <w:t>7.0%</w:t>
            </w:r>
          </w:p>
        </w:tc>
        <w:tc>
          <w:tcPr>
            <w:tcW w:type="dxa" w:w="1417"/>
            <w:shd w:val="clear" w:color="auto" w:fill="EEF4FB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Opex +25%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1.29x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1.30x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8.7%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3969"/>
            <w:shd w:val="clear" w:color="auto" w:fill="EEF4FB"/>
          </w:tcPr>
          <w:p>
            <w:r/>
            <w:r>
              <w:rPr>
                <w:sz w:val="20"/>
              </w:rPr>
              <w:t>Offtaker pays 80%</w:t>
            </w:r>
          </w:p>
        </w:tc>
        <w:tc>
          <w:tcPr>
            <w:tcW w:type="dxa" w:w="1417"/>
            <w:shd w:val="clear" w:color="auto" w:fill="EEF4FB"/>
          </w:tcPr>
          <w:p>
            <w:r/>
            <w:r>
              <w:rPr>
                <w:sz w:val="20"/>
              </w:rPr>
              <w:t>1.04x</w:t>
            </w:r>
          </w:p>
        </w:tc>
        <w:tc>
          <w:tcPr>
            <w:tcW w:type="dxa" w:w="1417"/>
            <w:shd w:val="clear" w:color="auto" w:fill="EEF4FB"/>
          </w:tcPr>
          <w:p>
            <w:r/>
            <w:r>
              <w:rPr>
                <w:sz w:val="20"/>
              </w:rPr>
              <w:t>1.06x</w:t>
            </w:r>
          </w:p>
        </w:tc>
        <w:tc>
          <w:tcPr>
            <w:tcW w:type="dxa" w:w="1417"/>
            <w:shd w:val="clear" w:color="auto" w:fill="EEF4FB"/>
          </w:tcPr>
          <w:p>
            <w:r/>
            <w:r>
              <w:rPr>
                <w:sz w:val="20"/>
              </w:rPr>
              <w:t>2.3%</w:t>
            </w:r>
          </w:p>
        </w:tc>
        <w:tc>
          <w:tcPr>
            <w:tcW w:type="dxa" w:w="1417"/>
            <w:shd w:val="clear" w:color="auto" w:fill="EEF4FB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Naira −30%, 50% pass-through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1.11x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1.13x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4.2%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3969"/>
            <w:shd w:val="clear" w:color="auto" w:fill="EEF4FB"/>
          </w:tcPr>
          <w:p>
            <w:r/>
            <w:r>
              <w:rPr>
                <w:sz w:val="20"/>
              </w:rPr>
              <w:t>Naira −30%, 0% pass-through</w:t>
            </w:r>
          </w:p>
        </w:tc>
        <w:tc>
          <w:tcPr>
            <w:tcW w:type="dxa" w:w="1417"/>
            <w:shd w:val="clear" w:color="auto" w:fill="EEF4FB"/>
          </w:tcPr>
          <w:p>
            <w:r/>
            <w:r>
              <w:rPr>
                <w:sz w:val="20"/>
              </w:rPr>
              <w:t>0.88x</w:t>
            </w:r>
          </w:p>
        </w:tc>
        <w:tc>
          <w:tcPr>
            <w:tcW w:type="dxa" w:w="1417"/>
            <w:shd w:val="clear" w:color="auto" w:fill="EEF4FB"/>
          </w:tcPr>
          <w:p>
            <w:r/>
            <w:r>
              <w:rPr>
                <w:sz w:val="20"/>
              </w:rPr>
              <w:t>0.91x</w:t>
            </w:r>
          </w:p>
        </w:tc>
        <w:tc>
          <w:tcPr>
            <w:tcW w:type="dxa" w:w="1417"/>
            <w:shd w:val="clear" w:color="auto" w:fill="EEF4FB"/>
          </w:tcPr>
          <w:p>
            <w:r/>
            <w:r>
              <w:rPr>
                <w:sz w:val="20"/>
              </w:rPr>
              <w:t>-1.5%</w:t>
            </w:r>
          </w:p>
        </w:tc>
        <w:tc>
          <w:tcPr>
            <w:tcW w:type="dxa" w:w="1417"/>
            <w:shd w:val="clear" w:color="auto" w:fill="EEF4FB"/>
          </w:tcPr>
          <w:p>
            <w:r/>
            <w:r>
              <w:rPr>
                <w:sz w:val="20"/>
              </w:rPr>
              <w:t>15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Combined shock (above)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0.98x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1.00x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1.0%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5</w:t>
            </w:r>
          </w:p>
        </w:tc>
      </w:tr>
    </w:tbl>
    <w:p>
      <w:pPr>
        <w:spacing w:after="40"/>
      </w:pPr>
    </w:p>
    <w:p>
      <w:pPr>
        <w:pStyle w:val="Heading2"/>
      </w:pPr>
      <w:r>
        <w:t>6. Role cards (one per member)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w="9639" w:type="dxa"/>
        <w:tblLayout w:type="fixed"/>
      </w:tblPr>
      <w:tblGrid>
        <w:gridCol w:w="2551"/>
        <w:gridCol w:w="7087"/>
      </w:tblGrid>
      <w:tr>
        <w:tc>
          <w:tcPr>
            <w:tcW w:type="dxa" w:w="2551"/>
            <w:shd w:val="clear" w:color="auto" w:fill="002060"/>
          </w:tcPr>
          <w:p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7087"/>
            <w:shd w:val="clear" w:color="auto" w:fill="002060"/>
          </w:tcPr>
          <w:p>
            <w:r/>
            <w:r>
              <w:rPr>
                <w:b/>
                <w:color w:val="FFFFFF"/>
                <w:sz w:val="20"/>
              </w:rPr>
              <w:t>Your brief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Chair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Run the meeting. Keep to 12 minutes. Force a clear decision and no more than three conditions.</w:t>
            </w:r>
          </w:p>
        </w:tc>
      </w:tr>
      <w:tr>
        <w:tc>
          <w:tcPr>
            <w:tcW w:type="dxa" w:w="2551"/>
            <w:shd w:val="clear" w:color="auto" w:fill="EEF4FB"/>
          </w:tcPr>
          <w:p>
            <w:r/>
            <w:r>
              <w:rPr>
                <w:sz w:val="20"/>
              </w:rPr>
              <w:t>Relationship Manager</w:t>
            </w:r>
          </w:p>
        </w:tc>
        <w:tc>
          <w:tcPr>
            <w:tcW w:type="dxa" w:w="7087"/>
            <w:shd w:val="clear" w:color="auto" w:fill="EEF4FB"/>
          </w:tcPr>
          <w:p>
            <w:r/>
            <w:r>
              <w:rPr>
                <w:sz w:val="20"/>
              </w:rPr>
              <w:t>Present the deal in 2 minutes. You want it approved; the sponsor is a strategic client.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Credit Risk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Challenge the base case. Focus on the stress results, FX and offtaker payment.</w:t>
            </w:r>
          </w:p>
        </w:tc>
      </w:tr>
      <w:tr>
        <w:tc>
          <w:tcPr>
            <w:tcW w:type="dxa" w:w="2551"/>
            <w:shd w:val="clear" w:color="auto" w:fill="EEF4FB"/>
          </w:tcPr>
          <w:p>
            <w:r/>
            <w:r>
              <w:rPr>
                <w:sz w:val="20"/>
              </w:rPr>
              <w:t>DFI lender</w:t>
            </w:r>
          </w:p>
        </w:tc>
        <w:tc>
          <w:tcPr>
            <w:tcW w:type="dxa" w:w="7087"/>
            <w:shd w:val="clear" w:color="auto" w:fill="EEF4FB"/>
          </w:tcPr>
          <w:p>
            <w:r/>
            <w:r>
              <w:rPr>
                <w:sz w:val="20"/>
              </w:rPr>
              <w:t>You need IFC PS compliance, an agreed ESAP and evidence of additionality. You can offer guarantee products.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Pension Fund Manager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You will only buy AAA(NG)-rated, long-tenor naira paper. What does InfraCredit need to wrap the bond?</w:t>
            </w:r>
          </w:p>
        </w:tc>
      </w:tr>
      <w:tr>
        <w:tc>
          <w:tcPr>
            <w:tcW w:type="dxa" w:w="2551"/>
            <w:shd w:val="clear" w:color="auto" w:fill="EEF4FB"/>
          </w:tcPr>
          <w:p>
            <w:r/>
            <w:r>
              <w:rPr>
                <w:sz w:val="20"/>
              </w:rPr>
              <w:t>Regulator</w:t>
            </w:r>
          </w:p>
        </w:tc>
        <w:tc>
          <w:tcPr>
            <w:tcW w:type="dxa" w:w="7087"/>
            <w:shd w:val="clear" w:color="auto" w:fill="EEF4FB"/>
          </w:tcPr>
          <w:p>
            <w:r/>
            <w:r>
              <w:rPr>
                <w:sz w:val="20"/>
              </w:rPr>
              <w:t>Watch single-obligor limits, FX exposure and concentration in the power sector.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Sponsor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Your IRR is already only 10.3%. Resist more equity; push for contractual fixes from the offtaker.</w:t>
            </w:r>
          </w:p>
        </w:tc>
      </w:tr>
    </w:tbl>
    <w:p>
      <w:pPr>
        <w:spacing w:after="40"/>
      </w:pPr>
    </w:p>
    <w:p>
      <w:pPr>
        <w:pStyle w:val="Heading2"/>
      </w:pPr>
      <w:r>
        <w:t>7. Decision form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w="9639" w:type="dxa"/>
        <w:tblLayout w:type="fixed"/>
      </w:tblPr>
      <w:tblGrid>
        <w:gridCol w:w="3402"/>
        <w:gridCol w:w="6237"/>
      </w:tblGrid>
      <w:tr>
        <w:tc>
          <w:tcPr>
            <w:tcW w:type="dxa" w:w="3402"/>
            <w:shd w:val="clear" w:color="auto" w:fill="002060"/>
          </w:tcPr>
          <w:p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6236"/>
            <w:shd w:val="clear" w:color="auto" w:fill="002060"/>
          </w:tcPr>
          <w:p>
            <w:r/>
            <w:r>
              <w:rPr>
                <w:b/>
                <w:color w:val="FFFFFF"/>
                <w:sz w:val="20"/>
              </w:rPr>
              <w:t>Your committee's answer</w:t>
            </w:r>
          </w:p>
        </w:tc>
      </w:tr>
      <w:tr>
        <w:trPr>
          <w:trHeight w:val="510"/>
        </w:trPr>
        <w:tc>
          <w:tcPr>
            <w:tcW w:type="dxa" w:w="3402"/>
          </w:tcPr>
          <w:p>
            <w:r/>
            <w:r>
              <w:rPr>
                <w:sz w:val="20"/>
              </w:rPr>
              <w:t>Decision (Fund / Restructure / Reject)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10"/>
        </w:trPr>
        <w:tc>
          <w:tcPr>
            <w:tcW w:type="dxa" w:w="3402"/>
            <w:shd w:val="clear" w:color="auto" w:fill="EEF4FB"/>
          </w:tcPr>
          <w:p>
            <w:r/>
            <w:r>
              <w:rPr>
                <w:sz w:val="20"/>
              </w:rPr>
              <w:t>Condition 1</w:t>
            </w:r>
          </w:p>
        </w:tc>
        <w:tc>
          <w:tcPr>
            <w:tcW w:type="dxa" w:w="6236"/>
            <w:shd w:val="clear" w:color="auto" w:fill="EEF4FB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10"/>
        </w:trPr>
        <w:tc>
          <w:tcPr>
            <w:tcW w:type="dxa" w:w="3402"/>
          </w:tcPr>
          <w:p>
            <w:r/>
            <w:r>
              <w:rPr>
                <w:sz w:val="20"/>
              </w:rPr>
              <w:t>Condition 2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10"/>
        </w:trPr>
        <w:tc>
          <w:tcPr>
            <w:tcW w:type="dxa" w:w="3402"/>
            <w:shd w:val="clear" w:color="auto" w:fill="EEF4FB"/>
          </w:tcPr>
          <w:p>
            <w:r/>
            <w:r>
              <w:rPr>
                <w:sz w:val="20"/>
              </w:rPr>
              <w:t>Condition 3</w:t>
            </w:r>
          </w:p>
        </w:tc>
        <w:tc>
          <w:tcPr>
            <w:tcW w:type="dxa" w:w="6236"/>
            <w:shd w:val="clear" w:color="auto" w:fill="EEF4FB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10"/>
        </w:trPr>
        <w:tc>
          <w:tcPr>
            <w:tcW w:type="dxa" w:w="3402"/>
          </w:tcPr>
          <w:p>
            <w:r/>
            <w:r>
              <w:rPr>
                <w:sz w:val="20"/>
              </w:rPr>
              <w:t>Key risk that drove the decision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10"/>
        </w:trPr>
        <w:tc>
          <w:tcPr>
            <w:tcW w:type="dxa" w:w="3402"/>
            <w:shd w:val="clear" w:color="auto" w:fill="EEF4FB"/>
          </w:tcPr>
          <w:p>
            <w:r/>
            <w:r>
              <w:rPr>
                <w:sz w:val="20"/>
              </w:rPr>
              <w:t>Resulting min DSCR (from template)</w:t>
            </w:r>
          </w:p>
        </w:tc>
        <w:tc>
          <w:tcPr>
            <w:tcW w:type="dxa" w:w="6236"/>
            <w:shd w:val="clear" w:color="auto" w:fill="EEF4FB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r>
        <w:rPr>
          <w:b w:val="0"/>
          <w:i/>
          <w:color w:val="595959"/>
        </w:rPr>
        <w:t>Tip: test your fixes in the Excel template using the yellow levers on the 'Inputs' sheet (payment rate, FX pass-through, target DSCR).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MIPF Boot Camp, Day 1  |  Infrastructure Finance  |  14 October 2026  |  Prof. Bongo Adi, Lagos Business School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24000" cy="324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ipf_hex_256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4000" cy="324000"/>
                  </a:xfrm>
                  <a:prstGeom prst="rect"/>
                </pic:spPr>
              </pic:pic>
            </a:graphicData>
          </a:graphic>
        </wp:inline>
      </w:drawing>
    </w:r>
    <w:r>
      <w:t xml:space="preserve">  </w:t>
    </w:r>
    <w:r>
      <w:drawing>
        <wp:inline xmlns:a="http://schemas.openxmlformats.org/drawingml/2006/main" xmlns:pic="http://schemas.openxmlformats.org/drawingml/2006/picture">
          <wp:extent cx="324000" cy="324000"/>
          <wp:docPr id="2" name="Picture 2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ongo_ai_hex_256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24000" cy="324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80"/>
      <w:outlineLvl w:val="0"/>
    </w:pPr>
    <w:rPr>
      <w:rFonts w:eastAsiaTheme="majorEastAsia" w:cstheme="majorBidi" w:ascii="Calibri" w:hAnsi="Calibri" w:cs="Calibri"/>
      <w:b/>
      <w:bCs/>
      <w:color w:val="00206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eastAsiaTheme="majorEastAsia" w:cstheme="majorBidi" w:ascii="Calibri" w:hAnsi="Calibri" w:cs="Calibri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eastAsiaTheme="majorEastAsia" w:cstheme="majorBidi" w:ascii="Calibri" w:hAnsi="Calibri" w:cs="Calibri"/>
      <w:b/>
      <w:bCs/>
      <w:color w:val="00206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