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400" w:hRule="exact"/>
        </w:trPr>
        <w:tc>
          <w:tcPr>
            <w:tcW w:type="dxa" w:w="12240"/>
            <w:tcBorders>
              <w:top w:val="none" w:sz="0"/>
              <w:left w:val="none" w:sz="0"/>
              <w:bottom w:val="none" w:sz="0"/>
              <w:right w:val="none" w:sz="0"/>
            </w:tcBorders>
            <w:shd w:fill="1B2A4A" w:val="clear"/>
            <w:tcMar>
              <w:top w:type="dxa" w:w="1800"/>
              <w:left w:type="dxa" w:w="1200"/>
              <w:bottom w:type="dxa" w:w="400"/>
              <w:right w:type="dxa" w:w="1200"/>
            </w:tcMar>
            <w:vAlign w:val="center"/>
          </w:tcPr>
          <w:p>
            <w:pPr>
              <w:spacing w:after="120"/>
            </w:pPr>
            <w:r>
              <w:rPr>
                <w:rFonts w:ascii="Arial" w:cs="Arial" w:eastAsia="Arial" w:hAnsi="Arial"/>
                <w:b/>
                <w:bCs/>
                <w:color w:val="7EB8D8"/>
                <w:spacing w:val="200"/>
                <w:sz w:val="20"/>
                <w:szCs w:val="20"/>
              </w:rPr>
              <w:t xml:space="preserve">CASE STUDY</w:t>
            </w:r>
          </w:p>
          <w:p>
            <w:pPr>
              <w:spacing w:after="200"/>
            </w:pPr>
            <w:r>
              <w:rPr>
                <w:rFonts w:ascii="Georgia" w:cs="Georgia" w:eastAsia="Georgia" w:hAnsi="Georgia"/>
                <w:b/>
                <w:bCs/>
                <w:color w:val="FFFFFF"/>
                <w:sz w:val="56"/>
                <w:szCs w:val="56"/>
              </w:rPr>
              <w:t xml:space="preserve">Metal Powder Market</w:t>
            </w:r>
          </w:p>
          <w:p>
            <w:pPr>
              <w:spacing w:after="60"/>
            </w:pPr>
            <w:r>
              <w:rPr>
                <w:rFonts w:ascii="Georgia" w:cs="Georgia" w:eastAsia="Georgia" w:hAnsi="Georgia"/>
                <w:color w:val="B0C4DE"/>
                <w:sz w:val="36"/>
                <w:szCs w:val="36"/>
              </w:rPr>
              <w:t xml:space="preserve">Strategic Sourcing &amp; Growth Roadmap</w:t>
            </w:r>
          </w:p>
          <w:p>
            <w:pPr>
              <w:spacing w:after="0"/>
            </w:pPr>
            <w:r>
              <w:rPr>
                <w:rFonts w:ascii="Georgia" w:cs="Georgia" w:eastAsia="Georgia" w:hAnsi="Georgia"/>
                <w:color w:val="B0C4DE"/>
                <w:sz w:val="36"/>
                <w:szCs w:val="36"/>
              </w:rPr>
              <w:t xml:space="preserve">for a Tier-1 Automotive Supplier</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20" w:hRule="exact"/>
        </w:trPr>
        <w:tc>
          <w:tcPr>
            <w:tcW w:type="dxa" w:w="12240"/>
            <w:tcBorders>
              <w:top w:val="none" w:sz="0"/>
              <w:left w:val="none" w:sz="0"/>
              <w:bottom w:val="none" w:sz="0"/>
              <w:right w:val="none" w:sz="0"/>
            </w:tcBorders>
            <w:shd w:fill="2E75B6" w:val="clear"/>
          </w:tcPr>
          <w:p/>
        </w:tc>
      </w:tr>
    </w:tbl>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tcMar>
              <w:top w:type="dxa" w:w="60"/>
              <w:left w:type="dxa" w:w="1200"/>
              <w:bottom w:type="dxa" w:w="60"/>
              <w:right w:type="dxa" w:w="120"/>
            </w:tcMar>
          </w:tcPr>
          <w:p>
            <w:r>
              <w:rPr>
                <w:rFonts w:ascii="Arial" w:cs="Arial" w:eastAsia="Arial" w:hAnsi="Arial"/>
                <w:b/>
                <w:bCs/>
                <w:color w:val="2E75B6"/>
                <w:sz w:val="20"/>
                <w:szCs w:val="20"/>
              </w:rPr>
              <w:t xml:space="preserve">Industry</w:t>
            </w:r>
          </w:p>
        </w:tc>
        <w:tc>
          <w:tcPr>
            <w:tcW w:type="dxa" w:w="702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55555"/>
                <w:sz w:val="20"/>
                <w:szCs w:val="20"/>
              </w:rPr>
              <w:t xml:space="preserve">Automotive &amp; Advanced Manufacturing</w:t>
            </w:r>
          </w:p>
        </w:tc>
      </w:tr>
      <w:tr>
        <w:tc>
          <w:tcPr>
            <w:tcW w:type="dxa" w:w="2340"/>
            <w:tcBorders>
              <w:top w:val="none" w:sz="0"/>
              <w:left w:val="none" w:sz="0"/>
              <w:bottom w:val="none" w:sz="0"/>
              <w:right w:val="none" w:sz="0"/>
            </w:tcBorders>
            <w:tcMar>
              <w:top w:type="dxa" w:w="60"/>
              <w:left w:type="dxa" w:w="1200"/>
              <w:bottom w:type="dxa" w:w="60"/>
              <w:right w:type="dxa" w:w="120"/>
            </w:tcMar>
          </w:tcPr>
          <w:p>
            <w:r>
              <w:rPr>
                <w:rFonts w:ascii="Arial" w:cs="Arial" w:eastAsia="Arial" w:hAnsi="Arial"/>
                <w:b/>
                <w:bCs/>
                <w:color w:val="2E75B6"/>
                <w:sz w:val="20"/>
                <w:szCs w:val="20"/>
              </w:rPr>
              <w:t xml:space="preserve">Client</w:t>
            </w:r>
          </w:p>
        </w:tc>
        <w:tc>
          <w:tcPr>
            <w:tcW w:type="dxa" w:w="702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55555"/>
                <w:sz w:val="20"/>
                <w:szCs w:val="20"/>
              </w:rPr>
              <w:t xml:space="preserve">Leading European Tier-1 Automotive Components Manufacturer</w:t>
            </w:r>
          </w:p>
        </w:tc>
      </w:tr>
      <w:tr>
        <w:tc>
          <w:tcPr>
            <w:tcW w:type="dxa" w:w="2340"/>
            <w:tcBorders>
              <w:top w:val="none" w:sz="0"/>
              <w:left w:val="none" w:sz="0"/>
              <w:bottom w:val="none" w:sz="0"/>
              <w:right w:val="none" w:sz="0"/>
            </w:tcBorders>
            <w:tcMar>
              <w:top w:type="dxa" w:w="60"/>
              <w:left w:type="dxa" w:w="1200"/>
              <w:bottom w:type="dxa" w:w="60"/>
              <w:right w:type="dxa" w:w="120"/>
            </w:tcMar>
          </w:tcPr>
          <w:p>
            <w:r>
              <w:rPr>
                <w:rFonts w:ascii="Arial" w:cs="Arial" w:eastAsia="Arial" w:hAnsi="Arial"/>
                <w:b/>
                <w:bCs/>
                <w:color w:val="2E75B6"/>
                <w:sz w:val="20"/>
                <w:szCs w:val="20"/>
              </w:rPr>
              <w:t xml:space="preserve">Published</w:t>
            </w:r>
          </w:p>
        </w:tc>
        <w:tc>
          <w:tcPr>
            <w:tcW w:type="dxa" w:w="702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55555"/>
                <w:sz w:val="20"/>
                <w:szCs w:val="20"/>
              </w:rPr>
              <w:t xml:space="preserve">March 2026</w:t>
            </w:r>
          </w:p>
        </w:tc>
      </w:tr>
      <w:tr>
        <w:tc>
          <w:tcPr>
            <w:tcW w:type="dxa" w:w="2340"/>
            <w:tcBorders>
              <w:top w:val="none" w:sz="0"/>
              <w:left w:val="none" w:sz="0"/>
              <w:bottom w:val="none" w:sz="0"/>
              <w:right w:val="none" w:sz="0"/>
            </w:tcBorders>
            <w:tcMar>
              <w:top w:type="dxa" w:w="60"/>
              <w:left w:type="dxa" w:w="1200"/>
              <w:bottom w:type="dxa" w:w="60"/>
              <w:right w:type="dxa" w:w="120"/>
            </w:tcMar>
          </w:tcPr>
          <w:p>
            <w:r>
              <w:rPr>
                <w:rFonts w:ascii="Arial" w:cs="Arial" w:eastAsia="Arial" w:hAnsi="Arial"/>
                <w:b/>
                <w:bCs/>
                <w:color w:val="2E75B6"/>
                <w:sz w:val="20"/>
                <w:szCs w:val="20"/>
              </w:rPr>
              <w:t xml:space="preserve">Read Time</w:t>
            </w:r>
          </w:p>
        </w:tc>
        <w:tc>
          <w:tcPr>
            <w:tcW w:type="dxa" w:w="702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55555"/>
                <w:sz w:val="20"/>
                <w:szCs w:val="20"/>
              </w:rPr>
              <w:t xml:space="preserve">9 minutes</w:t>
            </w:r>
          </w:p>
        </w:tc>
      </w:tr>
      <w:tr>
        <w:tc>
          <w:tcPr>
            <w:tcW w:type="dxa" w:w="2340"/>
            <w:tcBorders>
              <w:top w:val="none" w:sz="0"/>
              <w:left w:val="none" w:sz="0"/>
              <w:bottom w:val="none" w:sz="0"/>
              <w:right w:val="none" w:sz="0"/>
            </w:tcBorders>
            <w:tcMar>
              <w:top w:type="dxa" w:w="60"/>
              <w:left w:type="dxa" w:w="1200"/>
              <w:bottom w:type="dxa" w:w="60"/>
              <w:right w:type="dxa" w:w="120"/>
            </w:tcMar>
          </w:tcPr>
          <w:p>
            <w:r>
              <w:rPr>
                <w:rFonts w:ascii="Arial" w:cs="Arial" w:eastAsia="Arial" w:hAnsi="Arial"/>
                <w:b/>
                <w:bCs/>
                <w:color w:val="2E75B6"/>
                <w:sz w:val="20"/>
                <w:szCs w:val="20"/>
              </w:rPr>
              <w:t xml:space="preserve">Author</w:t>
            </w:r>
          </w:p>
        </w:tc>
        <w:tc>
          <w:tcPr>
            <w:tcW w:type="dxa" w:w="702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55555"/>
                <w:sz w:val="20"/>
                <w:szCs w:val="20"/>
              </w:rPr>
              <w:t xml:space="preserve">Paras Kulkarni, Senior Research Analyst</w:t>
            </w:r>
          </w:p>
        </w:tc>
      </w:tr>
    </w:tbl>
    <w:p>
      <w:pPr>
        <w:spacing w:after="0" w:before="1200"/>
      </w:pPr>
    </w:p>
    <w:p>
      <w:pPr>
        <w:jc w:val="center"/>
      </w:pPr>
      <w:r>
        <w:rPr>
          <w:rFonts w:ascii="Georgia" w:cs="Georgia" w:eastAsia="Georgia" w:hAnsi="Georgia"/>
          <w:b/>
          <w:bCs/>
          <w:color w:val="1B2A4A"/>
          <w:sz w:val="28"/>
          <w:szCs w:val="28"/>
        </w:rPr>
        <w:t xml:space="preserve">Claritas Intelligence</w:t>
      </w:r>
    </w:p>
    <w:p>
      <w:pPr>
        <w:spacing w:before="60"/>
        <w:jc w:val="center"/>
      </w:pPr>
      <w:r>
        <w:rPr>
          <w:rFonts w:ascii="Arial" w:cs="Arial" w:eastAsia="Arial" w:hAnsi="Arial"/>
          <w:color w:val="2E75B6"/>
          <w:sz w:val="18"/>
          <w:szCs w:val="18"/>
        </w:rPr>
        <w:t xml:space="preserve">claritasintelligence.com</w:t>
      </w:r>
    </w:p>
    <w:p>
      <w:pPr>
        <w:sectPr>
          <w:pgSz w:w="12240" w:h="15840" w:orient="portrait"/>
          <w:pgMar w:top="0" w:right="0" w:bottom="0" w:left="0" w:header="708" w:footer="708" w:gutter="0"/>
          <w:pgNumType/>
          <w:docGrid w:linePitch="360"/>
        </w:sectPr>
      </w:pPr>
    </w:p>
    <w:p>
      <w:pPr>
        <w:pStyle w:val="Heading1"/>
        <w:spacing w:after="200" w:before="360"/>
      </w:pPr>
      <w:r>
        <w:rPr>
          <w:rFonts w:ascii="Georgia" w:cs="Georgia" w:eastAsia="Georgia" w:hAnsi="Georgia"/>
          <w:b/>
          <w:bCs/>
          <w:color w:val="1B2A4A"/>
          <w:sz w:val="36"/>
          <w:szCs w:val="36"/>
        </w:rPr>
        <w:t xml:space="preserve">The Challenge</w:t>
      </w:r>
    </w:p>
    <w:p>
      <w:pPr>
        <w:spacing w:after="120" w:before="80" w:line="312"/>
        <w:jc w:val="both"/>
      </w:pPr>
      <w:r>
        <w:rPr>
          <w:rFonts w:ascii="Arial" w:cs="Arial" w:eastAsia="Arial" w:hAnsi="Arial"/>
          <w:b w:val="false"/>
          <w:bCs w:val="false"/>
          <w:i w:val="false"/>
          <w:iCs w:val="false"/>
          <w:color w:val="333333"/>
          <w:sz w:val="22"/>
          <w:szCs w:val="22"/>
        </w:rPr>
        <w:t xml:space="preserve">A Tier-1 automotive supplier headquartered in Stuttgart, Germany — with </w:t>
      </w:r>
      <w:r>
        <w:rPr>
          <w:rFonts w:ascii="Arial" w:cs="Arial" w:eastAsia="Arial" w:hAnsi="Arial"/>
          <w:b/>
          <w:bCs/>
          <w:i w:val="false"/>
          <w:iCs w:val="false"/>
          <w:color w:val="333333"/>
          <w:sz w:val="22"/>
          <w:szCs w:val="22"/>
        </w:rPr>
        <w:t xml:space="preserve">€3.2B in annual revenue</w:t>
      </w:r>
      <w:r>
        <w:rPr>
          <w:rFonts w:ascii="Arial" w:cs="Arial" w:eastAsia="Arial" w:hAnsi="Arial"/>
          <w:b w:val="false"/>
          <w:bCs w:val="false"/>
          <w:i w:val="false"/>
          <w:iCs w:val="false"/>
          <w:color w:val="333333"/>
          <w:sz w:val="22"/>
          <w:szCs w:val="22"/>
        </w:rPr>
        <w:t xml:space="preserve"> and manufacturing operations spanning 11 countries — was approaching an inflection point. Its legacy sintered components business, built on decades of conventional press-and-sinter powder metallurgy, was under margin pressure from two directions: rising raw material costs on one side, and customer demand for lighter, geometrically complex parts on the other.</w:t>
      </w:r>
    </w:p>
    <w:p>
      <w:pPr>
        <w:spacing w:after="120" w:before="80" w:line="312"/>
        <w:jc w:val="both"/>
      </w:pPr>
      <w:r>
        <w:rPr>
          <w:rFonts w:ascii="Arial" w:cs="Arial" w:eastAsia="Arial" w:hAnsi="Arial"/>
          <w:color w:val="333333"/>
          <w:sz w:val="22"/>
          <w:szCs w:val="22"/>
        </w:rPr>
        <w:t xml:space="preserve">The company’s engineering teams had been running pilot programs in metal additive manufacturing for nearly three years, but leadership lacked the market intelligence to answer three critical questions: Where is the metal powder market actually heading? Which powder chemistries and production technologies deserve long-term capital commitment? And which regional supply chains offer the best combination of quality, cost, and reliability as the company scales its 3D printing operations?</w:t>
      </w:r>
    </w:p>
    <w:p>
      <w:pPr>
        <w:spacing w:after="120" w:before="80" w:line="312"/>
        <w:jc w:val="both"/>
      </w:pPr>
      <w:r>
        <w:rPr>
          <w:rFonts w:ascii="Arial" w:cs="Arial" w:eastAsia="Arial" w:hAnsi="Arial"/>
          <w:b w:val="false"/>
          <w:bCs w:val="false"/>
          <w:i w:val="false"/>
          <w:iCs w:val="false"/>
          <w:color w:val="333333"/>
          <w:sz w:val="22"/>
          <w:szCs w:val="22"/>
        </w:rPr>
        <w:t xml:space="preserve">With the global metal powder market valued at </w:t>
      </w:r>
      <w:r>
        <w:rPr>
          <w:rFonts w:ascii="Arial" w:cs="Arial" w:eastAsia="Arial" w:hAnsi="Arial"/>
          <w:b/>
          <w:bCs/>
          <w:i w:val="false"/>
          <w:iCs w:val="false"/>
          <w:color w:val="333333"/>
          <w:sz w:val="22"/>
          <w:szCs w:val="22"/>
        </w:rPr>
        <w:t xml:space="preserve">USD 6.69 billion in 2025</w:t>
      </w:r>
      <w:r>
        <w:rPr>
          <w:rFonts w:ascii="Arial" w:cs="Arial" w:eastAsia="Arial" w:hAnsi="Arial"/>
          <w:b w:val="false"/>
          <w:bCs w:val="false"/>
          <w:i w:val="false"/>
          <w:iCs w:val="false"/>
          <w:color w:val="333333"/>
          <w:sz w:val="22"/>
          <w:szCs w:val="22"/>
        </w:rPr>
        <w:t xml:space="preserve"> and projected to reach </w:t>
      </w:r>
      <w:r>
        <w:rPr>
          <w:rFonts w:ascii="Arial" w:cs="Arial" w:eastAsia="Arial" w:hAnsi="Arial"/>
          <w:b/>
          <w:bCs/>
          <w:i w:val="false"/>
          <w:iCs w:val="false"/>
          <w:color w:val="333333"/>
          <w:sz w:val="22"/>
          <w:szCs w:val="22"/>
        </w:rPr>
        <w:t xml:space="preserve">USD 11.68 billion by 2033 at a 6.48% CAGR</w:t>
      </w:r>
      <w:r>
        <w:rPr>
          <w:rFonts w:ascii="Arial" w:cs="Arial" w:eastAsia="Arial" w:hAnsi="Arial"/>
          <w:b w:val="false"/>
          <w:bCs w:val="false"/>
          <w:i w:val="false"/>
          <w:iCs w:val="false"/>
          <w:color w:val="333333"/>
          <w:sz w:val="22"/>
          <w:szCs w:val="22"/>
        </w:rPr>
        <w:t xml:space="preserve">, the window for strategic positioning was narrowing. Several competitors had already signed exclusive supply agreements with atomization producers in Asia-Pacific. The client’s existing supplier intelligence — scattered across procurement databases, trade show notes, and outdated consultant reports — was nowhere near sufficient for the capital allocation decisions ahead.</w:t>
      </w:r>
    </w:p>
    <w:p>
      <w:pPr>
        <w:spacing w:after="0" w:before="100"/>
      </w:pPr>
    </w:p>
    <w:p>
      <w:pPr>
        <w:pStyle w:val="Heading1"/>
        <w:spacing w:after="200" w:before="360"/>
      </w:pPr>
      <w:r>
        <w:rPr>
          <w:rFonts w:ascii="Georgia" w:cs="Georgia" w:eastAsia="Georgia" w:hAnsi="Georgia"/>
          <w:b/>
          <w:bCs/>
          <w:color w:val="1B2A4A"/>
          <w:sz w:val="36"/>
          <w:szCs w:val="36"/>
        </w:rPr>
        <w:t xml:space="preserve">Our Solution</w:t>
      </w:r>
    </w:p>
    <w:p>
      <w:pPr>
        <w:spacing w:after="120" w:before="80" w:line="312"/>
        <w:jc w:val="both"/>
      </w:pPr>
      <w:r>
        <w:rPr>
          <w:rFonts w:ascii="Arial" w:cs="Arial" w:eastAsia="Arial" w:hAnsi="Arial"/>
          <w:color w:val="333333"/>
          <w:sz w:val="22"/>
          <w:szCs w:val="22"/>
        </w:rPr>
        <w:t xml:space="preserve">Claritas Intelligence designed a three-phase engagement that combined deep metal powder market analysis with practical supply chain strategy.</w:t>
      </w:r>
    </w:p>
    <w:p>
      <w:pPr>
        <w:pStyle w:val="Heading3"/>
        <w:spacing w:after="120" w:before="240"/>
      </w:pPr>
      <w:r>
        <w:rPr>
          <w:rFonts w:ascii="Arial" w:cs="Arial" w:eastAsia="Arial" w:hAnsi="Arial"/>
          <w:b/>
          <w:bCs/>
          <w:color w:val="1B2A4A"/>
          <w:sz w:val="24"/>
          <w:szCs w:val="24"/>
        </w:rPr>
        <w:t xml:space="preserve">Phase 1: Market Architecture Mapping</w:t>
      </w:r>
    </w:p>
    <w:p>
      <w:pPr>
        <w:spacing w:after="120" w:before="80" w:line="312"/>
        <w:jc w:val="both"/>
      </w:pPr>
      <w:r>
        <w:rPr>
          <w:rFonts w:ascii="Arial" w:cs="Arial" w:eastAsia="Arial" w:hAnsi="Arial"/>
          <w:color w:val="333333"/>
          <w:sz w:val="22"/>
          <w:szCs w:val="22"/>
        </w:rPr>
        <w:t xml:space="preserve">We built a granular demand model segmenting the metal powder market across three material categories (ferrous, non-ferrous, and specialty/precious metal powders), four production technologies (press-and-sinter, atomization, additive manufacturing, and metal injection molding), and six end-use verticals. Rather than relying on top-down estimates, our analysts constructed the model bottom-up — triangulating production volume data from 47 atomization facilities, import/export flows across 19 countries, and disclosed capacity expansion plans from nine of the industry’s leading producers including Höganäs AB, Sandvik AB, and GKN Powder Metallurgy.</w:t>
      </w:r>
    </w:p>
    <w:p>
      <w:pPr>
        <w:pStyle w:val="Heading3"/>
        <w:spacing w:after="120" w:before="240"/>
      </w:pPr>
      <w:r>
        <w:rPr>
          <w:rFonts w:ascii="Arial" w:cs="Arial" w:eastAsia="Arial" w:hAnsi="Arial"/>
          <w:b/>
          <w:bCs/>
          <w:color w:val="1B2A4A"/>
          <w:sz w:val="24"/>
          <w:szCs w:val="24"/>
        </w:rPr>
        <w:t xml:space="preserve">Phase 2: Technology-Application Fit Assessment</w:t>
      </w:r>
    </w:p>
    <w:p>
      <w:pPr>
        <w:spacing w:after="120" w:before="80" w:line="312"/>
        <w:jc w:val="both"/>
      </w:pPr>
      <w:r>
        <w:rPr>
          <w:rFonts w:ascii="Arial" w:cs="Arial" w:eastAsia="Arial" w:hAnsi="Arial"/>
          <w:b w:val="false"/>
          <w:bCs w:val="false"/>
          <w:i w:val="false"/>
          <w:iCs w:val="false"/>
          <w:color w:val="333333"/>
          <w:sz w:val="22"/>
          <w:szCs w:val="22"/>
        </w:rPr>
        <w:t xml:space="preserve">We evaluated the client’s existing part portfolio — </w:t>
      </w:r>
      <w:r>
        <w:rPr>
          <w:rFonts w:ascii="Arial" w:cs="Arial" w:eastAsia="Arial" w:hAnsi="Arial"/>
          <w:b/>
          <w:bCs/>
          <w:i w:val="false"/>
          <w:iCs w:val="false"/>
          <w:color w:val="333333"/>
          <w:sz w:val="22"/>
          <w:szCs w:val="22"/>
        </w:rPr>
        <w:t xml:space="preserve">1,400+ SKUs</w:t>
      </w:r>
      <w:r>
        <w:rPr>
          <w:rFonts w:ascii="Arial" w:cs="Arial" w:eastAsia="Arial" w:hAnsi="Arial"/>
          <w:b w:val="false"/>
          <w:bCs w:val="false"/>
          <w:i w:val="false"/>
          <w:iCs w:val="false"/>
          <w:color w:val="333333"/>
          <w:sz w:val="22"/>
          <w:szCs w:val="22"/>
        </w:rPr>
        <w:t xml:space="preserve"> across powertrain, chassis, and electrical systems — against current and emerging powder metallurgy capabilities. Our proprietary scoring framework assessed each part family on 18 variables: geometric complexity, annual volume, weight-reduction potential, surface finish requirements, alloy compatibility, and total cost of ownership under both conventional and additive manufacturing scenarios. This wasn’t a theoretical exercise. We partnered with the client’s R&amp;D team to run cost simulations on their actual production data.</w:t>
      </w:r>
    </w:p>
    <w:p>
      <w:pPr>
        <w:pStyle w:val="Heading3"/>
        <w:spacing w:after="120" w:before="240"/>
      </w:pPr>
      <w:r>
        <w:rPr>
          <w:rFonts w:ascii="Arial" w:cs="Arial" w:eastAsia="Arial" w:hAnsi="Arial"/>
          <w:b/>
          <w:bCs/>
          <w:color w:val="1B2A4A"/>
          <w:sz w:val="24"/>
          <w:szCs w:val="24"/>
        </w:rPr>
        <w:t xml:space="preserve">Phase 3: Supplier Landscape &amp; Regional Sourcing Strategy</w:t>
      </w:r>
    </w:p>
    <w:p>
      <w:pPr>
        <w:spacing w:after="120" w:before="80" w:line="312"/>
        <w:jc w:val="both"/>
      </w:pPr>
      <w:r>
        <w:rPr>
          <w:rFonts w:ascii="Arial" w:cs="Arial" w:eastAsia="Arial" w:hAnsi="Arial"/>
          <w:b w:val="false"/>
          <w:bCs w:val="false"/>
          <w:i w:val="false"/>
          <w:iCs w:val="false"/>
          <w:color w:val="333333"/>
          <w:sz w:val="22"/>
          <w:szCs w:val="22"/>
        </w:rPr>
        <w:t xml:space="preserve">We mapped </w:t>
      </w:r>
      <w:r>
        <w:rPr>
          <w:rFonts w:ascii="Arial" w:cs="Arial" w:eastAsia="Arial" w:hAnsi="Arial"/>
          <w:b/>
          <w:bCs/>
          <w:i w:val="false"/>
          <w:iCs w:val="false"/>
          <w:color w:val="333333"/>
          <w:sz w:val="22"/>
          <w:szCs w:val="22"/>
        </w:rPr>
        <w:t xml:space="preserve">62 metal powder producers globally</w:t>
      </w:r>
      <w:r>
        <w:rPr>
          <w:rFonts w:ascii="Arial" w:cs="Arial" w:eastAsia="Arial" w:hAnsi="Arial"/>
          <w:b w:val="false"/>
          <w:bCs w:val="false"/>
          <w:i w:val="false"/>
          <w:iCs w:val="false"/>
          <w:color w:val="333333"/>
          <w:sz w:val="22"/>
          <w:szCs w:val="22"/>
        </w:rPr>
        <w:t xml:space="preserve">, profiling each on capacity, particle size distribution capabilities, quality certifications (AS9100, IATF 16949, ISO 13485), pricing structures, and lead times. Particular attention went to the Asia-Pacific region — which commands </w:t>
      </w:r>
      <w:r>
        <w:rPr>
          <w:rFonts w:ascii="Arial" w:cs="Arial" w:eastAsia="Arial" w:hAnsi="Arial"/>
          <w:b/>
          <w:bCs/>
          <w:i w:val="false"/>
          <w:iCs w:val="false"/>
          <w:color w:val="333333"/>
          <w:sz w:val="22"/>
          <w:szCs w:val="22"/>
        </w:rPr>
        <w:t xml:space="preserve">37% of global metal powder market share</w:t>
      </w:r>
      <w:r>
        <w:rPr>
          <w:rFonts w:ascii="Arial" w:cs="Arial" w:eastAsia="Arial" w:hAnsi="Arial"/>
          <w:b w:val="false"/>
          <w:bCs w:val="false"/>
          <w:i w:val="false"/>
          <w:iCs w:val="false"/>
          <w:color w:val="333333"/>
          <w:sz w:val="22"/>
          <w:szCs w:val="22"/>
        </w:rPr>
        <w:t xml:space="preserve"> — where we assessed 23 suppliers across China, India, Japan, and South Korea. We scored each supplier on a 31-factor model that incorporated not just technical capability but also geopolitical risk, logistics reliability, and intellectual property protections.</w:t>
      </w:r>
    </w:p>
    <w:p>
      <w:pPr>
        <w:spacing w:after="0" w:before="100"/>
      </w:pPr>
    </w:p>
    <w:p>
      <w:pPr>
        <w:pStyle w:val="Heading1"/>
        <w:spacing w:after="200" w:before="360"/>
      </w:pPr>
      <w:r>
        <w:rPr>
          <w:rFonts w:ascii="Georgia" w:cs="Georgia" w:eastAsia="Georgia" w:hAnsi="Georgia"/>
          <w:b/>
          <w:bCs/>
          <w:color w:val="1B2A4A"/>
          <w:sz w:val="36"/>
          <w:szCs w:val="36"/>
        </w:rPr>
        <w:t xml:space="preserve">Results &amp; Impact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none" w:sz="0"/>
              <w:right w:val="none" w:sz="0"/>
            </w:tcBorders>
            <w:shd w:fill="D5E8F0" w:val="clear"/>
            <w:tcMar>
              <w:top w:type="dxa" w:w="200"/>
              <w:left w:type="dxa" w:w="240"/>
              <w:bottom w:type="dxa" w:w="200"/>
              <w:right w:type="dxa" w:w="240"/>
            </w:tcMar>
          </w:tcPr>
          <w:p>
            <w:pPr>
              <w:pStyle w:val="ListParagraph"/>
              <w:numPr>
                <w:ilvl w:val="0"/>
                <w:numId w:val="2"/>
              </w:numPr>
              <w:spacing w:after="80" w:before="80" w:line="312"/>
            </w:pPr>
            <w:r>
              <w:rPr>
                <w:rFonts w:ascii="Arial" w:cs="Arial" w:eastAsia="Arial" w:hAnsi="Arial"/>
                <w:b/>
                <w:bCs/>
                <w:color w:val="1B2A4A"/>
                <w:sz w:val="22"/>
                <w:szCs w:val="22"/>
              </w:rPr>
              <w:t xml:space="preserve">$187M addressable opportunity</w:t>
            </w:r>
            <w:r>
              <w:rPr>
                <w:rFonts w:ascii="Arial" w:cs="Arial" w:eastAsia="Arial" w:hAnsi="Arial"/>
                <w:color w:val="333333"/>
                <w:sz w:val="22"/>
                <w:szCs w:val="22"/>
              </w:rPr>
              <w:t xml:space="preserve"> identified across 340+ part families suitable for transition from conventional sintering to metal additive manufacturing over a 5-year horizon</w:t>
            </w:r>
          </w:p>
          <w:p>
            <w:pPr>
              <w:pStyle w:val="ListParagraph"/>
              <w:numPr>
                <w:ilvl w:val="0"/>
                <w:numId w:val="2"/>
              </w:numPr>
              <w:spacing w:after="80" w:before="80" w:line="312"/>
            </w:pPr>
            <w:r>
              <w:rPr>
                <w:rFonts w:ascii="Arial" w:cs="Arial" w:eastAsia="Arial" w:hAnsi="Arial"/>
                <w:b/>
                <w:bCs/>
                <w:color w:val="1B2A4A"/>
                <w:sz w:val="22"/>
                <w:szCs w:val="22"/>
              </w:rPr>
              <w:t xml:space="preserve">3 strategic supplier partnerships</w:t>
            </w:r>
            <w:r>
              <w:rPr>
                <w:rFonts w:ascii="Arial" w:cs="Arial" w:eastAsia="Arial" w:hAnsi="Arial"/>
                <w:color w:val="333333"/>
                <w:sz w:val="22"/>
                <w:szCs w:val="22"/>
              </w:rPr>
              <w:t xml:space="preserve"> signed within 120 days — including a joint development agreement with a gas atomization specialist in Japan for custom nickel-based superalloy powders</w:t>
            </w:r>
          </w:p>
          <w:p>
            <w:pPr>
              <w:pStyle w:val="ListParagraph"/>
              <w:numPr>
                <w:ilvl w:val="0"/>
                <w:numId w:val="2"/>
              </w:numPr>
              <w:spacing w:after="80" w:before="80" w:line="312"/>
            </w:pPr>
            <w:r>
              <w:rPr>
                <w:rFonts w:ascii="Arial" w:cs="Arial" w:eastAsia="Arial" w:hAnsi="Arial"/>
                <w:b/>
                <w:bCs/>
                <w:color w:val="1B2A4A"/>
                <w:sz w:val="22"/>
                <w:szCs w:val="22"/>
              </w:rPr>
              <w:t xml:space="preserve">22% reduction in powder procurement costs</w:t>
            </w:r>
            <w:r>
              <w:rPr>
                <w:rFonts w:ascii="Arial" w:cs="Arial" w:eastAsia="Arial" w:hAnsi="Arial"/>
                <w:color w:val="333333"/>
                <w:sz w:val="22"/>
                <w:szCs w:val="22"/>
              </w:rPr>
              <w:t xml:space="preserve"> achieved through a dual-sourcing strategy that leveraged the cost advantages of qualified Indian producers while maintaining quality benchmarks</w:t>
            </w:r>
          </w:p>
          <w:p>
            <w:pPr>
              <w:pStyle w:val="ListParagraph"/>
              <w:numPr>
                <w:ilvl w:val="0"/>
                <w:numId w:val="2"/>
              </w:numPr>
              <w:spacing w:after="80" w:before="80" w:line="312"/>
            </w:pPr>
            <w:r>
              <w:rPr>
                <w:rFonts w:ascii="Arial" w:cs="Arial" w:eastAsia="Arial" w:hAnsi="Arial"/>
                <w:b/>
                <w:bCs/>
                <w:color w:val="1B2A4A"/>
                <w:sz w:val="22"/>
                <w:szCs w:val="22"/>
              </w:rPr>
              <w:t xml:space="preserve">Board-approved technology roadmap</w:t>
            </w:r>
            <w:r>
              <w:rPr>
                <w:rFonts w:ascii="Arial" w:cs="Arial" w:eastAsia="Arial" w:hAnsi="Arial"/>
                <w:color w:val="333333"/>
                <w:sz w:val="22"/>
                <w:szCs w:val="22"/>
              </w:rPr>
              <w:t xml:space="preserve"> for a phased $45M capital investment in metal 3D printing capacity across the client’s facilities in Germany, Mexico, and China</w:t>
            </w:r>
          </w:p>
          <w:p>
            <w:pPr>
              <w:pStyle w:val="ListParagraph"/>
              <w:numPr>
                <w:ilvl w:val="0"/>
                <w:numId w:val="2"/>
              </w:numPr>
              <w:spacing w:after="80" w:before="80" w:line="312"/>
            </w:pPr>
            <w:r>
              <w:rPr>
                <w:rFonts w:ascii="Arial" w:cs="Arial" w:eastAsia="Arial" w:hAnsi="Arial"/>
                <w:b/>
                <w:bCs/>
                <w:color w:val="1B2A4A"/>
                <w:sz w:val="22"/>
                <w:szCs w:val="22"/>
              </w:rPr>
              <w:t xml:space="preserve">12 months post-engagement:</w:t>
            </w:r>
            <w:r>
              <w:rPr>
                <w:rFonts w:ascii="Arial" w:cs="Arial" w:eastAsia="Arial" w:hAnsi="Arial"/>
                <w:color w:val="333333"/>
                <w:sz w:val="22"/>
                <w:szCs w:val="22"/>
              </w:rPr>
              <w:t xml:space="preserve"> the client had transitioned 89 production parts to additive manufacturing, reducing average part weight by 31% and cutting per-unit production costs by 18%</w:t>
            </w:r>
          </w:p>
        </w:tc>
      </w:tr>
    </w:tbl>
    <w:p>
      <w:r>
        <w:br w:type="page"/>
      </w:r>
    </w:p>
    <w:p>
      <w:pPr>
        <w:pStyle w:val="Heading1"/>
        <w:spacing w:after="200" w:before="360"/>
      </w:pPr>
      <w:r>
        <w:rPr>
          <w:rFonts w:ascii="Georgia" w:cs="Georgia" w:eastAsia="Georgia" w:hAnsi="Georgia"/>
          <w:b/>
          <w:bCs/>
          <w:color w:val="1B2A4A"/>
          <w:sz w:val="36"/>
          <w:szCs w:val="36"/>
        </w:rPr>
        <w:t xml:space="preserve">Metal Powder Market Case Study: Strategic Insights &amp; Industry Analysis</w:t>
      </w:r>
    </w:p>
    <w:p>
      <w:pPr>
        <w:pStyle w:val="Heading2"/>
        <w:spacing w:after="160" w:before="300"/>
      </w:pPr>
      <w:r>
        <w:rPr>
          <w:rFonts w:ascii="Georgia" w:cs="Georgia" w:eastAsia="Georgia" w:hAnsi="Georgia"/>
          <w:b/>
          <w:bCs/>
          <w:color w:val="2E75B6"/>
          <w:sz w:val="28"/>
          <w:szCs w:val="28"/>
        </w:rPr>
        <w:t xml:space="preserve">Introduction</w:t>
      </w:r>
    </w:p>
    <w:p>
      <w:pPr>
        <w:spacing w:after="120" w:before="80" w:line="312"/>
        <w:jc w:val="both"/>
      </w:pPr>
      <w:r>
        <w:rPr>
          <w:rFonts w:ascii="Arial" w:cs="Arial" w:eastAsia="Arial" w:hAnsi="Arial"/>
          <w:color w:val="333333"/>
          <w:sz w:val="22"/>
          <w:szCs w:val="22"/>
        </w:rPr>
        <w:t xml:space="preserve">The metal powder market sits at the intersection of some of the most consequential shifts in modern manufacturing. As industries from automotive to aerospace to medical devices push toward lighter components, tighter tolerances, and more sustainable production methods, metal powders have moved from a niche input material to a strategic enabler. Yet for most companies operating in this space, the market’s complexity — spanning multiple alloy systems, competing production technologies, and rapidly evolving regional supply chains — makes it genuinely difficult to allocate capital with confidence.</w:t>
      </w:r>
    </w:p>
    <w:p>
      <w:pPr>
        <w:spacing w:after="120" w:before="80" w:line="312"/>
        <w:jc w:val="both"/>
      </w:pPr>
      <w:r>
        <w:rPr>
          <w:rFonts w:ascii="Arial" w:cs="Arial" w:eastAsia="Arial" w:hAnsi="Arial"/>
          <w:color w:val="333333"/>
          <w:sz w:val="22"/>
          <w:szCs w:val="22"/>
        </w:rPr>
        <w:t xml:space="preserve">This case study walks through how a global automotive supplier used rigorous market intelligence to cut through that complexity and build a sourcing and technology strategy that delivered measurable results within 12 months.</w:t>
      </w:r>
    </w:p>
    <w:p>
      <w:pPr>
        <w:pStyle w:val="Heading2"/>
        <w:spacing w:after="160" w:before="300"/>
      </w:pPr>
      <w:r>
        <w:rPr>
          <w:rFonts w:ascii="Georgia" w:cs="Georgia" w:eastAsia="Georgia" w:hAnsi="Georgia"/>
          <w:b/>
          <w:bCs/>
          <w:color w:val="2E75B6"/>
          <w:sz w:val="28"/>
          <w:szCs w:val="28"/>
        </w:rPr>
        <w:t xml:space="preserve">Metal Powder Market Size and Growth Outlook</w:t>
      </w:r>
    </w:p>
    <w:p>
      <w:pPr>
        <w:spacing w:after="120" w:before="80" w:line="312"/>
        <w:jc w:val="both"/>
      </w:pPr>
      <w:r>
        <w:rPr>
          <w:rFonts w:ascii="Arial" w:cs="Arial" w:eastAsia="Arial" w:hAnsi="Arial"/>
          <w:b w:val="false"/>
          <w:bCs w:val="false"/>
          <w:i w:val="false"/>
          <w:iCs w:val="false"/>
          <w:color w:val="333333"/>
          <w:sz w:val="22"/>
          <w:szCs w:val="22"/>
        </w:rPr>
        <w:t xml:space="preserve">The numbers tell a clear story of acceleration. The global metal powder market, valued at </w:t>
      </w:r>
      <w:r>
        <w:rPr>
          <w:rFonts w:ascii="Arial" w:cs="Arial" w:eastAsia="Arial" w:hAnsi="Arial"/>
          <w:b/>
          <w:bCs/>
          <w:i w:val="false"/>
          <w:iCs w:val="false"/>
          <w:color w:val="333333"/>
          <w:sz w:val="22"/>
          <w:szCs w:val="22"/>
        </w:rPr>
        <w:t xml:space="preserve">USD 6.69 billion in 2025</w:t>
      </w:r>
      <w:r>
        <w:rPr>
          <w:rFonts w:ascii="Arial" w:cs="Arial" w:eastAsia="Arial" w:hAnsi="Arial"/>
          <w:b w:val="false"/>
          <w:bCs w:val="false"/>
          <w:i w:val="false"/>
          <w:iCs w:val="false"/>
          <w:color w:val="333333"/>
          <w:sz w:val="22"/>
          <w:szCs w:val="22"/>
        </w:rPr>
        <w:t xml:space="preserve">, is on track to reach </w:t>
      </w:r>
      <w:r>
        <w:rPr>
          <w:rFonts w:ascii="Arial" w:cs="Arial" w:eastAsia="Arial" w:hAnsi="Arial"/>
          <w:b/>
          <w:bCs/>
          <w:i w:val="false"/>
          <w:iCs w:val="false"/>
          <w:color w:val="333333"/>
          <w:sz w:val="22"/>
          <w:szCs w:val="22"/>
        </w:rPr>
        <w:t xml:space="preserve">USD 11.68 billion by 2033</w:t>
      </w:r>
      <w:r>
        <w:rPr>
          <w:rFonts w:ascii="Arial" w:cs="Arial" w:eastAsia="Arial" w:hAnsi="Arial"/>
          <w:b w:val="false"/>
          <w:bCs w:val="false"/>
          <w:i w:val="false"/>
          <w:iCs w:val="false"/>
          <w:color w:val="333333"/>
          <w:sz w:val="22"/>
          <w:szCs w:val="22"/>
        </w:rPr>
        <w:t xml:space="preserve"> — a 74.6% expansion over the forecast period, growing at a compound annual rate of 6.48%.</w:t>
      </w:r>
    </w:p>
    <w:p>
      <w:pPr>
        <w:spacing w:after="120" w:before="80" w:line="312"/>
        <w:jc w:val="both"/>
      </w:pPr>
      <w:r>
        <w:rPr>
          <w:rFonts w:ascii="Arial" w:cs="Arial" w:eastAsia="Arial" w:hAnsi="Arial"/>
          <w:color w:val="333333"/>
          <w:sz w:val="22"/>
          <w:szCs w:val="22"/>
        </w:rPr>
        <w:t xml:space="preserve">But aggregate numbers obscure the real dynamics. Growth is unevenly distributed across segments and geographies:</w:t>
      </w:r>
    </w:p>
    <w:p>
      <w:pPr>
        <w:pStyle w:val="ListParagraph"/>
        <w:numPr>
          <w:ilvl w:val="0"/>
          <w:numId w:val="3"/>
        </w:numPr>
        <w:spacing w:after="60" w:before="60" w:line="312"/>
      </w:pPr>
      <w:r>
        <w:rPr>
          <w:rFonts w:ascii="Arial" w:cs="Arial" w:eastAsia="Arial" w:hAnsi="Arial"/>
          <w:b/>
          <w:bCs/>
          <w:i w:val="false"/>
          <w:iCs w:val="false"/>
          <w:color w:val="333333"/>
          <w:sz w:val="22"/>
          <w:szCs w:val="22"/>
        </w:rPr>
        <w:t xml:space="preserve">Asia-Pacific dominates</w:t>
      </w:r>
      <w:r>
        <w:rPr>
          <w:rFonts w:ascii="Arial" w:cs="Arial" w:eastAsia="Arial" w:hAnsi="Arial"/>
          <w:b w:val="false"/>
          <w:bCs w:val="false"/>
          <w:i w:val="false"/>
          <w:iCs w:val="false"/>
          <w:color w:val="333333"/>
          <w:sz w:val="22"/>
          <w:szCs w:val="22"/>
        </w:rPr>
        <w:t xml:space="preserve"> with 37% of global market share and the highest regional growth rate (8.2%–14.4% CAGR), driven primarily by China’s manufacturing scale, electric vehicle supply chain buildout, and over 300 dedicated research centers focused on powder metallurgy applications.</w:t>
      </w:r>
    </w:p>
    <w:p>
      <w:pPr>
        <w:pStyle w:val="ListParagraph"/>
        <w:numPr>
          <w:ilvl w:val="0"/>
          <w:numId w:val="3"/>
        </w:numPr>
        <w:spacing w:after="60" w:before="60" w:line="312"/>
      </w:pPr>
      <w:r>
        <w:rPr>
          <w:rFonts w:ascii="Arial" w:cs="Arial" w:eastAsia="Arial" w:hAnsi="Arial"/>
          <w:b/>
          <w:bCs/>
          <w:i w:val="false"/>
          <w:iCs w:val="false"/>
          <w:color w:val="333333"/>
          <w:sz w:val="22"/>
          <w:szCs w:val="22"/>
        </w:rPr>
        <w:t xml:space="preserve">Additive manufacturing</w:t>
      </w:r>
      <w:r>
        <w:rPr>
          <w:rFonts w:ascii="Arial" w:cs="Arial" w:eastAsia="Arial" w:hAnsi="Arial"/>
          <w:b w:val="false"/>
          <w:bCs w:val="false"/>
          <w:i w:val="false"/>
          <w:iCs w:val="false"/>
          <w:color w:val="333333"/>
          <w:sz w:val="22"/>
          <w:szCs w:val="22"/>
        </w:rPr>
        <w:t xml:space="preserve"> is the fastest-growing application segment, pulling demand toward finer particle distributions and higher-purity atomized powders — a shift that rewards suppliers with advanced gas and plasma atomization capabilities.</w:t>
      </w:r>
    </w:p>
    <w:p>
      <w:pPr>
        <w:pStyle w:val="ListParagraph"/>
        <w:numPr>
          <w:ilvl w:val="0"/>
          <w:numId w:val="3"/>
        </w:numPr>
        <w:spacing w:after="60" w:before="60" w:line="312"/>
      </w:pPr>
      <w:r>
        <w:rPr>
          <w:rFonts w:ascii="Arial" w:cs="Arial" w:eastAsia="Arial" w:hAnsi="Arial"/>
          <w:b/>
          <w:bCs/>
          <w:i w:val="false"/>
          <w:iCs w:val="false"/>
          <w:color w:val="333333"/>
          <w:sz w:val="22"/>
          <w:szCs w:val="22"/>
        </w:rPr>
        <w:t xml:space="preserve">Non-ferrous and specialty metal powders</w:t>
      </w:r>
      <w:r>
        <w:rPr>
          <w:rFonts w:ascii="Arial" w:cs="Arial" w:eastAsia="Arial" w:hAnsi="Arial"/>
          <w:b w:val="false"/>
          <w:bCs w:val="false"/>
          <w:i w:val="false"/>
          <w:iCs w:val="false"/>
          <w:color w:val="333333"/>
          <w:sz w:val="22"/>
          <w:szCs w:val="22"/>
        </w:rPr>
        <w:t xml:space="preserve"> — particularly titanium, nickel superalloys, and cobalt-chrome — are growing faster than the ferrous segment, driven by aerospace, medical implant, and energy sector demand.</w:t>
      </w:r>
    </w:p>
    <w:p>
      <w:pPr>
        <w:spacing w:after="120" w:before="80" w:line="312"/>
        <w:jc w:val="both"/>
      </w:pPr>
      <w:r>
        <w:rPr>
          <w:rFonts w:ascii="Arial" w:cs="Arial" w:eastAsia="Arial" w:hAnsi="Arial"/>
          <w:color w:val="333333"/>
          <w:sz w:val="22"/>
          <w:szCs w:val="22"/>
        </w:rPr>
        <w:t xml:space="preserve">For procurement and strategy teams, the implication is straightforward: a sourcing strategy built around yesterday’s powder mix and supplier base will be misaligned with where demand is actually heading.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 Share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Growth Rate (CAGR)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Asia-Pacific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8.2% – 14.4%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Europe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5.8% – 6.5%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North America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6.4% – 7.2%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Latin America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 – 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Middle East &amp; Africa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3.8% – 5.0%</w:t>
            </w:r>
          </w:p>
        </w:tc>
      </w:tr>
    </w:tbl>
    <w:p>
      <w:pPr>
        <w:spacing w:after="0" w:before="100"/>
      </w:pPr>
    </w:p>
    <w:p>
      <w:pPr>
        <w:pStyle w:val="Heading2"/>
        <w:spacing w:after="160" w:before="300"/>
      </w:pPr>
      <w:r>
        <w:rPr>
          <w:rFonts w:ascii="Georgia" w:cs="Georgia" w:eastAsia="Georgia" w:hAnsi="Georgia"/>
          <w:b/>
          <w:bCs/>
          <w:color w:val="2E75B6"/>
          <w:sz w:val="28"/>
          <w:szCs w:val="28"/>
        </w:rPr>
        <w:t xml:space="preserve">Key Trends Reshaping the Metal Powder Industry</w:t>
      </w:r>
    </w:p>
    <w:p>
      <w:pPr>
        <w:spacing w:after="120" w:before="80" w:line="312"/>
        <w:jc w:val="both"/>
      </w:pPr>
      <w:r>
        <w:rPr>
          <w:rFonts w:ascii="Arial" w:cs="Arial" w:eastAsia="Arial" w:hAnsi="Arial"/>
          <w:color w:val="333333"/>
          <w:sz w:val="22"/>
          <w:szCs w:val="22"/>
        </w:rPr>
        <w:t xml:space="preserve">Several forces are converging to reshape competitive dynamics across the metal powder value chain:</w:t>
      </w:r>
    </w:p>
    <w:p>
      <w:pPr>
        <w:pStyle w:val="ListParagraph"/>
        <w:numPr>
          <w:ilvl w:val="0"/>
          <w:numId w:val="4"/>
        </w:numPr>
        <w:spacing w:after="60" w:before="60" w:line="312"/>
      </w:pPr>
      <w:r>
        <w:rPr>
          <w:rFonts w:ascii="Arial" w:cs="Arial" w:eastAsia="Arial" w:hAnsi="Arial"/>
          <w:b/>
          <w:bCs/>
          <w:i w:val="false"/>
          <w:iCs w:val="false"/>
          <w:color w:val="333333"/>
          <w:sz w:val="22"/>
          <w:szCs w:val="22"/>
        </w:rPr>
        <w:t xml:space="preserve">Additive manufacturing is pulling powder specifications upward. </w:t>
      </w:r>
      <w:r>
        <w:rPr>
          <w:rFonts w:ascii="Arial" w:cs="Arial" w:eastAsia="Arial" w:hAnsi="Arial"/>
          <w:b w:val="false"/>
          <w:bCs w:val="false"/>
          <w:i w:val="false"/>
          <w:iCs w:val="false"/>
          <w:color w:val="333333"/>
          <w:sz w:val="22"/>
          <w:szCs w:val="22"/>
        </w:rPr>
        <w:t xml:space="preserve">As metal 3D printing moves from prototyping into series production, the quality requirements for feedstock powders — particle size consistency, flowability, oxygen content, recyclability — are becoming significantly more stringent. Producers who cannot meet aerospace-grade specifications (AMS 4999, AMS 7002) risk being locked out of the highest-growth segments.</w:t>
      </w:r>
    </w:p>
    <w:p>
      <w:pPr>
        <w:pStyle w:val="ListParagraph"/>
        <w:numPr>
          <w:ilvl w:val="0"/>
          <w:numId w:val="4"/>
        </w:numPr>
        <w:spacing w:after="60" w:before="60" w:line="312"/>
      </w:pPr>
      <w:r>
        <w:rPr>
          <w:rFonts w:ascii="Arial" w:cs="Arial" w:eastAsia="Arial" w:hAnsi="Arial"/>
          <w:b/>
          <w:bCs/>
          <w:i w:val="false"/>
          <w:iCs w:val="false"/>
          <w:color w:val="333333"/>
          <w:sz w:val="22"/>
          <w:szCs w:val="22"/>
        </w:rPr>
        <w:t xml:space="preserve">AI-driven process optimization is changing the economics of atomization. </w:t>
      </w:r>
      <w:r>
        <w:rPr>
          <w:rFonts w:ascii="Arial" w:cs="Arial" w:eastAsia="Arial" w:hAnsi="Arial"/>
          <w:b w:val="false"/>
          <w:bCs w:val="false"/>
          <w:i w:val="false"/>
          <w:iCs w:val="false"/>
          <w:color w:val="333333"/>
          <w:sz w:val="22"/>
          <w:szCs w:val="22"/>
        </w:rPr>
        <w:t xml:space="preserve">Machine learning integration with gas atomization processes has improved fine powder yield (sub-53 micron) from roughly 30% to over 77% at leading facilities. Gaussian Process Regression and Bayesian Optimization are being applied to predict and control particle morphology in real time — a development that is compressing the cost gap between commodity and specialty powders.</w:t>
      </w:r>
    </w:p>
    <w:p>
      <w:pPr>
        <w:pStyle w:val="ListParagraph"/>
        <w:numPr>
          <w:ilvl w:val="0"/>
          <w:numId w:val="4"/>
        </w:numPr>
        <w:spacing w:after="60" w:before="60" w:line="312"/>
      </w:pPr>
      <w:r>
        <w:rPr>
          <w:rFonts w:ascii="Arial" w:cs="Arial" w:eastAsia="Arial" w:hAnsi="Arial"/>
          <w:b/>
          <w:bCs/>
          <w:i w:val="false"/>
          <w:iCs w:val="false"/>
          <w:color w:val="333333"/>
          <w:sz w:val="22"/>
          <w:szCs w:val="22"/>
        </w:rPr>
        <w:t xml:space="preserve">Sustainability is becoming a procurement criterion, not just a talking point. </w:t>
      </w:r>
      <w:r>
        <w:rPr>
          <w:rFonts w:ascii="Arial" w:cs="Arial" w:eastAsia="Arial" w:hAnsi="Arial"/>
          <w:b w:val="false"/>
          <w:bCs w:val="false"/>
          <w:i w:val="false"/>
          <w:iCs w:val="false"/>
          <w:color w:val="333333"/>
          <w:sz w:val="22"/>
          <w:szCs w:val="22"/>
        </w:rPr>
        <w:t xml:space="preserve">European OEMs in particular are beginning to require lifecycle carbon data for metal powder inputs. Producers investing in electric arc furnace-based atomization and closed-loop powder recycling systems are gaining a tangible competitive advantage in RFQ processes.</w:t>
      </w:r>
    </w:p>
    <w:p>
      <w:pPr>
        <w:pStyle w:val="ListParagraph"/>
        <w:numPr>
          <w:ilvl w:val="0"/>
          <w:numId w:val="4"/>
        </w:numPr>
        <w:spacing w:after="60" w:before="60" w:line="312"/>
      </w:pPr>
      <w:r>
        <w:rPr>
          <w:rFonts w:ascii="Arial" w:cs="Arial" w:eastAsia="Arial" w:hAnsi="Arial"/>
          <w:b/>
          <w:bCs/>
          <w:i w:val="false"/>
          <w:iCs w:val="false"/>
          <w:color w:val="333333"/>
          <w:sz w:val="22"/>
          <w:szCs w:val="22"/>
        </w:rPr>
        <w:t xml:space="preserve">Regional supply chain diversification is accelerating. </w:t>
      </w:r>
      <w:r>
        <w:rPr>
          <w:rFonts w:ascii="Arial" w:cs="Arial" w:eastAsia="Arial" w:hAnsi="Arial"/>
          <w:b w:val="false"/>
          <w:bCs w:val="false"/>
          <w:i w:val="false"/>
          <w:iCs w:val="false"/>
          <w:color w:val="333333"/>
          <w:sz w:val="22"/>
          <w:szCs w:val="22"/>
        </w:rPr>
        <w:t xml:space="preserve">The combination of geopolitical tension, pandemic-era supply disruptions, and tariff volatility has pushed major buyers toward multi-region sourcing strategies. India and Southeast Asia are the primary beneficiaries, with several global powder producers expanding atomization capacity in Gujarat, Maharashtra, and Vietnam.</w:t>
      </w:r>
    </w:p>
    <w:p>
      <w:pPr>
        <w:pStyle w:val="Heading2"/>
        <w:spacing w:after="160" w:before="300"/>
      </w:pPr>
      <w:r>
        <w:rPr>
          <w:rFonts w:ascii="Georgia" w:cs="Georgia" w:eastAsia="Georgia" w:hAnsi="Georgia"/>
          <w:b/>
          <w:bCs/>
          <w:color w:val="2E75B6"/>
          <w:sz w:val="28"/>
          <w:szCs w:val="28"/>
        </w:rPr>
        <w:t xml:space="preserve">Challenges Facing Metal Powder Market Participants</w:t>
      </w:r>
    </w:p>
    <w:p>
      <w:pPr>
        <w:spacing w:after="120" w:before="80" w:line="312"/>
        <w:jc w:val="both"/>
      </w:pPr>
      <w:r>
        <w:rPr>
          <w:rFonts w:ascii="Arial" w:cs="Arial" w:eastAsia="Arial" w:hAnsi="Arial"/>
          <w:color w:val="333333"/>
          <w:sz w:val="22"/>
          <w:szCs w:val="22"/>
        </w:rPr>
        <w:t xml:space="preserve">Despite the favorable demand trajectory, companies across the metal powder value chain face real operational headwinds:</w:t>
      </w:r>
    </w:p>
    <w:p>
      <w:pPr>
        <w:spacing w:after="120" w:before="80" w:line="312"/>
        <w:jc w:val="both"/>
      </w:pPr>
      <w:r>
        <w:rPr>
          <w:rFonts w:ascii="Arial" w:cs="Arial" w:eastAsia="Arial" w:hAnsi="Arial"/>
          <w:b/>
          <w:bCs/>
          <w:i w:val="false"/>
          <w:iCs w:val="false"/>
          <w:color w:val="333333"/>
          <w:sz w:val="22"/>
          <w:szCs w:val="22"/>
        </w:rPr>
        <w:t xml:space="preserve">Powder quality consistency remains the industry’s most persistent technical challenge. </w:t>
      </w:r>
      <w:r>
        <w:rPr>
          <w:rFonts w:ascii="Arial" w:cs="Arial" w:eastAsia="Arial" w:hAnsi="Arial"/>
          <w:b w:val="false"/>
          <w:bCs w:val="false"/>
          <w:i w:val="false"/>
          <w:iCs w:val="false"/>
          <w:color w:val="333333"/>
          <w:sz w:val="22"/>
          <w:szCs w:val="22"/>
        </w:rPr>
        <w:t xml:space="preserve">Particle size distribution, sphericity, surface chemistry, and flow characteristics must be tightly controlled — and even small batch-to-batch variations can cascade into defect rates, print failures, or out-of-spec mechanical properties in finished parts. This is particularly acute in additive manufacturing, where powder reuse cycles introduce progressive degradation that must be monitored and managed.</w:t>
      </w:r>
    </w:p>
    <w:p>
      <w:pPr>
        <w:spacing w:after="120" w:before="80" w:line="312"/>
        <w:jc w:val="both"/>
      </w:pPr>
      <w:r>
        <w:rPr>
          <w:rFonts w:ascii="Arial" w:cs="Arial" w:eastAsia="Arial" w:hAnsi="Arial"/>
          <w:b/>
          <w:bCs/>
          <w:i w:val="false"/>
          <w:iCs w:val="false"/>
          <w:color w:val="333333"/>
          <w:sz w:val="22"/>
          <w:szCs w:val="22"/>
        </w:rPr>
        <w:t xml:space="preserve">Handling, storage, and contamination control add meaningful cost and complexity. </w:t>
      </w:r>
      <w:r>
        <w:rPr>
          <w:rFonts w:ascii="Arial" w:cs="Arial" w:eastAsia="Arial" w:hAnsi="Arial"/>
          <w:b w:val="false"/>
          <w:bCs w:val="false"/>
          <w:i w:val="false"/>
          <w:iCs w:val="false"/>
          <w:color w:val="333333"/>
          <w:sz w:val="22"/>
          <w:szCs w:val="22"/>
        </w:rPr>
        <w:t xml:space="preserve">Reactive metal powders (titanium, aluminum, magnesium) require inert atmosphere storage, explosion-rated facilities, and rigorous chain-of-custody documentation. For companies scaling their powder metallurgy operations, these infrastructure requirements represent a significant and often underestimated capital burden.</w:t>
      </w:r>
    </w:p>
    <w:p>
      <w:pPr>
        <w:spacing w:after="120" w:before="80" w:line="312"/>
        <w:jc w:val="both"/>
      </w:pPr>
      <w:r>
        <w:rPr>
          <w:rFonts w:ascii="Arial" w:cs="Arial" w:eastAsia="Arial" w:hAnsi="Arial"/>
          <w:b/>
          <w:bCs/>
          <w:i w:val="false"/>
          <w:iCs w:val="false"/>
          <w:color w:val="333333"/>
          <w:sz w:val="22"/>
          <w:szCs w:val="22"/>
        </w:rPr>
        <w:t xml:space="preserve">The gap between laboratory innovation and production-scale reliability is wide. </w:t>
      </w:r>
      <w:r>
        <w:rPr>
          <w:rFonts w:ascii="Arial" w:cs="Arial" w:eastAsia="Arial" w:hAnsi="Arial"/>
          <w:b w:val="false"/>
          <w:bCs w:val="false"/>
          <w:i w:val="false"/>
          <w:iCs w:val="false"/>
          <w:color w:val="333333"/>
          <w:sz w:val="22"/>
          <w:szCs w:val="22"/>
        </w:rPr>
        <w:t xml:space="preserve">Many promising alloy systems and process improvements demonstrated in research settings have struggled to maintain performance at commercial volumes — creating risk for companies that commit capital based on pilot-stage data.</w:t>
      </w:r>
    </w:p>
    <w:p>
      <w:r>
        <w:br w:type="page"/>
      </w:r>
    </w:p>
    <w:p>
      <w:pPr>
        <w:pStyle w:val="Heading2"/>
        <w:spacing w:after="160" w:before="300"/>
      </w:pPr>
      <w:r>
        <w:rPr>
          <w:rFonts w:ascii="Georgia" w:cs="Georgia" w:eastAsia="Georgia" w:hAnsi="Georgia"/>
          <w:b/>
          <w:bCs/>
          <w:color w:val="2E75B6"/>
          <w:sz w:val="28"/>
          <w:szCs w:val="28"/>
        </w:rPr>
        <w:t xml:space="preserve">Strategy Implemented: What Worked and Why</w:t>
      </w:r>
    </w:p>
    <w:p>
      <w:pPr>
        <w:spacing w:after="120" w:before="80" w:line="312"/>
        <w:jc w:val="both"/>
      </w:pPr>
      <w:r>
        <w:rPr>
          <w:rFonts w:ascii="Arial" w:cs="Arial" w:eastAsia="Arial" w:hAnsi="Arial"/>
          <w:color w:val="333333"/>
          <w:sz w:val="22"/>
          <w:szCs w:val="22"/>
        </w:rPr>
        <w:t xml:space="preserve">The engagement succeeded because it was designed around decisions, not data collection. Three elements of the approach proved particularly valuable:</w:t>
      </w:r>
    </w:p>
    <w:p>
      <w:pPr>
        <w:pStyle w:val="ListParagraph"/>
        <w:numPr>
          <w:ilvl w:val="0"/>
          <w:numId w:val="5"/>
        </w:numPr>
        <w:spacing w:after="60" w:before="60" w:line="312"/>
      </w:pPr>
      <w:r>
        <w:rPr>
          <w:rFonts w:ascii="Arial" w:cs="Arial" w:eastAsia="Arial" w:hAnsi="Arial"/>
          <w:b/>
          <w:bCs/>
          <w:i w:val="false"/>
          <w:iCs w:val="false"/>
          <w:color w:val="333333"/>
          <w:sz w:val="22"/>
          <w:szCs w:val="22"/>
        </w:rPr>
        <w:t xml:space="preserve">Bottom-up demand modeling replaced top-down estimates. </w:t>
      </w:r>
      <w:r>
        <w:rPr>
          <w:rFonts w:ascii="Arial" w:cs="Arial" w:eastAsia="Arial" w:hAnsi="Arial"/>
          <w:b w:val="false"/>
          <w:bCs w:val="false"/>
          <w:i w:val="false"/>
          <w:iCs w:val="false"/>
          <w:color w:val="333333"/>
          <w:sz w:val="22"/>
          <w:szCs w:val="22"/>
        </w:rPr>
        <w:t xml:space="preserve">By building the market model from facility-level production data, trade flows, and disclosed capacity plans — rather than applying growth rates to historical market sizes — we gave the client a demand picture that was specific enough to drive investment decisions at the alloy and application level.</w:t>
      </w:r>
    </w:p>
    <w:p>
      <w:pPr>
        <w:pStyle w:val="ListParagraph"/>
        <w:numPr>
          <w:ilvl w:val="0"/>
          <w:numId w:val="5"/>
        </w:numPr>
        <w:spacing w:after="60" w:before="60" w:line="312"/>
      </w:pPr>
      <w:r>
        <w:rPr>
          <w:rFonts w:ascii="Arial" w:cs="Arial" w:eastAsia="Arial" w:hAnsi="Arial"/>
          <w:b/>
          <w:bCs/>
          <w:i w:val="false"/>
          <w:iCs w:val="false"/>
          <w:color w:val="333333"/>
          <w:sz w:val="22"/>
          <w:szCs w:val="22"/>
        </w:rPr>
        <w:t xml:space="preserve">The technology-application fit assessment grounded “additive vs. conventional” decisions in actual production economics. </w:t>
      </w:r>
      <w:r>
        <w:rPr>
          <w:rFonts w:ascii="Arial" w:cs="Arial" w:eastAsia="Arial" w:hAnsi="Arial"/>
          <w:b w:val="false"/>
          <w:bCs w:val="false"/>
          <w:i w:val="false"/>
          <w:iCs w:val="false"/>
          <w:color w:val="333333"/>
          <w:sz w:val="22"/>
          <w:szCs w:val="22"/>
        </w:rPr>
        <w:t xml:space="preserve">Rather than making blanket assumptions about where metal 3D printing makes sense, we evaluated each part family against real cost, quality, and performance criteria. The result was a prioritized transition roadmap that engineering, procurement, and finance could all align around — not a generic “additive is the future” narrative.</w:t>
      </w:r>
    </w:p>
    <w:p>
      <w:pPr>
        <w:pStyle w:val="ListParagraph"/>
        <w:numPr>
          <w:ilvl w:val="0"/>
          <w:numId w:val="5"/>
        </w:numPr>
        <w:spacing w:after="60" w:before="60" w:line="312"/>
      </w:pPr>
      <w:r>
        <w:rPr>
          <w:rFonts w:ascii="Arial" w:cs="Arial" w:eastAsia="Arial" w:hAnsi="Arial"/>
          <w:b/>
          <w:bCs/>
          <w:i w:val="false"/>
          <w:iCs w:val="false"/>
          <w:color w:val="333333"/>
          <w:sz w:val="22"/>
          <w:szCs w:val="22"/>
        </w:rPr>
        <w:t xml:space="preserve">Supplier scoring incorporated risk dimensions that pure cost benchmarking misses. </w:t>
      </w:r>
      <w:r>
        <w:rPr>
          <w:rFonts w:ascii="Arial" w:cs="Arial" w:eastAsia="Arial" w:hAnsi="Arial"/>
          <w:b w:val="false"/>
          <w:bCs w:val="false"/>
          <w:i w:val="false"/>
          <w:iCs w:val="false"/>
          <w:color w:val="333333"/>
          <w:sz w:val="22"/>
          <w:szCs w:val="22"/>
        </w:rPr>
        <w:t xml:space="preserve">Geopolitical exposure, IP protections, logistics reliability, and quality certification depth were weighted alongside price per kilogram. This approach prevented the client from over-concentrating supply in low-cost regions without adequate risk mitigation.</w:t>
      </w:r>
    </w:p>
    <w:p>
      <w:pPr>
        <w:pStyle w:val="Heading2"/>
        <w:spacing w:after="160" w:before="300"/>
      </w:pPr>
      <w:r>
        <w:rPr>
          <w:rFonts w:ascii="Georgia" w:cs="Georgia" w:eastAsia="Georgia" w:hAnsi="Georgia"/>
          <w:b/>
          <w:bCs/>
          <w:color w:val="2E75B6"/>
          <w:sz w:val="28"/>
          <w:szCs w:val="28"/>
        </w:rPr>
        <w:t xml:space="preserve">Results Achieved: Measurable Outcomes in 12 Months</w:t>
      </w:r>
    </w:p>
    <w:p>
      <w:pPr>
        <w:spacing w:after="120" w:before="80" w:line="312"/>
        <w:jc w:val="both"/>
      </w:pPr>
      <w:r>
        <w:rPr>
          <w:rFonts w:ascii="Arial" w:cs="Arial" w:eastAsia="Arial" w:hAnsi="Arial"/>
          <w:b w:val="false"/>
          <w:bCs w:val="false"/>
          <w:i w:val="false"/>
          <w:iCs w:val="false"/>
          <w:color w:val="333333"/>
          <w:sz w:val="22"/>
          <w:szCs w:val="22"/>
        </w:rPr>
        <w:t xml:space="preserve">The $187M addressable opportunity analysis gave the board the confidence to approve a phased </w:t>
      </w:r>
      <w:r>
        <w:rPr>
          <w:rFonts w:ascii="Arial" w:cs="Arial" w:eastAsia="Arial" w:hAnsi="Arial"/>
          <w:b/>
          <w:bCs/>
          <w:i w:val="false"/>
          <w:iCs w:val="false"/>
          <w:color w:val="333333"/>
          <w:sz w:val="22"/>
          <w:szCs w:val="22"/>
        </w:rPr>
        <w:t xml:space="preserve">$45M capital investment</w:t>
      </w:r>
      <w:r>
        <w:rPr>
          <w:rFonts w:ascii="Arial" w:cs="Arial" w:eastAsia="Arial" w:hAnsi="Arial"/>
          <w:b w:val="false"/>
          <w:bCs w:val="false"/>
          <w:i w:val="false"/>
          <w:iCs w:val="false"/>
          <w:color w:val="333333"/>
          <w:sz w:val="22"/>
          <w:szCs w:val="22"/>
        </w:rPr>
        <w:t xml:space="preserve"> in metal additive manufacturing capacity — a decision that had been stalled for 18 months due to insufficient market data. Within a year, 89 production parts had been transitioned, delivering a </w:t>
      </w:r>
      <w:r>
        <w:rPr>
          <w:rFonts w:ascii="Arial" w:cs="Arial" w:eastAsia="Arial" w:hAnsi="Arial"/>
          <w:b/>
          <w:bCs/>
          <w:i w:val="false"/>
          <w:iCs w:val="false"/>
          <w:color w:val="333333"/>
          <w:sz w:val="22"/>
          <w:szCs w:val="22"/>
        </w:rPr>
        <w:t xml:space="preserve">31% average weight reduction</w:t>
      </w:r>
      <w:r>
        <w:rPr>
          <w:rFonts w:ascii="Arial" w:cs="Arial" w:eastAsia="Arial" w:hAnsi="Arial"/>
          <w:b w:val="false"/>
          <w:bCs w:val="false"/>
          <w:i w:val="false"/>
          <w:iCs w:val="false"/>
          <w:color w:val="333333"/>
          <w:sz w:val="22"/>
          <w:szCs w:val="22"/>
        </w:rPr>
        <w:t xml:space="preserve"> and </w:t>
      </w:r>
      <w:r>
        <w:rPr>
          <w:rFonts w:ascii="Arial" w:cs="Arial" w:eastAsia="Arial" w:hAnsi="Arial"/>
          <w:b/>
          <w:bCs/>
          <w:i w:val="false"/>
          <w:iCs w:val="false"/>
          <w:color w:val="333333"/>
          <w:sz w:val="22"/>
          <w:szCs w:val="22"/>
        </w:rPr>
        <w:t xml:space="preserve">18% per-unit cost savings</w:t>
      </w:r>
      <w:r>
        <w:rPr>
          <w:rFonts w:ascii="Arial" w:cs="Arial" w:eastAsia="Arial" w:hAnsi="Arial"/>
          <w:b w:val="false"/>
          <w:bCs w:val="false"/>
          <w:i w:val="false"/>
          <w:iCs w:val="false"/>
          <w:color w:val="333333"/>
          <w:sz w:val="22"/>
          <w:szCs w:val="22"/>
        </w:rPr>
        <w:t xml:space="preserve">.</w:t>
      </w:r>
    </w:p>
    <w:p>
      <w:pPr>
        <w:spacing w:after="120" w:before="80" w:line="312"/>
        <w:jc w:val="both"/>
      </w:pPr>
      <w:r>
        <w:rPr>
          <w:rFonts w:ascii="Arial" w:cs="Arial" w:eastAsia="Arial" w:hAnsi="Arial"/>
          <w:b w:val="false"/>
          <w:bCs w:val="false"/>
          <w:i w:val="false"/>
          <w:iCs w:val="false"/>
          <w:color w:val="333333"/>
          <w:sz w:val="22"/>
          <w:szCs w:val="22"/>
        </w:rPr>
        <w:t xml:space="preserve">The dual-sourcing strategy — pairing a Japanese gas atomization specialist for high-specification nickel superalloy powders with qualified Indian producers for high-volume ferrous powders — reduced overall powder procurement costs by </w:t>
      </w:r>
      <w:r>
        <w:rPr>
          <w:rFonts w:ascii="Arial" w:cs="Arial" w:eastAsia="Arial" w:hAnsi="Arial"/>
          <w:b/>
          <w:bCs/>
          <w:i w:val="false"/>
          <w:iCs w:val="false"/>
          <w:color w:val="333333"/>
          <w:sz w:val="22"/>
          <w:szCs w:val="22"/>
        </w:rPr>
        <w:t xml:space="preserve">22%</w:t>
      </w:r>
      <w:r>
        <w:rPr>
          <w:rFonts w:ascii="Arial" w:cs="Arial" w:eastAsia="Arial" w:hAnsi="Arial"/>
          <w:b w:val="false"/>
          <w:bCs w:val="false"/>
          <w:i w:val="false"/>
          <w:iCs w:val="false"/>
          <w:color w:val="333333"/>
          <w:sz w:val="22"/>
          <w:szCs w:val="22"/>
        </w:rPr>
        <w:t xml:space="preserve"> while actually improving incoming quality metrics.</w:t>
      </w:r>
    </w:p>
    <w:p>
      <w:pPr>
        <w:spacing w:after="120" w:before="80" w:line="312"/>
        <w:jc w:val="both"/>
      </w:pPr>
      <w:r>
        <w:rPr>
          <w:rFonts w:ascii="Arial" w:cs="Arial" w:eastAsia="Arial" w:hAnsi="Arial"/>
          <w:color w:val="333333"/>
          <w:sz w:val="22"/>
          <w:szCs w:val="22"/>
        </w:rPr>
        <w:t xml:space="preserve">Perhaps most importantly, the strategic framework developed during the engagement has been institutionalized. The client’s procurement team now uses the 31-factor supplier scoring model as its standard evaluation tool for all new metal powder sourcing decisions, and the technology-application fit methodology has been extended to their electrical systems and medical device divisions.</w:t>
      </w:r>
    </w:p>
    <w:p>
      <w:pPr>
        <w:pStyle w:val="Heading2"/>
        <w:spacing w:after="160" w:before="300"/>
      </w:pPr>
      <w:r>
        <w:rPr>
          <w:rFonts w:ascii="Georgia" w:cs="Georgia" w:eastAsia="Georgia" w:hAnsi="Georgia"/>
          <w:b/>
          <w:bCs/>
          <w:color w:val="2E75B6"/>
          <w:sz w:val="28"/>
          <w:szCs w:val="28"/>
        </w:rPr>
        <w:t xml:space="preserve">Conclusion</w:t>
      </w:r>
    </w:p>
    <w:p>
      <w:pPr>
        <w:spacing w:after="120" w:before="80" w:line="312"/>
        <w:jc w:val="both"/>
      </w:pPr>
      <w:r>
        <w:rPr>
          <w:rFonts w:ascii="Arial" w:cs="Arial" w:eastAsia="Arial" w:hAnsi="Arial"/>
          <w:b w:val="false"/>
          <w:bCs w:val="false"/>
          <w:i w:val="false"/>
          <w:iCs w:val="false"/>
          <w:color w:val="333333"/>
          <w:sz w:val="22"/>
          <w:szCs w:val="22"/>
        </w:rPr>
        <w:t xml:space="preserve">The metal powder market is not short on opportunity — </w:t>
      </w:r>
      <w:r>
        <w:rPr>
          <w:rFonts w:ascii="Arial" w:cs="Arial" w:eastAsia="Arial" w:hAnsi="Arial"/>
          <w:b/>
          <w:bCs/>
          <w:i w:val="false"/>
          <w:iCs w:val="false"/>
          <w:color w:val="333333"/>
          <w:sz w:val="22"/>
          <w:szCs w:val="22"/>
        </w:rPr>
        <w:t xml:space="preserve">USD 11.68 billion by 2033</w:t>
      </w:r>
      <w:r>
        <w:rPr>
          <w:rFonts w:ascii="Arial" w:cs="Arial" w:eastAsia="Arial" w:hAnsi="Arial"/>
          <w:b w:val="false"/>
          <w:bCs w:val="false"/>
          <w:i w:val="false"/>
          <w:iCs w:val="false"/>
          <w:color w:val="333333"/>
          <w:sz w:val="22"/>
          <w:szCs w:val="22"/>
        </w:rPr>
        <w:t xml:space="preserve"> is a substantial addressable market, and the tailwinds from additive manufacturing adoption, electric vehicle proliferation, and lightweight design requirements are structural, not cyclical.</w:t>
      </w:r>
    </w:p>
    <w:p>
      <w:pPr>
        <w:spacing w:after="120" w:before="80" w:line="312"/>
        <w:jc w:val="both"/>
      </w:pPr>
      <w:r>
        <w:rPr>
          <w:rFonts w:ascii="Arial" w:cs="Arial" w:eastAsia="Arial" w:hAnsi="Arial"/>
          <w:color w:val="333333"/>
          <w:sz w:val="22"/>
          <w:szCs w:val="22"/>
        </w:rPr>
        <w:t xml:space="preserve">What separates companies that capture that opportunity from those that watch it pass is the quality of their strategic intelligence. Generic market reports tell you the ocean is rising. What manufacturers actually need is a detailed map of the currents — which powder chemistries, which production technologies, which supplier relationships, and which regional supply chains will deliver competitive advantage over the next five to seven years.</w:t>
      </w:r>
    </w:p>
    <w:p>
      <w:pPr>
        <w:spacing w:after="120" w:before="80" w:line="312"/>
        <w:jc w:val="both"/>
      </w:pPr>
      <w:r>
        <w:rPr>
          <w:rFonts w:ascii="Arial" w:cs="Arial" w:eastAsia="Arial" w:hAnsi="Arial"/>
          <w:b/>
          <w:bCs/>
          <w:i w:val="false"/>
          <w:iCs w:val="false"/>
          <w:color w:val="333333"/>
          <w:sz w:val="22"/>
          <w:szCs w:val="22"/>
        </w:rPr>
        <w:t xml:space="preserve">That is the work Claritas Intelligence did for this client, and it is the kind of analysis that turns market growth into business growth.</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none" w:sz="0"/>
              <w:bottom w:val="none" w:sz="0"/>
              <w:right w:val="none" w:sz="0"/>
            </w:tcBorders>
            <w:shd w:fill="EBF2FA" w:val="clear"/>
            <w:tcMar>
              <w:top w:type="dxa" w:w="200"/>
              <w:left w:type="dxa" w:w="240"/>
              <w:bottom w:type="dxa" w:w="200"/>
              <w:right w:type="dxa" w:w="240"/>
            </w:tcMar>
          </w:tcPr>
          <w:p>
            <w:pPr>
              <w:spacing w:after="120" w:before="80"/>
            </w:pPr>
            <w:r>
              <w:rPr>
                <w:rFonts w:ascii="Georgia" w:cs="Georgia" w:eastAsia="Georgia" w:hAnsi="Georgia"/>
                <w:color w:val="2E75B6"/>
                <w:sz w:val="56"/>
                <w:szCs w:val="56"/>
              </w:rPr>
              <w:t xml:space="preserve">“</w:t>
            </w:r>
          </w:p>
          <w:p>
            <w:pPr>
              <w:spacing w:after="120" w:before="0" w:line="336"/>
            </w:pPr>
            <w:r>
              <w:rPr>
                <w:rFonts w:ascii="Georgia" w:cs="Georgia" w:eastAsia="Georgia" w:hAnsi="Georgia"/>
                <w:i/>
                <w:iCs/>
                <w:color w:val="1B2A4A"/>
                <w:sz w:val="22"/>
                <w:szCs w:val="22"/>
              </w:rPr>
              <w:t xml:space="preserve">We had been circling the additive manufacturing decision for years — plenty of enthusiasm from engineering, plenty of skepticism from finance. What Claritas gave us was neither advocacy nor caution. It was a clear-eyed, numbers-backed framework that let us commit capital with confidence. The supplier intelligence alone saved us from two partnerships that looked attractive on price but would have created serious quality and IP exposure.</w:t>
            </w:r>
          </w:p>
          <w:p>
            <w:pPr>
              <w:spacing w:after="0" w:before="80"/>
              <w:jc w:val="right"/>
            </w:pPr>
            <w:r>
              <w:rPr>
                <w:rFonts w:ascii="Arial" w:cs="Arial" w:eastAsia="Arial" w:hAnsi="Arial"/>
                <w:b/>
                <w:bCs/>
                <w:color w:val="2E75B6"/>
                <w:sz w:val="20"/>
                <w:szCs w:val="20"/>
              </w:rPr>
              <w:t xml:space="preserve">— Chief Procurement Officer, Global Automotive Tier-1 Supplier</w:t>
            </w:r>
          </w:p>
        </w:tc>
      </w:tr>
    </w:tbl>
    <w:p>
      <w:pPr>
        <w:spacing w:after="0" w:before="300"/>
      </w:pPr>
    </w:p>
    <w:p>
      <w:pPr>
        <w:pStyle w:val="Heading2"/>
        <w:spacing w:after="160" w:before="300"/>
      </w:pPr>
      <w:r>
        <w:rPr>
          <w:rFonts w:ascii="Georgia" w:cs="Georgia" w:eastAsia="Georgia" w:hAnsi="Georgia"/>
          <w:b/>
          <w:bCs/>
          <w:color w:val="2E75B6"/>
          <w:sz w:val="28"/>
          <w:szCs w:val="28"/>
        </w:rPr>
        <w:t xml:space="preserve">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0"/>
                <w:szCs w:val="20"/>
              </w:rPr>
              <w:t xml:space="preserve">Client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 European Tier-1 Automotive Components Manufacturer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0"/>
                <w:szCs w:val="20"/>
              </w:rPr>
              <w:t xml:space="preserve">Industry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Automotive &amp; Advanced Manufacturing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0"/>
                <w:szCs w:val="20"/>
              </w:rPr>
              <w:t xml:space="preserve">Published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Paras Kulkarni, Senior Research Analyst</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none" w:sz="0"/>
              <w:right w:val="none" w:sz="0"/>
            </w:tcBorders>
            <w:shd w:fill="F0F7FA" w:val="clear"/>
            <w:tcMar>
              <w:top w:type="dxa" w:w="200"/>
              <w:left w:type="dxa" w:w="240"/>
              <w:bottom w:type="dxa" w:w="200"/>
              <w:right w:type="dxa" w:w="240"/>
            </w:tcMar>
          </w:tcPr>
          <w:p>
            <w:pPr>
              <w:spacing w:after="120"/>
              <w:jc w:val="center"/>
            </w:pPr>
            <w:r>
              <w:rPr>
                <w:rFonts w:ascii="Georgia" w:cs="Georgia" w:eastAsia="Georgia" w:hAnsi="Georgia"/>
                <w:b/>
                <w:bCs/>
                <w:color w:val="1B2A4A"/>
                <w:sz w:val="28"/>
                <w:szCs w:val="28"/>
              </w:rPr>
              <w:t xml:space="preserve">Need a strategic edge in the metal powder market?</w:t>
            </w:r>
          </w:p>
          <w:p>
            <w:pPr>
              <w:spacing w:after="160"/>
              <w:jc w:val="center"/>
            </w:pPr>
            <w:r>
              <w:rPr>
                <w:rFonts w:ascii="Arial" w:cs="Arial" w:eastAsia="Arial" w:hAnsi="Arial"/>
                <w:color w:val="555555"/>
                <w:sz w:val="20"/>
                <w:szCs w:val="20"/>
              </w:rPr>
              <w:t xml:space="preserve">Whether you’re evaluating additive manufacturing investments, restructuring your powder supply chain, or assessing new regional markets — Claritas Intelligence delivers the granular, decision-ready intelligence that moves boardrooms.</w:t>
            </w:r>
          </w:p>
          <w:p>
            <w:pPr>
              <w:jc w:val="center"/>
            </w:pPr>
            <w:r>
              <w:rPr>
                <w:rFonts w:ascii="Arial" w:cs="Arial" w:eastAsia="Arial" w:hAnsi="Arial"/>
                <w:b/>
                <w:bCs/>
                <w:color w:val="2E75B6"/>
                <w:sz w:val="22"/>
                <w:szCs w:val="22"/>
              </w:rPr>
              <w:t xml:space="preserve">Contact Our Team →  claritasintelligence.com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12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Georgia" w:cs="Georgia" w:eastAsia="Georgia" w:hAnsi="Georgia"/>
        <w:b/>
        <w:bCs/>
        <w:color w:val="1B2A4A"/>
        <w:sz w:val="16"/>
        <w:szCs w:val="16"/>
      </w:rPr>
      <w:t xml:space="preserve">Claritas Intelligence</w:t>
    </w:r>
    <w:r>
      <w:rPr>
        <w:rFonts w:ascii="Arial" w:cs="Arial" w:eastAsia="Arial" w:hAnsi="Arial"/>
        <w:color w:val="555555"/>
        <w:sz w:val="16"/>
        <w:szCs w:val="16"/>
      </w:rPr>
      <w:t xml:space="preserve">  |  Metal Powder Market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2026-03-28T10:56:47.730Z</dcterms:created>
  <dcterms:modified xsi:type="dcterms:W3CDTF">2026-03-28T10:56:47.730Z</dcterms:modified>
</cp:coreProperties>
</file>

<file path=docProps/custom.xml><?xml version="1.0" encoding="utf-8"?>
<Properties xmlns="http://schemas.openxmlformats.org/officeDocument/2006/custom-properties" xmlns:vt="http://schemas.openxmlformats.org/officeDocument/2006/docPropsVTypes"/>
</file>