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372"/>
        <w:ind w:right="50" w:firstLine="442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</w:rPr>
        <w:t xml:space="preserve"> </w:t>
      </w:r>
    </w:p>
    <w:p>
      <w:pPr>
        <w:spacing w:before="120" w:after="43"/>
        <w:ind w:right="1131" w:firstLine="440"/>
        <w:jc w:val="right"/>
        <w:rPr>
          <w:rFonts w:ascii="宋体" w:hAnsi="宋体" w:eastAsia="宋体" w:cs="宋体"/>
        </w:rPr>
      </w:pPr>
    </w:p>
    <w:p>
      <w:pPr>
        <w:spacing w:before="120"/>
        <w:ind w:left="25" w:firstLine="1044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b/>
          <w:sz w:val="52"/>
        </w:rPr>
        <w:t xml:space="preserve">  </w:t>
      </w:r>
    </w:p>
    <w:p>
      <w:pPr>
        <w:spacing w:before="120" w:line="274" w:lineRule="auto"/>
        <w:ind w:left="-46" w:leftChars="-21" w:right="61" w:firstLine="0" w:firstLineChars="0"/>
        <w:jc w:val="center"/>
        <w:rPr>
          <w:rFonts w:ascii="宋体" w:hAnsi="宋体" w:eastAsia="宋体" w:cs="宋体"/>
          <w:sz w:val="20"/>
        </w:rPr>
      </w:pPr>
      <w:r>
        <w:rPr>
          <w:rFonts w:hint="eastAsia" w:ascii="宋体" w:hAnsi="宋体" w:eastAsia="宋体" w:cs="宋体"/>
          <w:sz w:val="52"/>
        </w:rPr>
        <w:t>A</w:t>
      </w:r>
      <w:r>
        <w:rPr>
          <w:rFonts w:ascii="宋体" w:hAnsi="宋体" w:eastAsia="宋体" w:cs="宋体"/>
          <w:sz w:val="52"/>
        </w:rPr>
        <w:t>12</w:t>
      </w:r>
      <w:r>
        <w:rPr>
          <w:rFonts w:hint="eastAsia" w:ascii="宋体" w:hAnsi="宋体" w:eastAsia="宋体" w:cs="宋体"/>
          <w:sz w:val="52"/>
        </w:rPr>
        <w:t xml:space="preserve">/SWB 功能规范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377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251"/>
        <w:ind w:right="15" w:firstLine="72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 xml:space="preserve"> </w:t>
      </w:r>
    </w:p>
    <w:p>
      <w:pPr>
        <w:spacing w:before="120" w:after="201"/>
        <w:ind w:right="105" w:firstLine="3240" w:firstLineChars="90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>编制：李鑫鑫</w:t>
      </w:r>
    </w:p>
    <w:p>
      <w:pPr>
        <w:spacing w:before="120" w:after="253"/>
        <w:ind w:right="15" w:firstLine="72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 xml:space="preserve"> </w:t>
      </w:r>
    </w:p>
    <w:p>
      <w:pPr>
        <w:spacing w:before="120" w:after="201"/>
        <w:ind w:left="10" w:right="105" w:firstLine="72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 xml:space="preserve">  审核：________________ </w:t>
      </w:r>
    </w:p>
    <w:p>
      <w:pPr>
        <w:spacing w:before="120" w:after="253"/>
        <w:ind w:right="15" w:firstLine="72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 xml:space="preserve"> </w:t>
      </w:r>
    </w:p>
    <w:p>
      <w:pPr>
        <w:spacing w:before="120"/>
        <w:ind w:left="10" w:right="105" w:firstLine="720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36"/>
        </w:rPr>
        <w:t xml:space="preserve">  批准：________________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48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 w:after="145"/>
        <w:ind w:firstLine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 w:val="21"/>
        </w:rPr>
        <w:t xml:space="preserve"> </w:t>
      </w: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p>
      <w:pPr>
        <w:spacing w:before="120"/>
        <w:ind w:firstLine="440"/>
        <w:rPr>
          <w:rFonts w:ascii="宋体" w:hAnsi="宋体" w:eastAsia="宋体" w:cs="宋体"/>
        </w:rPr>
      </w:pPr>
    </w:p>
    <w:tbl>
      <w:tblPr>
        <w:tblStyle w:val="35"/>
        <w:tblW w:w="9125" w:type="dxa"/>
        <w:jc w:val="center"/>
        <w:tblInd w:w="0" w:type="dxa"/>
        <w:tblLayout w:type="fixed"/>
        <w:tblCellMar>
          <w:top w:w="49" w:type="dxa"/>
          <w:left w:w="0" w:type="dxa"/>
          <w:bottom w:w="0" w:type="dxa"/>
          <w:right w:w="0" w:type="dxa"/>
        </w:tblCellMar>
      </w:tblPr>
      <w:tblGrid>
        <w:gridCol w:w="1008"/>
        <w:gridCol w:w="2041"/>
        <w:gridCol w:w="495"/>
        <w:gridCol w:w="2158"/>
        <w:gridCol w:w="3423"/>
      </w:tblGrid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342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04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6076" w:type="dxa"/>
            <w:gridSpan w:val="3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修          订        页 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175" w:hRule="atLeast"/>
          <w:jc w:val="center"/>
        </w:trPr>
        <w:tc>
          <w:tcPr>
            <w:tcW w:w="9125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-84" w:firstLine="199" w:firstLineChars="95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修订记录：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172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</w:tcPr>
          <w:p>
            <w:pPr>
              <w:spacing w:before="120"/>
              <w:ind w:left="232"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版本号 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BFBFBF"/>
          </w:tcPr>
          <w:p>
            <w:pPr>
              <w:spacing w:before="120"/>
              <w:ind w:left="974"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修改日期 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BFBFBF"/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</w:tcPr>
          <w:p>
            <w:pPr>
              <w:spacing w:before="120"/>
              <w:ind w:left="377"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提出部门/更新人 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FBFBF"/>
          </w:tcPr>
          <w:p>
            <w:pPr>
              <w:spacing w:before="120"/>
              <w:ind w:right="1" w:firstLine="42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修改（新增）描述 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206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1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V1.0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2024/4/8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SWE/李鑫鑫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2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初版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342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1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V2.0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2024/5/</w:t>
            </w:r>
            <w:r>
              <w:rPr>
                <w:rFonts w:ascii="宋体" w:hAnsi="宋体" w:eastAsia="宋体" w:cs="宋体"/>
                <w:sz w:val="21"/>
                <w:szCs w:val="21"/>
              </w:rPr>
              <w:t>8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SWE/李鑫鑫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按照模板更新内容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508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V</w:t>
            </w:r>
            <w:r>
              <w:rPr>
                <w:rFonts w:ascii="宋体" w:hAnsi="宋体" w:eastAsia="宋体" w:cs="宋体"/>
                <w:sz w:val="21"/>
                <w:szCs w:val="21"/>
              </w:rPr>
              <w:t>3.0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2024/5/14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SWE/李鑫鑫 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1"/>
              </w:numPr>
              <w:spacing w:before="120"/>
              <w:ind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“仪表卡片切换”改为“右自定义”</w:t>
            </w:r>
          </w:p>
          <w:p>
            <w:pPr>
              <w:spacing w:before="120"/>
              <w:ind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新增按键互斥逻辑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173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2024/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27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SWE/李鑫鑫 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2"/>
              </w:num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19服务删除扩展信息；22服务调整子功能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</w:p>
        </w:tc>
      </w:tr>
      <w:tr>
        <w:tblPrEx>
          <w:tblLayout w:type="fixed"/>
          <w:tblCellMar>
            <w:top w:w="49" w:type="dxa"/>
            <w:left w:w="0" w:type="dxa"/>
            <w:bottom w:w="0" w:type="dxa"/>
            <w:right w:w="0" w:type="dxa"/>
          </w:tblCellMar>
        </w:tblPrEx>
        <w:trPr>
          <w:trHeight w:val="173" w:hRule="atLeast"/>
          <w:jc w:val="center"/>
        </w:trPr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V1.2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</w:p>
        </w:tc>
        <w:tc>
          <w:tcPr>
            <w:tcW w:w="20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2024/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/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9</w:t>
            </w:r>
          </w:p>
        </w:tc>
        <w:tc>
          <w:tcPr>
            <w:tcW w:w="495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42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21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SWE/李鑫鑫</w:t>
            </w:r>
          </w:p>
        </w:tc>
        <w:tc>
          <w:tcPr>
            <w:tcW w:w="342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3"/>
              </w:num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优化按键互斥逻辑；</w:t>
            </w:r>
          </w:p>
          <w:p>
            <w:pPr>
              <w:numPr>
                <w:ilvl w:val="0"/>
                <w:numId w:val="3"/>
              </w:numPr>
              <w:spacing w:before="120"/>
              <w:ind w:left="0" w:leftChars="0" w:firstLine="0" w:firstLineChars="0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DID读取不一致问题修复</w:t>
            </w:r>
            <w:bookmarkStart w:id="38" w:name="_GoBack"/>
            <w:bookmarkEnd w:id="38"/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</w:p>
        </w:tc>
      </w:tr>
    </w:tbl>
    <w:p>
      <w:pPr>
        <w:pageBreakBefore/>
        <w:spacing w:before="120" w:after="21"/>
        <w:ind w:firstLine="0" w:firstLineChars="0"/>
        <w:jc w:val="both"/>
        <w:rPr>
          <w:rFonts w:ascii="宋体" w:hAnsi="宋体" w:eastAsia="宋体" w:cs="宋体"/>
          <w:sz w:val="21"/>
        </w:rPr>
      </w:pPr>
    </w:p>
    <w:p>
      <w:pPr>
        <w:pStyle w:val="19"/>
        <w:tabs>
          <w:tab w:val="right" w:leader="dot" w:pos="9407"/>
        </w:tabs>
        <w:spacing w:before="120"/>
        <w:ind w:firstLine="0"/>
        <w:rPr>
          <w:rFonts w:ascii="宋体" w:hAnsi="宋体" w:eastAsia="宋体" w:cs="宋体"/>
          <w:sz w:val="22"/>
        </w:rPr>
      </w:pPr>
    </w:p>
    <w:p>
      <w:pPr>
        <w:ind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_Toc8423 </w:instrText>
      </w:r>
      <w:r>
        <w:fldChar w:fldCharType="separate"/>
      </w:r>
      <w:r>
        <w:rPr>
          <w:rFonts w:ascii="微软雅黑" w:hAnsi="微软雅黑" w:eastAsia="微软雅黑" w:cs="微软雅黑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Cs w:val="32"/>
        </w:rPr>
        <w:t>参考</w:t>
      </w:r>
      <w:r>
        <w:tab/>
      </w:r>
      <w:r>
        <w:fldChar w:fldCharType="begin"/>
      </w:r>
      <w:r>
        <w:instrText xml:space="preserve"> PAGEREF _Toc8423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417"/>
        </w:tabs>
      </w:pPr>
      <w:r>
        <w:fldChar w:fldCharType="begin"/>
      </w:r>
      <w:r>
        <w:instrText xml:space="preserve"> HYPERLINK \l _Toc1877 </w:instrText>
      </w:r>
      <w: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>1.1 术语</w:t>
      </w:r>
      <w:r>
        <w:tab/>
      </w:r>
      <w:r>
        <w:fldChar w:fldCharType="begin"/>
      </w:r>
      <w:r>
        <w:instrText xml:space="preserve"> PAGEREF _Toc1877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_Toc30680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32"/>
        </w:rPr>
        <w:t xml:space="preserve">2. </w:t>
      </w:r>
      <w:r>
        <w:rPr>
          <w:rFonts w:hint="eastAsia" w:ascii="微软雅黑" w:hAnsi="微软雅黑" w:eastAsia="微软雅黑" w:cs="微软雅黑"/>
          <w:bCs/>
          <w:szCs w:val="32"/>
        </w:rPr>
        <w:t>产品概述</w:t>
      </w:r>
      <w:r>
        <w:tab/>
      </w:r>
      <w:r>
        <w:fldChar w:fldCharType="begin"/>
      </w:r>
      <w:r>
        <w:instrText xml:space="preserve"> PAGEREF _Toc30680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_Toc12639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32"/>
        </w:rPr>
        <w:t xml:space="preserve">3. </w:t>
      </w:r>
      <w:r>
        <w:rPr>
          <w:rFonts w:hint="eastAsia" w:ascii="微软雅黑" w:hAnsi="微软雅黑" w:eastAsia="微软雅黑" w:cs="微软雅黑"/>
          <w:bCs/>
          <w:szCs w:val="32"/>
        </w:rPr>
        <w:t>系统框图</w:t>
      </w:r>
      <w:r>
        <w:tab/>
      </w:r>
      <w:r>
        <w:fldChar w:fldCharType="begin"/>
      </w:r>
      <w:r>
        <w:instrText xml:space="preserve"> PAGEREF _Toc12639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_Toc16459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32"/>
        </w:rPr>
        <w:t xml:space="preserve">4. </w:t>
      </w:r>
      <w:r>
        <w:rPr>
          <w:rFonts w:hint="eastAsia" w:ascii="微软雅黑" w:hAnsi="微软雅黑" w:eastAsia="微软雅黑" w:cs="微软雅黑"/>
          <w:bCs/>
          <w:szCs w:val="32"/>
        </w:rPr>
        <w:t>系统需求</w:t>
      </w:r>
      <w:r>
        <w:tab/>
      </w:r>
      <w:r>
        <w:fldChar w:fldCharType="begin"/>
      </w:r>
      <w:r>
        <w:instrText xml:space="preserve"> PAGEREF _Toc16459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417"/>
        </w:tabs>
      </w:pPr>
      <w:r>
        <w:fldChar w:fldCharType="begin"/>
      </w:r>
      <w:r>
        <w:instrText xml:space="preserve"> HYPERLINK \l _Toc2801 </w:instrText>
      </w:r>
      <w:r>
        <w:fldChar w:fldCharType="separate"/>
      </w:r>
      <w:r>
        <w:rPr>
          <w:rFonts w:hint="eastAsia" w:ascii="微软雅黑" w:hAnsi="微软雅黑" w:eastAsia="微软雅黑" w:cs="微软雅黑"/>
          <w:bCs/>
          <w:szCs w:val="28"/>
        </w:rPr>
        <w:t>4.1</w:t>
      </w:r>
      <w:r>
        <w:rPr>
          <w:rFonts w:hint="eastAsia" w:ascii="微软雅黑" w:hAnsi="微软雅黑" w:eastAsia="微软雅黑" w:cs="微软雅黑"/>
          <w:szCs w:val="28"/>
        </w:rPr>
        <w:t xml:space="preserve"> 系统性能</w:t>
      </w:r>
      <w:r>
        <w:tab/>
      </w:r>
      <w:r>
        <w:fldChar w:fldCharType="begin"/>
      </w:r>
      <w:r>
        <w:instrText xml:space="preserve"> PAGEREF _Toc2801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9417"/>
        </w:tabs>
      </w:pPr>
      <w:r>
        <w:fldChar w:fldCharType="begin"/>
      </w:r>
      <w:r>
        <w:instrText xml:space="preserve"> HYPERLINK \l _Toc1775 </w:instrText>
      </w:r>
      <w:r>
        <w:fldChar w:fldCharType="separate"/>
      </w:r>
      <w:r>
        <w:rPr>
          <w:rFonts w:hint="eastAsia" w:ascii="微软雅黑" w:hAnsi="微软雅黑" w:eastAsia="微软雅黑" w:cs="微软雅黑"/>
        </w:rPr>
        <w:t>4.2 功能要求</w:t>
      </w:r>
      <w:r>
        <w:tab/>
      </w:r>
      <w:r>
        <w:fldChar w:fldCharType="begin"/>
      </w:r>
      <w:r>
        <w:instrText xml:space="preserve"> PAGEREF _Toc1775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right" w:leader="dot" w:pos="9417"/>
        </w:tabs>
      </w:pPr>
      <w:r>
        <w:fldChar w:fldCharType="begin"/>
      </w:r>
      <w:r>
        <w:instrText xml:space="preserve"> HYPERLINK \l _Toc30868 </w:instrText>
      </w:r>
      <w:r>
        <w:fldChar w:fldCharType="separate"/>
      </w:r>
      <w:r>
        <w:rPr>
          <w:rFonts w:hint="eastAsia" w:ascii="微软雅黑" w:hAnsi="微软雅黑" w:eastAsia="微软雅黑" w:cs="微软雅黑"/>
          <w:bCs/>
        </w:rPr>
        <w:t>4.2.1 通信矩阵</w:t>
      </w:r>
      <w:r>
        <w:tab/>
      </w:r>
      <w:r>
        <w:fldChar w:fldCharType="begin"/>
      </w:r>
      <w:r>
        <w:instrText xml:space="preserve"> PAGEREF _Toc30868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_Toc18034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28"/>
        </w:rPr>
        <w:t xml:space="preserve">5. </w:t>
      </w:r>
      <w:r>
        <w:rPr>
          <w:rFonts w:hint="eastAsia" w:ascii="微软雅黑" w:hAnsi="微软雅黑" w:eastAsia="微软雅黑" w:cs="微软雅黑"/>
          <w:bCs/>
          <w:szCs w:val="28"/>
        </w:rPr>
        <w:t>接口及性能需求</w:t>
      </w:r>
      <w:r>
        <w:tab/>
      </w:r>
      <w:r>
        <w:fldChar w:fldCharType="begin"/>
      </w:r>
      <w:r>
        <w:instrText xml:space="preserve"> PAGEREF _Toc18034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_Toc14692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28"/>
        </w:rPr>
        <w:t xml:space="preserve">6. </w:t>
      </w:r>
      <w:r>
        <w:rPr>
          <w:rFonts w:hint="eastAsia" w:ascii="微软雅黑" w:hAnsi="微软雅黑" w:eastAsia="微软雅黑" w:cs="微软雅黑"/>
          <w:bCs/>
          <w:szCs w:val="28"/>
        </w:rPr>
        <w:t>交互信号</w:t>
      </w:r>
      <w:r>
        <w:tab/>
      </w:r>
      <w:r>
        <w:fldChar w:fldCharType="begin"/>
      </w:r>
      <w:r>
        <w:instrText xml:space="preserve"> PAGEREF _Toc14692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9"/>
        <w:tabs>
          <w:tab w:val="right" w:leader="dot" w:pos="9417"/>
        </w:tabs>
      </w:pPr>
      <w:r>
        <w:fldChar w:fldCharType="begin"/>
      </w:r>
      <w:r>
        <w:instrText xml:space="preserve"> HYPERLINK \l _Toc15391 </w:instrText>
      </w:r>
      <w:r>
        <w:fldChar w:fldCharType="separate"/>
      </w:r>
      <w:r>
        <w:rPr>
          <w:rFonts w:hint="default" w:ascii="微软雅黑" w:hAnsi="微软雅黑" w:eastAsia="微软雅黑" w:cs="微软雅黑"/>
          <w:bCs/>
          <w:szCs w:val="28"/>
        </w:rPr>
        <w:t xml:space="preserve">7. </w:t>
      </w:r>
      <w:r>
        <w:rPr>
          <w:rFonts w:hint="eastAsia" w:ascii="微软雅黑" w:hAnsi="微软雅黑" w:eastAsia="微软雅黑" w:cs="微软雅黑"/>
          <w:bCs/>
          <w:szCs w:val="28"/>
        </w:rPr>
        <w:t>诊断通用要求：</w:t>
      </w:r>
      <w:r>
        <w:tab/>
      </w:r>
      <w:r>
        <w:fldChar w:fldCharType="begin"/>
      </w:r>
      <w:r>
        <w:instrText xml:space="preserve"> PAGEREF _Toc15391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ind w:firstLine="440"/>
      </w:pPr>
      <w:r>
        <w:fldChar w:fldCharType="end"/>
      </w:r>
    </w:p>
    <w:p>
      <w:pPr>
        <w:pStyle w:val="19"/>
        <w:tabs>
          <w:tab w:val="right" w:leader="dot" w:pos="9407"/>
        </w:tabs>
        <w:spacing w:before="120"/>
        <w:ind w:firstLine="0"/>
        <w:rPr>
          <w:rFonts w:ascii="宋体" w:hAnsi="宋体" w:eastAsia="宋体" w:cs="宋体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  <w:bookmarkStart w:id="0" w:name="_Toc23557"/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spacing w:before="120" w:after="120"/>
        <w:ind w:right="4430" w:firstLine="0" w:firstLineChars="0"/>
        <w:rPr>
          <w:rFonts w:ascii="微软雅黑" w:hAnsi="微软雅黑" w:eastAsia="微软雅黑" w:cs="微软雅黑"/>
          <w:b/>
          <w:sz w:val="32"/>
          <w:szCs w:val="32"/>
        </w:rPr>
      </w:pPr>
    </w:p>
    <w:p>
      <w:pPr>
        <w:pStyle w:val="2"/>
        <w:numPr>
          <w:ilvl w:val="0"/>
          <w:numId w:val="4"/>
        </w:numPr>
        <w:spacing w:before="120" w:after="120"/>
        <w:ind w:left="-15" w:right="4430"/>
        <w:rPr>
          <w:rFonts w:ascii="微软雅黑" w:hAnsi="微软雅黑" w:eastAsia="微软雅黑" w:cs="微软雅黑"/>
          <w:b/>
          <w:sz w:val="32"/>
          <w:szCs w:val="32"/>
        </w:rPr>
      </w:pPr>
      <w:bookmarkStart w:id="1" w:name="_Toc8423"/>
      <w:bookmarkStart w:id="2" w:name="_Toc14572"/>
      <w:r>
        <w:rPr>
          <w:rFonts w:hint="eastAsia" w:ascii="微软雅黑" w:hAnsi="微软雅黑" w:eastAsia="微软雅黑" w:cs="微软雅黑"/>
          <w:b/>
          <w:sz w:val="32"/>
          <w:szCs w:val="32"/>
        </w:rPr>
        <w:t>参考</w:t>
      </w:r>
      <w:bookmarkEnd w:id="0"/>
      <w:bookmarkEnd w:id="1"/>
      <w:bookmarkEnd w:id="2"/>
    </w:p>
    <w:p>
      <w:pPr>
        <w:pStyle w:val="3"/>
        <w:spacing w:before="120" w:after="120"/>
        <w:ind w:left="-15" w:right="4430"/>
        <w:rPr>
          <w:rFonts w:ascii="微软雅黑" w:hAnsi="微软雅黑" w:eastAsia="微软雅黑" w:cs="微软雅黑"/>
          <w:b/>
          <w:szCs w:val="28"/>
        </w:rPr>
      </w:pPr>
      <w:bookmarkStart w:id="3" w:name="_Toc1877"/>
      <w:bookmarkStart w:id="4" w:name="_Toc13926"/>
      <w:bookmarkStart w:id="5" w:name="_Toc20126"/>
      <w:r>
        <w:rPr>
          <w:rFonts w:hint="eastAsia" w:ascii="微软雅黑" w:hAnsi="微软雅黑" w:eastAsia="微软雅黑" w:cs="微软雅黑"/>
          <w:b/>
          <w:szCs w:val="28"/>
        </w:rPr>
        <w:t>1.1 术语</w:t>
      </w:r>
      <w:bookmarkEnd w:id="3"/>
      <w:bookmarkEnd w:id="4"/>
      <w:bookmarkEnd w:id="5"/>
    </w:p>
    <w:p>
      <w:pPr>
        <w:ind w:firstLine="0" w:firstLineChars="0"/>
        <w:jc w:val="center"/>
        <w:rPr>
          <w:rFonts w:ascii="宋体" w:hAnsi="宋体" w:eastAsia="宋体" w:cs="宋体"/>
        </w:rPr>
      </w:pPr>
      <w:bookmarkStart w:id="6" w:name="_Toc3348"/>
      <w:r>
        <w:rPr>
          <w:rFonts w:hint="eastAsia" w:ascii="宋体" w:hAnsi="宋体" w:eastAsia="宋体" w:cs="宋体"/>
        </w:rPr>
        <w:t>术语缩写表</w:t>
      </w:r>
      <w:bookmarkEnd w:id="6"/>
    </w:p>
    <w:tbl>
      <w:tblPr>
        <w:tblStyle w:val="35"/>
        <w:tblW w:w="9300" w:type="dxa"/>
        <w:jc w:val="center"/>
        <w:tblInd w:w="0" w:type="dxa"/>
        <w:tblLayout w:type="fixed"/>
        <w:tblCellMar>
          <w:top w:w="47" w:type="dxa"/>
          <w:left w:w="108" w:type="dxa"/>
          <w:bottom w:w="0" w:type="dxa"/>
          <w:right w:w="67" w:type="dxa"/>
        </w:tblCellMar>
      </w:tblPr>
      <w:tblGrid>
        <w:gridCol w:w="1357"/>
        <w:gridCol w:w="4020"/>
        <w:gridCol w:w="1961"/>
        <w:gridCol w:w="1962"/>
      </w:tblGrid>
      <w:tr>
        <w:tblPrEx>
          <w:tblLayout w:type="fixed"/>
          <w:tblCellMar>
            <w:top w:w="47" w:type="dxa"/>
            <w:left w:w="108" w:type="dxa"/>
            <w:bottom w:w="0" w:type="dxa"/>
            <w:right w:w="67" w:type="dxa"/>
          </w:tblCellMar>
        </w:tblPrEx>
        <w:trPr>
          <w:trHeight w:val="453" w:hRule="atLeast"/>
          <w:jc w:val="center"/>
        </w:trPr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术语与缩写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8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全称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41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中文注释</w:t>
            </w:r>
          </w:p>
        </w:tc>
        <w:tc>
          <w:tcPr>
            <w:tcW w:w="1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8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备注</w:t>
            </w:r>
          </w:p>
        </w:tc>
      </w:tr>
      <w:tr>
        <w:tblPrEx>
          <w:tblLayout w:type="fixed"/>
          <w:tblCellMar>
            <w:top w:w="47" w:type="dxa"/>
            <w:left w:w="108" w:type="dxa"/>
            <w:bottom w:w="0" w:type="dxa"/>
            <w:right w:w="67" w:type="dxa"/>
          </w:tblCellMar>
        </w:tblPrEx>
        <w:trPr>
          <w:trHeight w:val="712" w:hRule="atLeast"/>
          <w:jc w:val="center"/>
        </w:trPr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9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SWB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Steering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Wheel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Button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方向盘按键总成</w:t>
            </w:r>
          </w:p>
        </w:tc>
        <w:tc>
          <w:tcPr>
            <w:tcW w:w="1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10" w:firstLine="42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47" w:type="dxa"/>
            <w:left w:w="108" w:type="dxa"/>
            <w:bottom w:w="0" w:type="dxa"/>
            <w:right w:w="67" w:type="dxa"/>
          </w:tblCellMar>
        </w:tblPrEx>
        <w:trPr>
          <w:trHeight w:val="453" w:hRule="atLeast"/>
          <w:jc w:val="center"/>
        </w:trPr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9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CAN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Controller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Area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Network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控制器局域网</w:t>
            </w:r>
          </w:p>
        </w:tc>
        <w:tc>
          <w:tcPr>
            <w:tcW w:w="1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10" w:firstLine="42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47" w:type="dxa"/>
            <w:left w:w="108" w:type="dxa"/>
            <w:bottom w:w="0" w:type="dxa"/>
            <w:right w:w="67" w:type="dxa"/>
          </w:tblCellMar>
        </w:tblPrEx>
        <w:trPr>
          <w:trHeight w:val="453" w:hRule="atLeast"/>
          <w:jc w:val="center"/>
        </w:trPr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9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LED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Light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Emitting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Diode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发光二极管</w:t>
            </w:r>
          </w:p>
        </w:tc>
        <w:tc>
          <w:tcPr>
            <w:tcW w:w="1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10" w:firstLine="42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Layout w:type="fixed"/>
          <w:tblCellMar>
            <w:top w:w="47" w:type="dxa"/>
            <w:left w:w="108" w:type="dxa"/>
            <w:bottom w:w="0" w:type="dxa"/>
            <w:right w:w="67" w:type="dxa"/>
          </w:tblCellMar>
        </w:tblPrEx>
        <w:trPr>
          <w:trHeight w:val="722" w:hRule="atLeast"/>
          <w:jc w:val="center"/>
        </w:trPr>
        <w:tc>
          <w:tcPr>
            <w:tcW w:w="13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right="39"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HPC</w:t>
            </w:r>
          </w:p>
        </w:tc>
        <w:tc>
          <w:tcPr>
            <w:tcW w:w="4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Central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Integrated Domain Controller</w:t>
            </w:r>
          </w:p>
        </w:tc>
        <w:tc>
          <w:tcPr>
            <w:tcW w:w="19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firstLine="0" w:firstLineChars="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中央集成域控制器</w:t>
            </w:r>
          </w:p>
        </w:tc>
        <w:tc>
          <w:tcPr>
            <w:tcW w:w="1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/>
              <w:ind w:left="10" w:firstLine="420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</w:p>
        </w:tc>
      </w:tr>
    </w:tbl>
    <w:p>
      <w:pPr>
        <w:spacing w:before="120" w:after="120"/>
        <w:ind w:firstLine="0" w:firstLineChars="0"/>
        <w:rPr>
          <w:rFonts w:ascii="微软雅黑" w:hAnsi="微软雅黑" w:eastAsia="微软雅黑" w:cs="微软雅黑"/>
          <w:b/>
          <w:bCs/>
          <w:sz w:val="32"/>
          <w:szCs w:val="32"/>
        </w:rPr>
      </w:pPr>
      <w:bookmarkStart w:id="7" w:name="_Toc20420"/>
    </w:p>
    <w:p>
      <w:pPr>
        <w:pStyle w:val="2"/>
        <w:numPr>
          <w:ilvl w:val="0"/>
          <w:numId w:val="5"/>
        </w:numPr>
        <w:spacing w:before="120" w:after="120"/>
      </w:pPr>
      <w:bookmarkStart w:id="8" w:name="_Toc30680"/>
      <w:bookmarkStart w:id="9" w:name="_Toc13031"/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产品概述</w:t>
      </w:r>
      <w:bookmarkEnd w:id="7"/>
      <w:bookmarkEnd w:id="8"/>
      <w:bookmarkEnd w:id="9"/>
      <w:r>
        <w:rPr>
          <w:rFonts w:hint="eastAsia"/>
        </w:rPr>
        <w:t xml:space="preserve"> </w:t>
      </w:r>
    </w:p>
    <w:p>
      <w:pPr>
        <w:numPr>
          <w:ilvl w:val="1"/>
          <w:numId w:val="5"/>
        </w:numPr>
        <w:ind w:firstLine="440"/>
        <w:rPr>
          <w:rFonts w:ascii="微软雅黑" w:hAnsi="微软雅黑" w:eastAsia="微软雅黑" w:cs="微软雅黑"/>
          <w:b/>
        </w:rPr>
      </w:pPr>
      <w:bookmarkStart w:id="10" w:name="_Toc15947"/>
      <w:r>
        <w:rPr>
          <w:rFonts w:hint="eastAsia" w:ascii="微软雅黑" w:hAnsi="微软雅黑" w:eastAsia="微软雅黑" w:cs="微软雅黑"/>
          <w:b/>
        </w:rPr>
        <w:t>目的</w:t>
      </w:r>
      <w:bookmarkEnd w:id="10"/>
    </w:p>
    <w:p>
      <w:pPr>
        <w:ind w:firstLine="0"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方向盘按键总成功能设计说明</w:t>
      </w:r>
    </w:p>
    <w:p>
      <w:pPr>
        <w:numPr>
          <w:ilvl w:val="1"/>
          <w:numId w:val="5"/>
        </w:numPr>
        <w:ind w:firstLine="440"/>
        <w:rPr>
          <w:rFonts w:ascii="微软雅黑" w:hAnsi="微软雅黑" w:eastAsia="微软雅黑" w:cs="微软雅黑"/>
          <w:b/>
        </w:rPr>
      </w:pPr>
      <w:bookmarkStart w:id="11" w:name="_Toc30266"/>
      <w:r>
        <w:rPr>
          <w:rFonts w:hint="eastAsia" w:ascii="微软雅黑" w:hAnsi="微软雅黑" w:eastAsia="微软雅黑" w:cs="微软雅黑"/>
          <w:b/>
        </w:rPr>
        <w:t>适用范围</w:t>
      </w:r>
      <w:bookmarkEnd w:id="11"/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主机厂  : 零跑</w:t>
      </w:r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产品名称: 方向盘按键总成</w:t>
      </w:r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车型代号: A</w:t>
      </w:r>
      <w:r>
        <w:rPr>
          <w:rFonts w:ascii="宋体" w:hAnsi="宋体" w:eastAsia="宋体" w:cs="宋体"/>
          <w:color w:val="auto"/>
        </w:rPr>
        <w:t>12</w:t>
      </w:r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 xml:space="preserve">产品代号: </w:t>
      </w:r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 xml:space="preserve">零件号  : </w:t>
      </w:r>
      <w:bookmarkStart w:id="12" w:name="_Hlk166751723"/>
      <w:r>
        <w:rPr>
          <w:rFonts w:ascii="宋体" w:hAnsi="宋体" w:eastAsia="宋体" w:cs="宋体"/>
          <w:color w:val="auto"/>
        </w:rPr>
        <w:t>5710100-AG21</w:t>
      </w:r>
      <w:bookmarkEnd w:id="12"/>
    </w:p>
    <w:p>
      <w:pPr>
        <w:numPr>
          <w:ilvl w:val="1"/>
          <w:numId w:val="5"/>
        </w:numPr>
        <w:ind w:firstLine="440"/>
      </w:pPr>
      <w:bookmarkStart w:id="13" w:name="_Toc3597"/>
      <w:r>
        <w:rPr>
          <w:rFonts w:hint="eastAsia" w:ascii="微软雅黑" w:hAnsi="微软雅黑" w:eastAsia="微软雅黑" w:cs="微软雅黑"/>
          <w:b/>
        </w:rPr>
        <w:t>简介</w:t>
      </w:r>
      <w:bookmarkEnd w:id="13"/>
    </w:p>
    <w:p>
      <w:pPr>
        <w:pStyle w:val="39"/>
        <w:spacing w:before="0" w:beforeAutospacing="0" w:after="0" w:afterAutospacing="0"/>
        <w:ind w:firstLine="0" w:firstLineChars="0"/>
        <w:rPr>
          <w:rFonts w:eastAsia="宋体" w:cs="宋体"/>
          <w:color w:val="auto"/>
        </w:rPr>
      </w:pPr>
      <w:r>
        <w:rPr>
          <w:rFonts w:hint="eastAsia" w:eastAsia="宋体" w:cs="宋体"/>
          <w:color w:val="auto"/>
        </w:rPr>
        <w:t>SWB左方向盘有2个按键和1个滚轮(上下滚、左右拨、下按)，右方向盘有2个按键和1个滚轮(上下滚、左右拨、下按)。SWB左方向盘按键采集2个以及右方向盘按键2个的按键信息和左右各1个滚轮状态，并把按键和滚轮信息发送到CAN总线上，同时负责接收CAN总线上的背光控制信号后驱动左右方向盘按键LED背光。此外，SWB通过CAN实现诊断和刷新功能。</w:t>
      </w:r>
    </w:p>
    <w:p>
      <w:pPr>
        <w:pStyle w:val="39"/>
        <w:spacing w:before="0" w:beforeAutospacing="0" w:after="0" w:afterAutospacing="0"/>
        <w:ind w:firstLine="0" w:firstLineChars="0"/>
        <w:rPr>
          <w:rFonts w:eastAsia="宋体" w:cs="宋体"/>
          <w:color w:val="auto"/>
        </w:rPr>
      </w:pPr>
    </w:p>
    <w:p>
      <w:pPr>
        <w:pStyle w:val="39"/>
        <w:spacing w:before="0" w:beforeAutospacing="0" w:after="0" w:afterAutospacing="0"/>
        <w:ind w:firstLine="0" w:firstLineChars="0"/>
        <w:rPr>
          <w:rFonts w:eastAsia="宋体" w:cs="宋体"/>
          <w:color w:val="auto"/>
        </w:rPr>
      </w:pPr>
    </w:p>
    <w:p>
      <w:pPr>
        <w:pStyle w:val="39"/>
        <w:spacing w:before="0" w:beforeAutospacing="0" w:after="0" w:afterAutospacing="0"/>
        <w:ind w:firstLine="0" w:firstLineChars="0"/>
      </w:pPr>
    </w:p>
    <w:p>
      <w:pPr>
        <w:numPr>
          <w:ilvl w:val="1"/>
          <w:numId w:val="5"/>
        </w:numPr>
        <w:ind w:firstLine="56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bookmarkStart w:id="14" w:name="_Toc24036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产品外形</w:t>
      </w:r>
      <w:bookmarkEnd w:id="14"/>
    </w:p>
    <w:p>
      <w:pPr>
        <w:pStyle w:val="40"/>
        <w:ind w:left="360" w:firstLine="0" w:firstLineChars="0"/>
        <w:rPr>
          <w:rFonts w:hAnsi="宋体" w:eastAsia="宋体" w:cs="宋体"/>
          <w:color w:val="auto"/>
          <w:sz w:val="22"/>
          <w:szCs w:val="22"/>
        </w:rPr>
      </w:pPr>
      <w:r>
        <w:drawing>
          <wp:inline distT="0" distB="0" distL="0" distR="0">
            <wp:extent cx="2367915" cy="1896745"/>
            <wp:effectExtent l="0" t="0" r="9525" b="8255"/>
            <wp:docPr id="102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/>
                  </pic:nvPicPr>
                  <pic:blipFill>
                    <a:blip r:embed="rId10" cstate="print"/>
                    <a:srcRect l="6435" b="8294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8967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87575" cy="1907540"/>
            <wp:effectExtent l="0" t="0" r="3175" b="16510"/>
            <wp:docPr id="102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/>
                  </pic:nvPicPr>
                  <pic:blipFill>
                    <a:blip r:embed="rId11" cstate="print"/>
                    <a:srcRect r="7030" b="12236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907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ind w:firstLine="0" w:firstLineChars="0"/>
        <w:rPr>
          <w:rFonts w:hAnsi="宋体" w:eastAsia="宋体" w:cs="宋体"/>
          <w:color w:val="auto"/>
          <w:sz w:val="22"/>
          <w:szCs w:val="22"/>
        </w:rPr>
      </w:pPr>
    </w:p>
    <w:p>
      <w:pPr>
        <w:numPr>
          <w:ilvl w:val="1"/>
          <w:numId w:val="5"/>
        </w:numPr>
        <w:ind w:firstLine="56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bookmarkStart w:id="15" w:name="_Toc26076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产品配置</w:t>
      </w:r>
      <w:bookmarkEnd w:id="15"/>
    </w:p>
    <w:tbl>
      <w:tblPr>
        <w:tblStyle w:val="24"/>
        <w:tblW w:w="96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1"/>
        <w:gridCol w:w="3211"/>
        <w:gridCol w:w="3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产品型号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均胜零件号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JS01A1201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5025374E5S-AA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int="eastAsia" w:hAnsi="宋体" w:eastAsia="宋体" w:cs="宋体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  <w:lang w:val="en-US" w:eastAsia="zh-CN"/>
              </w:rPr>
              <w:t>天际灰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JS01A1202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Ansi="宋体" w:eastAsia="宋体" w:cs="宋体"/>
                <w:color w:val="auto"/>
                <w:sz w:val="22"/>
                <w:szCs w:val="22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</w:rPr>
              <w:t>5025374E5T-AA</w:t>
            </w:r>
          </w:p>
        </w:tc>
        <w:tc>
          <w:tcPr>
            <w:tcW w:w="3211" w:type="dxa"/>
          </w:tcPr>
          <w:p>
            <w:pPr>
              <w:pStyle w:val="40"/>
              <w:widowControl w:val="0"/>
              <w:ind w:firstLine="0" w:firstLineChars="0"/>
              <w:jc w:val="both"/>
              <w:rPr>
                <w:rFonts w:hint="eastAsia" w:hAnsi="宋体" w:eastAsia="宋体" w:cs="宋体"/>
                <w:color w:val="auto"/>
                <w:sz w:val="22"/>
                <w:szCs w:val="22"/>
                <w:lang w:val="en-US" w:eastAsia="zh-CN"/>
              </w:rPr>
            </w:pPr>
            <w:r>
              <w:rPr>
                <w:rFonts w:hint="eastAsia" w:hAnsi="宋体" w:eastAsia="宋体" w:cs="宋体"/>
                <w:color w:val="auto"/>
                <w:sz w:val="22"/>
                <w:szCs w:val="22"/>
                <w:lang w:val="en-US" w:eastAsia="zh-CN"/>
              </w:rPr>
              <w:t>竹炭灰</w:t>
            </w:r>
          </w:p>
        </w:tc>
      </w:tr>
    </w:tbl>
    <w:p>
      <w:pPr>
        <w:pStyle w:val="40"/>
        <w:ind w:firstLine="0" w:firstLineChars="0"/>
        <w:rPr>
          <w:rFonts w:hAnsi="宋体" w:eastAsia="宋体" w:cs="宋体"/>
          <w:color w:val="auto"/>
          <w:sz w:val="22"/>
          <w:szCs w:val="22"/>
        </w:rPr>
      </w:pPr>
    </w:p>
    <w:p>
      <w:pPr>
        <w:numPr>
          <w:ilvl w:val="1"/>
          <w:numId w:val="5"/>
        </w:numPr>
        <w:ind w:firstLine="560"/>
        <w:rPr>
          <w:rFonts w:ascii="微软雅黑" w:hAnsi="微软雅黑" w:eastAsia="微软雅黑" w:cs="微软雅黑"/>
          <w:b/>
          <w:sz w:val="28"/>
          <w:szCs w:val="28"/>
        </w:rPr>
      </w:pPr>
      <w:bookmarkStart w:id="16" w:name="_Toc28459"/>
      <w:bookmarkStart w:id="17" w:name="_Toc16065"/>
      <w:r>
        <w:rPr>
          <w:rFonts w:hint="eastAsia" w:ascii="微软雅黑" w:hAnsi="微软雅黑" w:eastAsia="微软雅黑" w:cs="微软雅黑"/>
          <w:b/>
          <w:sz w:val="28"/>
          <w:szCs w:val="28"/>
        </w:rPr>
        <w:t>功能概述</w:t>
      </w:r>
      <w:bookmarkEnd w:id="16"/>
    </w:p>
    <w:bookmarkEnd w:id="17"/>
    <w:p>
      <w:pPr>
        <w:ind w:firstLine="0" w:firstLineChars="0"/>
      </w:pPr>
    </w:p>
    <w:p>
      <w:pPr>
        <w:ind w:firstLine="0" w:firstLineChars="0"/>
      </w:pPr>
      <w:r>
        <w:rPr>
          <w14:ligatures w14:val="none"/>
        </w:rPr>
        <w:drawing>
          <wp:inline distT="0" distB="0" distL="0" distR="0">
            <wp:extent cx="6248400" cy="3514725"/>
            <wp:effectExtent l="0" t="0" r="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174" cy="35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numPr>
          <w:ilvl w:val="0"/>
          <w:numId w:val="5"/>
        </w:numPr>
        <w:ind w:firstLine="0" w:firstLineChars="0"/>
        <w:outlineLvl w:val="0"/>
        <w:rPr>
          <w:sz w:val="32"/>
          <w:szCs w:val="32"/>
        </w:rPr>
      </w:pPr>
      <w:bookmarkStart w:id="18" w:name="_Toc6285"/>
      <w:bookmarkStart w:id="19" w:name="_Toc12639"/>
      <w:bookmarkStart w:id="20" w:name="_Toc11920"/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系统框图</w:t>
      </w:r>
      <w:bookmarkEnd w:id="18"/>
      <w:bookmarkEnd w:id="19"/>
      <w:bookmarkEnd w:id="20"/>
      <w:r>
        <w:rPr>
          <w:rFonts w:hint="eastAsia"/>
          <w:sz w:val="32"/>
          <w:szCs w:val="32"/>
        </w:rPr>
        <w:t xml:space="preserve"> </w:t>
      </w:r>
    </w:p>
    <w:p>
      <w:pPr>
        <w:ind w:firstLine="0" w:firstLineChars="0"/>
        <w:rPr>
          <w:rFonts w:ascii="宋体" w:hAnsi="宋体" w:eastAsia="宋体" w:cs="宋体"/>
          <w:color w:val="auto"/>
          <w:kern w:val="0"/>
          <w:sz w:val="24"/>
          <w:szCs w:val="24"/>
          <w14:ligatures w14:val="none"/>
        </w:rPr>
      </w:pPr>
      <w:r>
        <w:drawing>
          <wp:inline distT="0" distB="0" distL="0" distR="0">
            <wp:extent cx="5979795" cy="2931160"/>
            <wp:effectExtent l="0" t="0" r="1905" b="2540"/>
            <wp:docPr id="1281873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3604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spacing w:before="120" w:after="120"/>
      </w:pPr>
      <w:bookmarkStart w:id="21" w:name="_Toc16459"/>
      <w:bookmarkStart w:id="22" w:name="_Toc4520"/>
      <w:bookmarkStart w:id="23" w:name="_Toc96"/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系统需求</w:t>
      </w:r>
      <w:bookmarkEnd w:id="21"/>
      <w:bookmarkEnd w:id="22"/>
      <w:bookmarkEnd w:id="23"/>
      <w:bookmarkStart w:id="24" w:name="_Toc23395"/>
    </w:p>
    <w:p>
      <w:pPr>
        <w:pStyle w:val="3"/>
        <w:tabs>
          <w:tab w:val="left" w:pos="0"/>
        </w:tabs>
        <w:spacing w:before="120" w:after="120"/>
      </w:pPr>
      <w:bookmarkStart w:id="25" w:name="_Toc2801"/>
      <w:bookmarkStart w:id="26" w:name="_Toc14084"/>
      <w:r>
        <w:rPr>
          <w:rFonts w:hint="eastAsia" w:ascii="微软雅黑" w:hAnsi="微软雅黑" w:eastAsia="微软雅黑" w:cs="微软雅黑"/>
          <w:b/>
          <w:bCs/>
          <w:szCs w:val="28"/>
        </w:rPr>
        <w:t>4.1</w:t>
      </w:r>
      <w:r>
        <w:rPr>
          <w:rFonts w:hint="eastAsia" w:ascii="微软雅黑" w:hAnsi="微软雅黑" w:eastAsia="微软雅黑" w:cs="微软雅黑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b/>
          <w:szCs w:val="28"/>
        </w:rPr>
        <w:t>系统性能</w:t>
      </w:r>
      <w:bookmarkEnd w:id="24"/>
      <w:bookmarkEnd w:id="25"/>
      <w:bookmarkEnd w:id="26"/>
    </w:p>
    <w:tbl>
      <w:tblPr>
        <w:tblStyle w:val="35"/>
        <w:tblW w:w="8331" w:type="dxa"/>
        <w:tblInd w:w="0" w:type="dxa"/>
        <w:tblLayout w:type="fixed"/>
        <w:tblCellMar>
          <w:top w:w="73" w:type="dxa"/>
          <w:left w:w="142" w:type="dxa"/>
          <w:bottom w:w="0" w:type="dxa"/>
          <w:right w:w="38" w:type="dxa"/>
        </w:tblCellMar>
      </w:tblPr>
      <w:tblGrid>
        <w:gridCol w:w="835"/>
        <w:gridCol w:w="3885"/>
        <w:gridCol w:w="3611"/>
      </w:tblGrid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541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 xml:space="preserve">序号 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 xml:space="preserve">性能参数 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 xml:space="preserve">规格 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20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1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>额定电压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12V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20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2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>工作电压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9~16V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20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3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 xml:space="preserve">工作温度 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-40~85°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20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4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ascii="宋体" w:hAnsi="宋体" w:eastAsia="宋体" w:cs="仿宋"/>
              </w:rPr>
              <w:t>静态电流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/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20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5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总线通讯方式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CAN</w:t>
            </w:r>
          </w:p>
        </w:tc>
      </w:tr>
      <w:tr>
        <w:tblPrEx>
          <w:tblLayout w:type="fixed"/>
          <w:tblCellMar>
            <w:top w:w="73" w:type="dxa"/>
            <w:left w:w="142" w:type="dxa"/>
            <w:bottom w:w="0" w:type="dxa"/>
            <w:right w:w="38" w:type="dxa"/>
          </w:tblCellMar>
        </w:tblPrEx>
        <w:trPr>
          <w:trHeight w:val="583" w:hRule="atLeast"/>
        </w:trPr>
        <w:tc>
          <w:tcPr>
            <w:tcW w:w="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6</w:t>
            </w:r>
          </w:p>
        </w:tc>
        <w:tc>
          <w:tcPr>
            <w:tcW w:w="38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总线通讯波特率</w:t>
            </w:r>
          </w:p>
        </w:tc>
        <w:tc>
          <w:tcPr>
            <w:tcW w:w="36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71" w:line="265" w:lineRule="auto"/>
              <w:ind w:firstLine="0" w:firstLineChars="0"/>
              <w:rPr>
                <w:rFonts w:ascii="宋体" w:hAnsi="宋体" w:eastAsia="宋体" w:cs="仿宋"/>
              </w:rPr>
            </w:pPr>
            <w:r>
              <w:rPr>
                <w:rFonts w:hint="eastAsia" w:ascii="宋体" w:hAnsi="宋体" w:eastAsia="宋体" w:cs="仿宋"/>
              </w:rPr>
              <w:t>500</w:t>
            </w:r>
            <w:r>
              <w:rPr>
                <w:rFonts w:ascii="宋体" w:hAnsi="宋体" w:eastAsia="宋体" w:cs="仿宋"/>
              </w:rPr>
              <w:t>Kbps</w:t>
            </w:r>
          </w:p>
        </w:tc>
      </w:tr>
    </w:tbl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</w:rPr>
      </w:pPr>
    </w:p>
    <w:p>
      <w:pPr>
        <w:pStyle w:val="3"/>
        <w:spacing w:before="120" w:line="240" w:lineRule="auto"/>
        <w:ind w:left="-6" w:right="62"/>
        <w:rPr>
          <w:rFonts w:ascii="微软雅黑" w:hAnsi="微软雅黑" w:eastAsia="微软雅黑" w:cs="微软雅黑"/>
          <w:b/>
        </w:rPr>
      </w:pPr>
      <w:bookmarkStart w:id="27" w:name="_Toc31861"/>
      <w:bookmarkStart w:id="28" w:name="_Toc923"/>
      <w:bookmarkStart w:id="29" w:name="_Toc1775"/>
      <w:r>
        <w:rPr>
          <w:rFonts w:hint="eastAsia" w:ascii="微软雅黑" w:hAnsi="微软雅黑" w:eastAsia="微软雅黑" w:cs="微软雅黑"/>
          <w:b/>
        </w:rPr>
        <w:t>4.2 功能</w:t>
      </w:r>
      <w:bookmarkEnd w:id="27"/>
      <w:r>
        <w:rPr>
          <w:rFonts w:hint="eastAsia" w:ascii="微软雅黑" w:hAnsi="微软雅黑" w:eastAsia="微软雅黑" w:cs="微软雅黑"/>
          <w:b/>
        </w:rPr>
        <w:t>要求</w:t>
      </w:r>
      <w:bookmarkEnd w:id="28"/>
      <w:bookmarkEnd w:id="29"/>
    </w:p>
    <w:p>
      <w:pPr>
        <w:pStyle w:val="4"/>
        <w:spacing w:before="120" w:line="240" w:lineRule="auto"/>
        <w:ind w:left="-6" w:right="62"/>
        <w:rPr>
          <w:b/>
          <w:bCs/>
        </w:rPr>
      </w:pPr>
      <w:bookmarkStart w:id="30" w:name="_Toc23489"/>
      <w:bookmarkStart w:id="31" w:name="_Toc149"/>
      <w:bookmarkStart w:id="32" w:name="_Toc30868"/>
      <w:r>
        <w:rPr>
          <w:rFonts w:hint="eastAsia" w:ascii="微软雅黑" w:hAnsi="微软雅黑" w:eastAsia="微软雅黑" w:cs="微软雅黑"/>
          <w:b/>
          <w:bCs/>
        </w:rPr>
        <w:t>4.2.1 通信矩阵</w:t>
      </w:r>
      <w:bookmarkEnd w:id="30"/>
      <w:bookmarkEnd w:id="31"/>
      <w:bookmarkEnd w:id="32"/>
    </w:p>
    <w:p>
      <w:pPr>
        <w:keepLines/>
        <w:widowControl w:val="0"/>
        <w:spacing w:before="120"/>
        <w:ind w:right="62" w:firstLine="0" w:firstLineChars="0"/>
        <w:rPr>
          <w:rFonts w:ascii="宋体" w:hAnsi="宋体" w:eastAsia="宋体" w:cs="宋体"/>
          <w:color w:val="auto"/>
        </w:rPr>
      </w:pPr>
      <w:bookmarkStart w:id="33" w:name="_Toc725"/>
      <w:r>
        <w:rPr>
          <w:rFonts w:ascii="宋体" w:hAnsi="宋体" w:eastAsia="宋体" w:cs="宋体"/>
          <w:color w:val="auto"/>
        </w:rPr>
        <w:pict>
          <v:shape id="_x0000_i1025" o:spt="75" type="#_x0000_t75" style="height:55.5pt;width:61.5pt;" filled="f" o:preferrelative="t" stroked="f" coordsize="21600,21600">
            <v:path/>
            <v:fill on="f" focussize="0,0"/>
            <v:stroke on="f" joinstyle="miter"/>
            <v:imagedata r:id="rId14" embosscolor="#FFFFFF" o:title=""/>
            <o:lock v:ext="edit" aspectratio="t"/>
            <w10:wrap type="none"/>
            <w10:anchorlock/>
          </v:shape>
        </w:pict>
      </w:r>
      <w:bookmarkEnd w:id="33"/>
    </w:p>
    <w:p>
      <w:pPr>
        <w:ind w:firstLine="0" w:firstLineChars="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报文中未使用的位须设为0x0。相应的，未使用的字节须设为0x00。</w:t>
      </w:r>
    </w:p>
    <w:p>
      <w:pPr>
        <w:ind w:firstLine="0" w:firstLineChars="0"/>
        <w:rPr>
          <w:rFonts w:ascii="微软雅黑" w:hAnsi="微软雅黑" w:eastAsia="微软雅黑" w:cs="微软雅黑"/>
        </w:rPr>
      </w:pPr>
    </w:p>
    <w:p>
      <w:pPr>
        <w:spacing w:before="120"/>
        <w:ind w:firstLine="0" w:firstLineChars="0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4.3 电压模式定义</w:t>
      </w:r>
    </w:p>
    <w:p>
      <w:pPr>
        <w:spacing w:before="120"/>
        <w:ind w:firstLine="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欠压电压误差范围下偏0.5，过压电压误差范围上偏0.5。</w:t>
      </w:r>
    </w:p>
    <w:tbl>
      <w:tblPr>
        <w:tblStyle w:val="23"/>
        <w:tblW w:w="8755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2"/>
        <w:gridCol w:w="1730"/>
        <w:gridCol w:w="3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b/>
                <w:bCs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1"/>
              </w:rPr>
              <w:t>ECU工作电压范围（单位：V）</w:t>
            </w:r>
          </w:p>
        </w:tc>
        <w:tc>
          <w:tcPr>
            <w:tcW w:w="1730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b/>
                <w:bCs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Cs w:val="24"/>
              </w:rPr>
              <w:t>电压模式</w:t>
            </w:r>
          </w:p>
        </w:tc>
        <w:tc>
          <w:tcPr>
            <w:tcW w:w="3723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b/>
                <w:bCs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auto"/>
                <w:szCs w:val="24"/>
              </w:rPr>
              <w:t>工作描述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color w:val="auto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&lt;</w:t>
            </w:r>
            <w:r>
              <w:rPr>
                <w:rFonts w:hint="eastAsia" w:ascii="微软雅黑" w:hAnsi="微软雅黑" w:eastAsia="微软雅黑" w:cs="微软雅黑"/>
                <w:color w:val="auto"/>
                <w:szCs w:val="24"/>
                <w:lang w:val="en-US" w:eastAsia="zh-CN"/>
              </w:rPr>
              <w:t>8.5V</w:t>
            </w:r>
          </w:p>
        </w:tc>
        <w:tc>
          <w:tcPr>
            <w:tcW w:w="1730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B</w:t>
            </w:r>
          </w:p>
        </w:tc>
        <w:tc>
          <w:tcPr>
            <w:tcW w:w="3723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不要求CAN 通信。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9~16</w:t>
            </w:r>
          </w:p>
        </w:tc>
        <w:tc>
          <w:tcPr>
            <w:tcW w:w="1730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A</w:t>
            </w:r>
          </w:p>
        </w:tc>
        <w:tc>
          <w:tcPr>
            <w:tcW w:w="3723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所有功能正常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ind w:firstLine="0" w:firstLineChars="0"/>
              <w:jc w:val="center"/>
              <w:rPr>
                <w:rFonts w:hint="default" w:ascii="微软雅黑" w:hAnsi="微软雅黑" w:eastAsia="微软雅黑" w:cs="微软雅黑"/>
                <w:color w:val="auto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&gt;16</w:t>
            </w:r>
            <w:r>
              <w:rPr>
                <w:rFonts w:hint="eastAsia" w:ascii="微软雅黑" w:hAnsi="微软雅黑" w:eastAsia="微软雅黑" w:cs="微软雅黑"/>
                <w:color w:val="auto"/>
                <w:szCs w:val="24"/>
                <w:lang w:val="en-US" w:eastAsia="zh-CN"/>
              </w:rPr>
              <w:t>.5V</w:t>
            </w:r>
          </w:p>
        </w:tc>
        <w:tc>
          <w:tcPr>
            <w:tcW w:w="1730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C</w:t>
            </w:r>
          </w:p>
        </w:tc>
        <w:tc>
          <w:tcPr>
            <w:tcW w:w="3723" w:type="dxa"/>
          </w:tcPr>
          <w:p>
            <w:pPr>
              <w:ind w:firstLine="0" w:firstLineChars="0"/>
              <w:jc w:val="center"/>
              <w:rPr>
                <w:rFonts w:ascii="微软雅黑" w:hAnsi="微软雅黑" w:eastAsia="微软雅黑" w:cs="微软雅黑"/>
                <w:color w:val="auto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szCs w:val="24"/>
              </w:rPr>
              <w:t>不要求CAN 通信。</w:t>
            </w:r>
          </w:p>
        </w:tc>
      </w:tr>
    </w:tbl>
    <w:p>
      <w:pPr>
        <w:spacing w:before="120"/>
        <w:ind w:firstLine="0" w:firstLineChars="0"/>
        <w:rPr>
          <w:rFonts w:ascii="微软雅黑" w:hAnsi="微软雅黑" w:eastAsia="微软雅黑" w:cs="微软雅黑"/>
          <w:b/>
          <w:bCs/>
          <w:color w:val="auto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备注：电压范围值在节点的电源与地引脚之间直接测量。</w:t>
      </w:r>
    </w:p>
    <w:p>
      <w:pPr>
        <w:spacing w:before="120" w:after="120"/>
        <w:ind w:firstLine="0" w:firstLineChars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4.4背光灯控制</w:t>
      </w:r>
    </w:p>
    <w:p>
      <w:pPr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背光灯信号：由0x220 HPC报文的HPC_BackLightCtrl信号控制，范围为0-1。</w:t>
      </w:r>
    </w:p>
    <w:tbl>
      <w:tblPr>
        <w:tblStyle w:val="23"/>
        <w:tblW w:w="951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8"/>
        <w:gridCol w:w="2097"/>
        <w:gridCol w:w="2139"/>
        <w:gridCol w:w="2139"/>
        <w:gridCol w:w="2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8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序号</w:t>
            </w:r>
          </w:p>
        </w:tc>
        <w:tc>
          <w:tcPr>
            <w:tcW w:w="2097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背光灯信号</w:t>
            </w:r>
          </w:p>
        </w:tc>
        <w:tc>
          <w:tcPr>
            <w:tcW w:w="2139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PWM占空比</w:t>
            </w:r>
          </w:p>
        </w:tc>
        <w:tc>
          <w:tcPr>
            <w:tcW w:w="2139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功能描述</w:t>
            </w:r>
          </w:p>
        </w:tc>
        <w:tc>
          <w:tcPr>
            <w:tcW w:w="2477" w:type="dxa"/>
            <w:vAlign w:val="center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658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</w:p>
        </w:tc>
        <w:tc>
          <w:tcPr>
            <w:tcW w:w="2097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HPC_BackLightCtrl</w:t>
            </w:r>
          </w:p>
        </w:tc>
        <w:tc>
          <w:tcPr>
            <w:tcW w:w="2139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0-1</w:t>
            </w:r>
          </w:p>
        </w:tc>
        <w:tc>
          <w:tcPr>
            <w:tcW w:w="2139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背光灯控制</w:t>
            </w:r>
          </w:p>
        </w:tc>
        <w:tc>
          <w:tcPr>
            <w:tcW w:w="2477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信号值：0x1 = 打开；0x0 = 关闭。</w:t>
            </w:r>
          </w:p>
        </w:tc>
      </w:tr>
    </w:tbl>
    <w:p>
      <w:pPr>
        <w:spacing w:before="120" w:after="120"/>
        <w:ind w:firstLine="0" w:firstLineChars="0"/>
        <w:rPr>
          <w:rFonts w:ascii="宋体" w:hAnsi="宋体" w:eastAsia="宋体" w:cs="宋体"/>
          <w:color w:val="auto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  <w:color w:val="auto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  <w:color w:val="auto"/>
        </w:rPr>
      </w:pPr>
    </w:p>
    <w:p>
      <w:pPr>
        <w:spacing w:before="120" w:after="120"/>
        <w:ind w:firstLine="0" w:firstLineChars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4.5 按键控制</w:t>
      </w:r>
    </w:p>
    <w:tbl>
      <w:tblPr>
        <w:tblStyle w:val="23"/>
        <w:tblW w:w="94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2636"/>
        <w:gridCol w:w="2746"/>
        <w:gridCol w:w="2235"/>
        <w:gridCol w:w="1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Num</w:t>
            </w:r>
          </w:p>
        </w:tc>
        <w:tc>
          <w:tcPr>
            <w:tcW w:w="2636" w:type="dxa"/>
            <w:vAlign w:val="center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CAN 信号</w:t>
            </w:r>
          </w:p>
        </w:tc>
        <w:tc>
          <w:tcPr>
            <w:tcW w:w="2746" w:type="dxa"/>
            <w:vAlign w:val="center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信号描述</w:t>
            </w:r>
          </w:p>
        </w:tc>
        <w:tc>
          <w:tcPr>
            <w:tcW w:w="2235" w:type="dxa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Value</w:t>
            </w:r>
          </w:p>
        </w:tc>
        <w:tc>
          <w:tcPr>
            <w:tcW w:w="1030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信号定义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1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SWB_CRC_305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校验位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DATA ID,</w:t>
            </w:r>
          </w:p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0x6A,0xB0,0xCD,0x4E,0xE0,0x16,0x1C,0x22,0x71,0x98,0xD9,0xDF,0xFA,0x76,0xF8,0x14</w:t>
            </w:r>
          </w:p>
        </w:tc>
        <w:tc>
          <w:tcPr>
            <w:tcW w:w="1030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hint="default" w:ascii="Arial" w:hAnsi="Arial" w:eastAsia="等线" w:cs="Arial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Arial" w:hAnsi="Arial" w:eastAsia="等线" w:cs="Arial"/>
                <w:kern w:val="0"/>
                <w:sz w:val="20"/>
                <w:szCs w:val="20"/>
                <w:lang w:val="en-US" w:eastAsia="zh-CN"/>
              </w:rPr>
              <w:t>(0,8)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SWB_RollingCounter_305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生命信号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RollingCounter(new)</w:t>
            </w:r>
          </w:p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=(RollingCounter(old)+1)&amp;0x0F</w:t>
            </w:r>
          </w:p>
        </w:tc>
        <w:tc>
          <w:tcPr>
            <w:tcW w:w="1030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ascii="Arial" w:hAnsi="Arial" w:eastAsia="等线" w:cs="Arial"/>
                <w:kern w:val="0"/>
                <w:sz w:val="20"/>
                <w:szCs w:val="20"/>
              </w:rPr>
            </w:pPr>
            <w:r>
              <w:rPr>
                <w:rFonts w:hint="eastAsia" w:ascii="Arial" w:hAnsi="Arial" w:eastAsia="等线" w:cs="Arial"/>
                <w:kern w:val="0"/>
                <w:sz w:val="20"/>
                <w:szCs w:val="20"/>
                <w:lang w:val="en-US" w:eastAsia="zh-CN"/>
              </w:rPr>
              <w:t>(0,4)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3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SWB_LRollerLeftSts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左滚轮左拨状态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(16,3)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4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SWB_LRollerRightSts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左滚轮右拨状态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(19,3)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5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SWB_LRollerUpSts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左滚轮上滚状态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0x1:Up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4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6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SWB_LRollerDownSts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左滚轮下滚状态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0x1:Down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24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3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7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SWB_UnlockLockSts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解闭锁按键状态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26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8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SWB_LCustomButtonSts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左自定义按键状态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29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9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SWB_RRollerUpSts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右滚轮上滚状态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0x1:Up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10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SWB_RRollerLeftSts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右滚轮左拨状态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34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default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11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SWB_RRollerRightSts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右滚轮右拨状态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37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2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SWB_RRollerDownSts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右滚轮下滚状态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0x1:Down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0x2:Reserved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40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3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SWB_RCustomButtonSts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右自定义按键状态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4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SWB_VoiceButtonSts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语音唤醒按键状态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45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5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SWB_RRollerPressSts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右滚轮按下状态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48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17" w:type="dxa"/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6</w:t>
            </w:r>
          </w:p>
        </w:tc>
        <w:tc>
          <w:tcPr>
            <w:tcW w:w="263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SWB_LRollerPressSts</w:t>
            </w:r>
          </w:p>
        </w:tc>
        <w:tc>
          <w:tcPr>
            <w:tcW w:w="2746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左滚轮按下状态</w:t>
            </w:r>
          </w:p>
        </w:tc>
        <w:tc>
          <w:tcPr>
            <w:tcW w:w="223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Action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0x1:short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0x2:Long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0x3:Double Press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0x4:Error</w:t>
            </w:r>
          </w:p>
        </w:tc>
        <w:tc>
          <w:tcPr>
            <w:tcW w:w="1030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51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</w:tbl>
    <w:p>
      <w:pPr>
        <w:spacing w:before="120" w:after="120"/>
        <w:ind w:firstLine="0" w:firstLineChars="0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t>备注：CRC计算方法参照下附件：</w:t>
      </w:r>
    </w:p>
    <w:p>
      <w:pPr>
        <w:spacing w:before="120" w:after="120"/>
        <w:ind w:firstLine="0" w:firstLineChars="0"/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Acrobat.Document.DC" ShapeID="_x0000_i1026" DrawAspect="Icon" ObjectID="_1468075725" r:id="rId15">
            <o:LockedField>false</o:LockedField>
          </o:OLEObject>
        </w:object>
      </w:r>
    </w:p>
    <w:p>
      <w:pPr>
        <w:spacing w:before="120" w:after="120"/>
        <w:ind w:firstLine="0" w:firstLineChars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</w:p>
    <w:p>
      <w:pPr>
        <w:pStyle w:val="40"/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所有按键均采用以下控制逻辑。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时间参数：</w:t>
      </w:r>
    </w:p>
    <w:p>
      <w:pPr>
        <w:pStyle w:val="40"/>
        <w:numPr>
          <w:ilvl w:val="0"/>
          <w:numId w:val="7"/>
        </w:numPr>
        <w:ind w:left="420" w:leftChars="191" w:firstLine="0" w:firstLineChars="0"/>
        <w:rPr>
          <w:rFonts w:hAnsi="宋体" w:eastAsia="宋体" w:cs="宋体"/>
          <w:color w:val="auto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滤波时间阈值T0：30ms±10ms</w:t>
      </w:r>
    </w:p>
    <w:p>
      <w:pPr>
        <w:numPr>
          <w:ilvl w:val="0"/>
          <w:numId w:val="7"/>
        </w:numPr>
        <w:ind w:left="420" w:leftChars="191" w:firstLine="0" w:firstLineChars="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短按时间阈值T1：300ms</w:t>
      </w:r>
    </w:p>
    <w:p>
      <w:pPr>
        <w:numPr>
          <w:ilvl w:val="0"/>
          <w:numId w:val="7"/>
        </w:numPr>
        <w:ind w:left="420" w:leftChars="191" w:firstLine="0" w:firstLineChars="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长按时间阈值T2：1000ms</w:t>
      </w:r>
    </w:p>
    <w:p>
      <w:pPr>
        <w:numPr>
          <w:ilvl w:val="0"/>
          <w:numId w:val="7"/>
        </w:numPr>
        <w:ind w:left="420" w:leftChars="191" w:firstLine="0" w:firstLineChars="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双击间隔时间超时T3：300ms</w:t>
      </w:r>
    </w:p>
    <w:p>
      <w:pPr>
        <w:numPr>
          <w:ilvl w:val="0"/>
          <w:numId w:val="7"/>
        </w:numPr>
        <w:ind w:left="420" w:leftChars="191" w:firstLine="0" w:firstLineChars="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卡滞时间阈值T4：30000ms(30s)±1s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按键功能逻辑：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按压与松开的滤波时间均为T0，未超过T0视为无效；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按压超过T1，短于T2时松开，发3帧“短按”；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按压超过T2，短于T4，持续发“长按”；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按压超过T4，持续发“卡滞”；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按压未超过T1时松开，则进入双击判断；此松开未超过T3时重新按压，且此按压也在未超过T1时松开，则发3帧“双击”；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接上述条件5，若进入双击判断松开超过T3，则发3帧“短按”；</w:t>
      </w:r>
    </w:p>
    <w:p>
      <w:pPr>
        <w:pStyle w:val="40"/>
        <w:numPr>
          <w:ilvl w:val="0"/>
          <w:numId w:val="8"/>
        </w:numPr>
        <w:ind w:left="420" w:leftChars="191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接上述条件5，若第二次按压超过T1，则进入条件2~4判断。</w:t>
      </w:r>
    </w:p>
    <w:p>
      <w:pPr>
        <w:ind w:firstLine="240" w:firstLineChars="100"/>
        <w:rPr>
          <w:rFonts w:ascii="宋体"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备注：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（最终信号帧数和间隔以实物验证匹配后确定）。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滚动一格，发送3帧0X1信号，一次滚N格，发送N次3帧0X1信号，每3帧0X1信号间发送一帧0X0信号做间隔（最终信号帧数和间隔以实物验证匹配后确定）。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电压处于A模式时按键功能正常。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左右滚轮的左/右/按压按键机械设计互斥不会同时按下。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互斥按键逻辑如下</w:t>
      </w:r>
    </w:p>
    <w:p>
      <w:pPr>
        <w:pStyle w:val="40"/>
        <w:tabs>
          <w:tab w:val="left" w:pos="312"/>
        </w:tabs>
        <w:ind w:left="0" w:leftChars="0"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解闭锁按键和左自定义按键互斥，同时按下按无效信号处理No Action、右自定义按键和语音唤醒按键互斥，同时按下按无效信号处理No Action。</w:t>
      </w:r>
    </w:p>
    <w:p>
      <w:pPr>
        <w:pStyle w:val="40"/>
        <w:numPr>
          <w:ilvl w:val="0"/>
          <w:numId w:val="6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</w:rPr>
        <w:t>按键卡滞上电，判断为No Action处理。</w:t>
      </w:r>
    </w:p>
    <w:p>
      <w:pPr>
        <w:pStyle w:val="40"/>
        <w:numPr>
          <w:ilvl w:val="0"/>
          <w:numId w:val="0"/>
        </w:numPr>
        <w:rPr>
          <w:rFonts w:hint="eastAsia" w:hAnsi="宋体" w:eastAsia="宋体" w:cs="宋体"/>
          <w:color w:val="auto"/>
          <w:sz w:val="24"/>
          <w:szCs w:val="24"/>
        </w:rPr>
      </w:pPr>
    </w:p>
    <w:p>
      <w:pPr>
        <w:pStyle w:val="40"/>
        <w:numPr>
          <w:ilvl w:val="0"/>
          <w:numId w:val="0"/>
        </w:numPr>
        <w:rPr>
          <w:rFonts w:hint="eastAsia" w:hAnsi="宋体" w:eastAsia="宋体" w:cs="宋体"/>
          <w:color w:val="auto"/>
          <w:sz w:val="24"/>
          <w:szCs w:val="24"/>
        </w:rPr>
      </w:pPr>
    </w:p>
    <w:p>
      <w:pPr>
        <w:ind w:firstLine="0" w:firstLineChars="0"/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左侧按键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解闭锁按键：</w:t>
      </w:r>
    </w:p>
    <w:p>
      <w:pPr>
        <w:pStyle w:val="40"/>
        <w:numPr>
          <w:ilvl w:val="0"/>
          <w:numId w:val="1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单击功能定义：车辆解闭锁。</w:t>
      </w:r>
    </w:p>
    <w:p>
      <w:pPr>
        <w:pStyle w:val="40"/>
        <w:numPr>
          <w:ilvl w:val="0"/>
          <w:numId w:val="1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</w:t>
      </w:r>
    </w:p>
    <w:p>
      <w:pPr>
        <w:pStyle w:val="40"/>
        <w:numPr>
          <w:ilvl w:val="0"/>
          <w:numId w:val="1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</w:t>
      </w:r>
    </w:p>
    <w:p>
      <w:pPr>
        <w:pStyle w:val="40"/>
        <w:numPr>
          <w:ilvl w:val="0"/>
          <w:numId w:val="1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自定义（左）按键：</w:t>
      </w:r>
    </w:p>
    <w:p>
      <w:pPr>
        <w:pStyle w:val="40"/>
        <w:numPr>
          <w:ilvl w:val="0"/>
          <w:numId w:val="1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单击功能定义：单击自定义功能唤醒。</w:t>
      </w:r>
    </w:p>
    <w:p>
      <w:pPr>
        <w:pStyle w:val="40"/>
        <w:numPr>
          <w:ilvl w:val="0"/>
          <w:numId w:val="1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双击功能定义：双击自定义功能唤醒。</w:t>
      </w:r>
    </w:p>
    <w:p>
      <w:pPr>
        <w:pStyle w:val="40"/>
        <w:numPr>
          <w:ilvl w:val="0"/>
          <w:numId w:val="1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</w:t>
      </w:r>
    </w:p>
    <w:p>
      <w:pPr>
        <w:pStyle w:val="40"/>
        <w:numPr>
          <w:ilvl w:val="0"/>
          <w:numId w:val="1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左滚轮下按：</w:t>
      </w:r>
    </w:p>
    <w:p>
      <w:pPr>
        <w:pStyle w:val="40"/>
        <w:numPr>
          <w:ilvl w:val="0"/>
          <w:numId w:val="1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单击功能定义：恢复巡航车速（含ACC和CCS）。</w:t>
      </w:r>
    </w:p>
    <w:p>
      <w:pPr>
        <w:pStyle w:val="40"/>
        <w:numPr>
          <w:ilvl w:val="0"/>
          <w:numId w:val="1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长按功能定义：功能预留。</w:t>
      </w:r>
    </w:p>
    <w:p>
      <w:pPr>
        <w:pStyle w:val="40"/>
        <w:numPr>
          <w:ilvl w:val="0"/>
          <w:numId w:val="1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左滚轮左拨：</w:t>
      </w:r>
    </w:p>
    <w:p>
      <w:pPr>
        <w:pStyle w:val="40"/>
        <w:numPr>
          <w:ilvl w:val="0"/>
          <w:numId w:val="13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单击功能定义：跟车距离-。</w:t>
      </w:r>
    </w:p>
    <w:p>
      <w:pPr>
        <w:pStyle w:val="40"/>
        <w:numPr>
          <w:ilvl w:val="0"/>
          <w:numId w:val="13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3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13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复用功能：后视镜调节场景：左外后视镜调节。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左滚轮右拨：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单击功能定义：跟车距离+。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复用功能：后视镜调节场景：左外后视镜调节。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左滚轮上滚：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单击功能定义：巡航车速+，慢滚一格+1KM。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复用功能：后视镜调节场景：左外后视镜调节。</w:t>
      </w:r>
    </w:p>
    <w:p>
      <w:pPr>
        <w:pStyle w:val="40"/>
        <w:numPr>
          <w:ilvl w:val="0"/>
          <w:numId w:val="9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左滚轮下滚：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单击功能定义：巡航车速-，慢滚一格-1KM。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14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复用功能：后视镜调节场景：左外后视镜调节。</w:t>
      </w:r>
    </w:p>
    <w:p>
      <w:pPr>
        <w:pStyle w:val="40"/>
        <w:numPr>
          <w:ilvl w:val="0"/>
          <w:numId w:val="0"/>
        </w:numPr>
        <w:rPr>
          <w:rFonts w:hAnsi="宋体" w:eastAsia="宋体" w:cs="宋体"/>
          <w:color w:val="auto"/>
          <w:sz w:val="24"/>
          <w:szCs w:val="24"/>
        </w:rPr>
      </w:pPr>
    </w:p>
    <w:p>
      <w:pPr>
        <w:ind w:firstLine="0" w:firstLineChars="0"/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8"/>
          <w:szCs w:val="28"/>
          <w:lang w:val="en-US" w:eastAsia="zh-CN"/>
        </w:rPr>
        <w:t>右侧按键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语音按键：</w:t>
      </w:r>
    </w:p>
    <w:p>
      <w:pPr>
        <w:pStyle w:val="40"/>
        <w:numPr>
          <w:ilvl w:val="0"/>
          <w:numId w:val="16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单击功能定义：车辆解闭锁。</w:t>
      </w:r>
    </w:p>
    <w:p>
      <w:pPr>
        <w:pStyle w:val="40"/>
        <w:numPr>
          <w:ilvl w:val="0"/>
          <w:numId w:val="16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</w:t>
      </w:r>
    </w:p>
    <w:p>
      <w:pPr>
        <w:pStyle w:val="40"/>
        <w:numPr>
          <w:ilvl w:val="0"/>
          <w:numId w:val="16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长按功能定义：组队对讲（预留）</w:t>
      </w:r>
    </w:p>
    <w:p>
      <w:pPr>
        <w:pStyle w:val="40"/>
        <w:numPr>
          <w:ilvl w:val="0"/>
          <w:numId w:val="16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自定义（右）按键：</w:t>
      </w:r>
    </w:p>
    <w:p>
      <w:pPr>
        <w:pStyle w:val="40"/>
        <w:numPr>
          <w:ilvl w:val="0"/>
          <w:numId w:val="17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单击功能定义：单击自定义功能唤醒。</w:t>
      </w:r>
    </w:p>
    <w:p>
      <w:pPr>
        <w:pStyle w:val="40"/>
        <w:numPr>
          <w:ilvl w:val="0"/>
          <w:numId w:val="17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双击功能定义：双击自定义功能唤醒。</w:t>
      </w:r>
    </w:p>
    <w:p>
      <w:pPr>
        <w:pStyle w:val="40"/>
        <w:numPr>
          <w:ilvl w:val="0"/>
          <w:numId w:val="17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</w:t>
      </w:r>
    </w:p>
    <w:p>
      <w:pPr>
        <w:pStyle w:val="40"/>
        <w:numPr>
          <w:ilvl w:val="0"/>
          <w:numId w:val="17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右滚轮下按：</w:t>
      </w:r>
    </w:p>
    <w:p>
      <w:pPr>
        <w:pStyle w:val="40"/>
        <w:numPr>
          <w:ilvl w:val="0"/>
          <w:numId w:val="18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单击功能定义：多媒体播放（暂停）。</w:t>
      </w:r>
    </w:p>
    <w:p>
      <w:pPr>
        <w:pStyle w:val="40"/>
        <w:numPr>
          <w:ilvl w:val="0"/>
          <w:numId w:val="18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8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长按功能定义：功能预留。</w:t>
      </w:r>
    </w:p>
    <w:p>
      <w:pPr>
        <w:pStyle w:val="40"/>
        <w:numPr>
          <w:ilvl w:val="0"/>
          <w:numId w:val="18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复用功能：/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右滚轮左拨：</w:t>
      </w:r>
    </w:p>
    <w:p>
      <w:pPr>
        <w:pStyle w:val="40"/>
        <w:numPr>
          <w:ilvl w:val="0"/>
          <w:numId w:val="19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单击功能定义：上一曲。</w:t>
      </w:r>
    </w:p>
    <w:p>
      <w:pPr>
        <w:pStyle w:val="40"/>
        <w:numPr>
          <w:ilvl w:val="0"/>
          <w:numId w:val="19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19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</w:t>
      </w:r>
    </w:p>
    <w:p>
      <w:pPr>
        <w:pStyle w:val="40"/>
        <w:numPr>
          <w:ilvl w:val="0"/>
          <w:numId w:val="19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复用功能：1. 后视镜调节场景：右外后视镜调节。 2. 蓝牙电话场景：电话接听（左拨）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右滚轮右拨：</w:t>
      </w:r>
    </w:p>
    <w:p>
      <w:pPr>
        <w:pStyle w:val="40"/>
        <w:numPr>
          <w:ilvl w:val="0"/>
          <w:numId w:val="2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单击功能定义：下一曲。</w:t>
      </w:r>
    </w:p>
    <w:p>
      <w:pPr>
        <w:pStyle w:val="40"/>
        <w:numPr>
          <w:ilvl w:val="0"/>
          <w:numId w:val="2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2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20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复用功能：1. 后视镜调节场景：右外后视镜调节。 2. 蓝牙电话场景：电话挂断（左拨）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右滚轮上滚：</w:t>
      </w:r>
    </w:p>
    <w:p>
      <w:pPr>
        <w:pStyle w:val="40"/>
        <w:numPr>
          <w:ilvl w:val="0"/>
          <w:numId w:val="2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单击功能定义：音量+。</w:t>
      </w:r>
    </w:p>
    <w:p>
      <w:pPr>
        <w:pStyle w:val="40"/>
        <w:numPr>
          <w:ilvl w:val="0"/>
          <w:numId w:val="2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2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21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复用功能：后视镜调节场景：右外后视镜调节。</w:t>
      </w:r>
    </w:p>
    <w:p>
      <w:pPr>
        <w:pStyle w:val="40"/>
        <w:numPr>
          <w:ilvl w:val="0"/>
          <w:numId w:val="15"/>
        </w:numPr>
        <w:ind w:firstLine="0" w:firstLineChars="0"/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右滚轮下滚：</w:t>
      </w:r>
    </w:p>
    <w:p>
      <w:pPr>
        <w:pStyle w:val="40"/>
        <w:numPr>
          <w:ilvl w:val="0"/>
          <w:numId w:val="2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单击功能定义：音量-。</w:t>
      </w:r>
    </w:p>
    <w:p>
      <w:pPr>
        <w:pStyle w:val="40"/>
        <w:numPr>
          <w:ilvl w:val="0"/>
          <w:numId w:val="2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双击功能定义：/。</w:t>
      </w:r>
    </w:p>
    <w:p>
      <w:pPr>
        <w:pStyle w:val="40"/>
        <w:numPr>
          <w:ilvl w:val="0"/>
          <w:numId w:val="2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长按功能定义：/。</w:t>
      </w:r>
    </w:p>
    <w:p>
      <w:pPr>
        <w:pStyle w:val="40"/>
        <w:numPr>
          <w:ilvl w:val="0"/>
          <w:numId w:val="22"/>
        </w:numPr>
        <w:rPr>
          <w:rFonts w:hAnsi="宋体" w:eastAsia="宋体" w:cs="宋体"/>
          <w:color w:val="auto"/>
          <w:sz w:val="24"/>
          <w:szCs w:val="24"/>
        </w:rPr>
      </w:pPr>
      <w:r>
        <w:rPr>
          <w:rFonts w:hint="eastAsia" w:hAnsi="宋体" w:eastAsia="宋体" w:cs="宋体"/>
          <w:color w:val="auto"/>
          <w:sz w:val="24"/>
          <w:szCs w:val="24"/>
          <w:lang w:val="en-US" w:eastAsia="zh-CN"/>
        </w:rPr>
        <w:t>复用功能：后视镜调节场景：右外后视镜调节。</w:t>
      </w:r>
    </w:p>
    <w:p>
      <w:pPr>
        <w:ind w:firstLine="0" w:firstLineChars="0"/>
        <w:rPr>
          <w:rFonts w:hint="eastAsia" w:ascii="宋体" w:hAnsi="宋体" w:eastAsia="宋体" w:cs="宋体"/>
          <w:color w:val="auto"/>
        </w:rPr>
      </w:pPr>
    </w:p>
    <w:p>
      <w:pPr>
        <w:spacing w:before="120" w:after="120"/>
        <w:ind w:firstLine="0" w:firstLineChars="0"/>
        <w:rPr>
          <w:rFonts w:ascii="宋体" w:hAnsi="宋体" w:eastAsia="宋体" w:cs="宋体"/>
          <w:color w:val="auto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4.6 休眠唤醒</w:t>
      </w:r>
    </w:p>
    <w:tbl>
      <w:tblPr>
        <w:tblStyle w:val="23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701"/>
        <w:gridCol w:w="4253"/>
        <w:gridCol w:w="1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  <w:vAlign w:val="center"/>
          </w:tcPr>
          <w:p>
            <w:pPr>
              <w:spacing w:before="100" w:beforeAutospacing="1" w:after="100" w:afterAutospacing="1"/>
              <w:ind w:firstLine="44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</w:rPr>
              <w:t>编号</w:t>
            </w:r>
          </w:p>
        </w:tc>
        <w:tc>
          <w:tcPr>
            <w:tcW w:w="1701" w:type="dxa"/>
            <w:vAlign w:val="center"/>
          </w:tcPr>
          <w:p>
            <w:pPr>
              <w:spacing w:before="100" w:beforeAutospacing="1" w:after="100" w:afterAutospacing="1"/>
              <w:ind w:firstLine="440"/>
              <w:jc w:val="both"/>
              <w:rPr>
                <w:rFonts w:ascii="宋体" w:hAnsi="宋体" w:eastAsia="宋体" w:cs="宋体"/>
                <w:bCs/>
                <w:color w:val="auto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</w:rPr>
              <w:t>功能点</w:t>
            </w:r>
          </w:p>
        </w:tc>
        <w:tc>
          <w:tcPr>
            <w:tcW w:w="4253" w:type="dxa"/>
            <w:vAlign w:val="center"/>
          </w:tcPr>
          <w:p>
            <w:pPr>
              <w:spacing w:before="100" w:beforeAutospacing="1" w:after="100" w:afterAutospacing="1"/>
              <w:ind w:firstLine="440"/>
              <w:jc w:val="both"/>
              <w:rPr>
                <w:rFonts w:ascii="宋体" w:hAnsi="宋体" w:eastAsia="宋体" w:cs="宋体"/>
                <w:bCs/>
                <w:color w:val="auto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</w:rPr>
              <w:t>功能描述</w:t>
            </w:r>
          </w:p>
        </w:tc>
        <w:tc>
          <w:tcPr>
            <w:tcW w:w="1926" w:type="dxa"/>
            <w:vAlign w:val="center"/>
          </w:tcPr>
          <w:p>
            <w:pPr>
              <w:spacing w:before="100" w:beforeAutospacing="1" w:after="100" w:afterAutospacing="1"/>
              <w:ind w:firstLine="440"/>
              <w:jc w:val="both"/>
              <w:rPr>
                <w:rFonts w:ascii="宋体" w:hAnsi="宋体" w:eastAsia="宋体" w:cs="宋体"/>
                <w:bCs/>
                <w:color w:val="auto"/>
              </w:rPr>
            </w:pPr>
            <w:r>
              <w:rPr>
                <w:rFonts w:hint="eastAsia" w:ascii="宋体" w:hAnsi="宋体" w:eastAsia="宋体" w:cs="宋体"/>
                <w:bCs/>
                <w:color w:val="auto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96" w:type="dxa"/>
            <w:vAlign w:val="center"/>
          </w:tcPr>
          <w:p>
            <w:pPr>
              <w:spacing w:before="100" w:beforeAutospacing="1" w:after="100" w:afterAutospacing="1"/>
              <w:ind w:firstLine="0" w:firstLineChars="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PR-SLWU-1.1</w:t>
            </w:r>
          </w:p>
        </w:tc>
        <w:tc>
          <w:tcPr>
            <w:tcW w:w="1701" w:type="dxa"/>
            <w:vAlign w:val="center"/>
          </w:tcPr>
          <w:p>
            <w:pPr>
              <w:snapToGrid w:val="0"/>
              <w:ind w:firstLine="44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唤醒条件</w:t>
            </w:r>
          </w:p>
        </w:tc>
        <w:tc>
          <w:tcPr>
            <w:tcW w:w="4253" w:type="dxa"/>
            <w:vAlign w:val="center"/>
          </w:tcPr>
          <w:p>
            <w:pPr>
              <w:spacing w:line="288" w:lineRule="auto"/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KL15上电</w:t>
            </w:r>
          </w:p>
        </w:tc>
        <w:tc>
          <w:tcPr>
            <w:tcW w:w="1926" w:type="dxa"/>
            <w:vMerge w:val="restart"/>
            <w:vAlign w:val="center"/>
          </w:tcPr>
          <w:p>
            <w:pPr>
              <w:snapToGrid w:val="0"/>
              <w:ind w:firstLine="0" w:firstLineChars="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供电由HPC控制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696" w:type="dxa"/>
            <w:vAlign w:val="center"/>
          </w:tcPr>
          <w:p>
            <w:pPr>
              <w:spacing w:before="100" w:beforeAutospacing="1" w:after="100" w:afterAutospacing="1"/>
              <w:ind w:firstLine="0" w:firstLineChars="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PR-SLWU-1.2</w:t>
            </w:r>
          </w:p>
        </w:tc>
        <w:tc>
          <w:tcPr>
            <w:tcW w:w="1701" w:type="dxa"/>
            <w:vAlign w:val="center"/>
          </w:tcPr>
          <w:p>
            <w:pPr>
              <w:snapToGrid w:val="0"/>
              <w:ind w:firstLine="44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休眠条件</w:t>
            </w:r>
          </w:p>
          <w:p>
            <w:pPr>
              <w:snapToGrid w:val="0"/>
              <w:ind w:firstLine="440"/>
              <w:jc w:val="both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休眠状态</w:t>
            </w:r>
          </w:p>
        </w:tc>
        <w:tc>
          <w:tcPr>
            <w:tcW w:w="4253" w:type="dxa"/>
            <w:vAlign w:val="center"/>
          </w:tcPr>
          <w:p>
            <w:pPr>
              <w:spacing w:line="288" w:lineRule="auto"/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KL15下电</w:t>
            </w:r>
          </w:p>
        </w:tc>
        <w:tc>
          <w:tcPr>
            <w:tcW w:w="1926" w:type="dxa"/>
            <w:vMerge w:val="continue"/>
            <w:vAlign w:val="center"/>
          </w:tcPr>
          <w:p>
            <w:pPr>
              <w:snapToGrid w:val="0"/>
              <w:ind w:firstLine="440"/>
              <w:jc w:val="both"/>
              <w:rPr>
                <w:rFonts w:ascii="宋体" w:hAnsi="宋体" w:eastAsia="宋体" w:cs="宋体"/>
                <w:color w:val="auto"/>
              </w:rPr>
            </w:pPr>
          </w:p>
        </w:tc>
      </w:tr>
    </w:tbl>
    <w:p>
      <w:pPr>
        <w:ind w:firstLine="0" w:firstLineChars="0"/>
        <w:rPr>
          <w:b/>
        </w:rPr>
      </w:pPr>
    </w:p>
    <w:p>
      <w:pPr>
        <w:ind w:firstLine="0" w:firstLineChars="0"/>
        <w:rPr>
          <w:b/>
        </w:rPr>
      </w:pPr>
    </w:p>
    <w:p>
      <w:pPr>
        <w:numPr>
          <w:ilvl w:val="0"/>
          <w:numId w:val="23"/>
        </w:numPr>
        <w:spacing w:before="120" w:after="120"/>
        <w:ind w:firstLine="0" w:firstLineChars="0"/>
        <w:outlineLvl w:val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bookmarkStart w:id="34" w:name="_Toc154242091"/>
      <w:bookmarkStart w:id="35" w:name="_Toc18034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接口及性能需求</w:t>
      </w:r>
      <w:bookmarkEnd w:id="34"/>
      <w:bookmarkEnd w:id="35"/>
    </w:p>
    <w:tbl>
      <w:tblPr>
        <w:tblStyle w:val="23"/>
        <w:tblW w:w="93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1"/>
        <w:gridCol w:w="1677"/>
        <w:gridCol w:w="895"/>
        <w:gridCol w:w="1144"/>
        <w:gridCol w:w="1433"/>
        <w:gridCol w:w="2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连接器名称</w:t>
            </w:r>
          </w:p>
        </w:tc>
        <w:tc>
          <w:tcPr>
            <w:tcW w:w="7919" w:type="dxa"/>
            <w:gridSpan w:val="5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方向盘接时钟弹簧端连接器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连接器型号</w:t>
            </w:r>
          </w:p>
        </w:tc>
        <w:tc>
          <w:tcPr>
            <w:tcW w:w="7919" w:type="dxa"/>
            <w:gridSpan w:val="5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JAE: IL-AGI0-8S-S3C1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2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连接器照片</w:t>
            </w:r>
          </w:p>
        </w:tc>
        <w:tc>
          <w:tcPr>
            <w:tcW w:w="7919" w:type="dxa"/>
            <w:gridSpan w:val="5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drawing>
                <wp:inline distT="0" distB="0" distL="0" distR="0">
                  <wp:extent cx="2353945" cy="1517015"/>
                  <wp:effectExtent l="0" t="0" r="8255" b="6985"/>
                  <wp:docPr id="1032" name="图片 51" descr="屏幕剪辑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" name="图片 51" descr="屏幕剪辑"/>
                          <pic:cNvPicPr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945" cy="151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797685" cy="1266825"/>
                  <wp:effectExtent l="0" t="0" r="12065" b="9525"/>
                  <wp:docPr id="1033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" name="图片 7"/>
                          <pic:cNvPicPr/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8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管脚</w:t>
            </w:r>
            <w:r>
              <w:rPr>
                <w:rFonts w:ascii="Arial" w:hAnsi="Arial"/>
                <w:sz w:val="18"/>
                <w:szCs w:val="18"/>
              </w:rPr>
              <w:t>序号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管脚名称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信号特性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额定功率(W)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特殊电揽</w:t>
            </w:r>
          </w:p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（双绞/屏蔽）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1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SWS电源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2.4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2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CANH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差分信号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1.2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3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CANL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差分信号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1.2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4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SWS接地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2.4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5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灯带背光+（预留）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6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灯带反馈1（预留）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7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灯带反馈2（预留）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  <w:jc w:val="center"/>
        </w:trPr>
        <w:tc>
          <w:tcPr>
            <w:tcW w:w="14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8</w:t>
            </w:r>
          </w:p>
        </w:tc>
        <w:tc>
          <w:tcPr>
            <w:tcW w:w="167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灯带背光-（预留）</w:t>
            </w:r>
          </w:p>
        </w:tc>
        <w:tc>
          <w:tcPr>
            <w:tcW w:w="8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14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143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  <w:tc>
          <w:tcPr>
            <w:tcW w:w="2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ind w:firstLine="0" w:firstLineChars="0"/>
              <w:rPr>
                <w:rFonts w:ascii="Arial" w:hAnsi="Arial"/>
                <w:sz w:val="18"/>
                <w:szCs w:val="18"/>
              </w:rPr>
            </w:pPr>
            <w:r>
              <w:rPr>
                <w:rFonts w:hint="eastAsia" w:ascii="Arial" w:hAnsi="Arial"/>
                <w:sz w:val="18"/>
                <w:szCs w:val="18"/>
              </w:rPr>
              <w:t>/</w:t>
            </w:r>
          </w:p>
        </w:tc>
      </w:tr>
    </w:tbl>
    <w:p>
      <w:pPr>
        <w:numPr>
          <w:ilvl w:val="0"/>
          <w:numId w:val="24"/>
        </w:numPr>
        <w:spacing w:before="120" w:after="120"/>
        <w:ind w:firstLine="0" w:firstLineChars="0"/>
        <w:outlineLvl w:val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bookmarkStart w:id="36" w:name="_Toc14692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交互信号</w:t>
      </w:r>
      <w:bookmarkEnd w:id="36"/>
    </w:p>
    <w:p>
      <w:pPr>
        <w:numPr>
          <w:ilvl w:val="0"/>
          <w:numId w:val="0"/>
        </w:numPr>
        <w:spacing w:before="120" w:after="120"/>
        <w:outlineLvl w:val="9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接收的信号（Rx）</w:t>
      </w:r>
    </w:p>
    <w:tbl>
      <w:tblPr>
        <w:tblStyle w:val="23"/>
        <w:tblpPr w:leftFromText="180" w:rightFromText="180" w:vertAnchor="text" w:horzAnchor="page" w:tblpX="852" w:tblpY="585"/>
        <w:tblOverlap w:val="never"/>
        <w:tblW w:w="96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2"/>
        <w:gridCol w:w="2683"/>
        <w:gridCol w:w="2795"/>
        <w:gridCol w:w="2275"/>
        <w:gridCol w:w="10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Num</w:t>
            </w:r>
          </w:p>
        </w:tc>
        <w:tc>
          <w:tcPr>
            <w:tcW w:w="2683" w:type="dxa"/>
            <w:vAlign w:val="center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CAN 信号</w:t>
            </w:r>
          </w:p>
        </w:tc>
        <w:tc>
          <w:tcPr>
            <w:tcW w:w="2795" w:type="dxa"/>
            <w:vAlign w:val="center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信号描述</w:t>
            </w:r>
          </w:p>
        </w:tc>
        <w:tc>
          <w:tcPr>
            <w:tcW w:w="2275" w:type="dxa"/>
          </w:tcPr>
          <w:p>
            <w:pPr>
              <w:ind w:firstLine="44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Value</w:t>
            </w:r>
          </w:p>
        </w:tc>
        <w:tc>
          <w:tcPr>
            <w:tcW w:w="1048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信号定义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1</w:t>
            </w:r>
          </w:p>
        </w:tc>
        <w:tc>
          <w:tcPr>
            <w:tcW w:w="2683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BCM_BackLightCtrl</w:t>
            </w:r>
          </w:p>
        </w:tc>
        <w:tc>
          <w:tcPr>
            <w:tcW w:w="2795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背景光灯控制</w:t>
            </w:r>
          </w:p>
        </w:tc>
        <w:tc>
          <w:tcPr>
            <w:tcW w:w="227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0x0:No active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0x1:Active</w:t>
            </w:r>
          </w:p>
        </w:tc>
        <w:tc>
          <w:tcPr>
            <w:tcW w:w="1048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51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1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2</w:t>
            </w:r>
          </w:p>
        </w:tc>
        <w:tc>
          <w:tcPr>
            <w:tcW w:w="2683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GW_CRC_3BA</w:t>
            </w:r>
          </w:p>
        </w:tc>
        <w:tc>
          <w:tcPr>
            <w:tcW w:w="2795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校验位</w:t>
            </w:r>
          </w:p>
        </w:tc>
        <w:tc>
          <w:tcPr>
            <w:tcW w:w="227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0-255</w:t>
            </w:r>
          </w:p>
        </w:tc>
        <w:tc>
          <w:tcPr>
            <w:tcW w:w="1048" w:type="dxa"/>
            <w:vAlign w:val="center"/>
          </w:tcPr>
          <w:p>
            <w:pPr>
              <w:ind w:firstLine="0" w:firstLineChars="0"/>
              <w:jc w:val="both"/>
              <w:textAlignment w:val="center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0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8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3</w:t>
            </w:r>
          </w:p>
        </w:tc>
        <w:tc>
          <w:tcPr>
            <w:tcW w:w="2683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GW_RollingCounter_3BA</w:t>
            </w:r>
          </w:p>
        </w:tc>
        <w:tc>
          <w:tcPr>
            <w:tcW w:w="2795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生命信号</w:t>
            </w:r>
          </w:p>
        </w:tc>
        <w:tc>
          <w:tcPr>
            <w:tcW w:w="227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0-15</w:t>
            </w:r>
          </w:p>
        </w:tc>
        <w:tc>
          <w:tcPr>
            <w:tcW w:w="1048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8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64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4</w:t>
            </w:r>
          </w:p>
        </w:tc>
        <w:tc>
          <w:tcPr>
            <w:tcW w:w="2683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GW_IBC_VehicleSpeed</w:t>
            </w:r>
          </w:p>
        </w:tc>
        <w:tc>
          <w:tcPr>
            <w:tcW w:w="2795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IBC车速</w:t>
            </w:r>
          </w:p>
        </w:tc>
        <w:tc>
          <w:tcPr>
            <w:tcW w:w="227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0-450(精度：0.01)</w:t>
            </w:r>
          </w:p>
        </w:tc>
        <w:tc>
          <w:tcPr>
            <w:tcW w:w="1048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32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16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3" w:hRule="atLeast"/>
        </w:trPr>
        <w:tc>
          <w:tcPr>
            <w:tcW w:w="832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5</w:t>
            </w:r>
          </w:p>
        </w:tc>
        <w:tc>
          <w:tcPr>
            <w:tcW w:w="2683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GW_IBC_VehicleSpeedVD</w:t>
            </w:r>
          </w:p>
        </w:tc>
        <w:tc>
          <w:tcPr>
            <w:tcW w:w="2795" w:type="dxa"/>
            <w:vAlign w:val="center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IBC车速信号有效性</w:t>
            </w:r>
          </w:p>
        </w:tc>
        <w:tc>
          <w:tcPr>
            <w:tcW w:w="2275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0x0:Valid</w:t>
            </w:r>
          </w:p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0x1:Invalid</w:t>
            </w:r>
          </w:p>
        </w:tc>
        <w:tc>
          <w:tcPr>
            <w:tcW w:w="1048" w:type="dxa"/>
          </w:tcPr>
          <w:p>
            <w:pPr>
              <w:ind w:firstLine="0" w:firstLineChars="0"/>
              <w:rPr>
                <w:rFonts w:ascii="宋体" w:hAnsi="宋体" w:eastAsia="宋体" w:cs="宋体"/>
                <w:color w:val="auto"/>
              </w:rPr>
            </w:pP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(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48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,</w:t>
            </w:r>
            <w:r>
              <w:rPr>
                <w:rFonts w:hint="eastAsia" w:ascii="Arial" w:hAnsi="Arial" w:eastAsia="等线" w:cs="Arial"/>
                <w:kern w:val="0"/>
                <w:sz w:val="20"/>
                <w:szCs w:val="20"/>
              </w:rPr>
              <w:t>1</w:t>
            </w:r>
            <w:r>
              <w:rPr>
                <w:rFonts w:ascii="Arial" w:hAnsi="Arial" w:eastAsia="等线" w:cs="Arial"/>
                <w:kern w:val="0"/>
                <w:sz w:val="20"/>
                <w:szCs w:val="20"/>
              </w:rPr>
              <w:t>)</w:t>
            </w:r>
          </w:p>
        </w:tc>
      </w:tr>
    </w:tbl>
    <w:p>
      <w:pPr>
        <w:numPr>
          <w:ilvl w:val="0"/>
          <w:numId w:val="0"/>
        </w:numPr>
        <w:spacing w:before="120" w:after="120"/>
        <w:rPr>
          <w:rFonts w:ascii="微软雅黑" w:hAnsi="微软雅黑" w:eastAsia="微软雅黑" w:cs="微软雅黑"/>
          <w:color w:val="auto"/>
          <w:sz w:val="28"/>
          <w:szCs w:val="28"/>
        </w:rPr>
      </w:pPr>
    </w:p>
    <w:p>
      <w:pPr>
        <w:numPr>
          <w:ilvl w:val="0"/>
          <w:numId w:val="0"/>
        </w:numPr>
        <w:spacing w:before="120" w:after="12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  <w:r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  <w:t>发送的信号（Tx）</w:t>
      </w:r>
    </w:p>
    <w:tbl>
      <w:tblPr>
        <w:tblStyle w:val="23"/>
        <w:tblpPr w:leftFromText="180" w:rightFromText="180" w:vertAnchor="text" w:horzAnchor="page" w:tblpX="848" w:tblpY="584"/>
        <w:tblOverlap w:val="never"/>
        <w:tblW w:w="947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7"/>
        <w:gridCol w:w="3573"/>
        <w:gridCol w:w="2595"/>
        <w:gridCol w:w="1283"/>
        <w:gridCol w:w="10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ind w:firstLine="0" w:firstLineChars="0"/>
              <w:rPr>
                <w:rFonts w:hint="eastAsia" w:ascii="宋体" w:hAnsi="宋体" w:eastAsia="宋体" w:cs="宋体"/>
                <w:color w:val="auto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Num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ind w:left="0" w:leftChars="0" w:firstLine="0" w:firstLineChars="0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color w:val="auto"/>
              </w:rPr>
              <w:t>CAN 信号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信号描述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Value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信号定义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宋体" w:hAnsi="宋体" w:eastAsia="宋体" w:cs="宋体"/>
                <w:color w:val="auto"/>
                <w:lang w:val="en-US" w:eastAsia="zh-CN"/>
              </w:rPr>
              <w:t>1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SWB_PowerUVFault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电源电压欠压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(0,1)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2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SWB_PowerOVFault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电源电压过压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(1,1)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3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SWB_LRollerLeft_KeyStranded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左滚轮左拨按键卡滞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(2,1)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4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SWB_LRollerRight_KeyStranded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左滚轮右拨按键卡滞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(3,1)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5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SWB_LRollerPress_KeyStranded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左滚轮按下按键卡滞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(4,1)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6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SWB_RRollerLeft_KeyStranded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右滚轮左拨按键卡滞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(5,1)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7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SWB_RRollerRight_KeyStranded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右滚轮右拨按键卡滞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(6,1)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8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SWB_RRollerPress_KeyStranded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右滚轮按下按键卡滞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(7,1)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9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SWB_LRollerPress_KeyStranded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左自定义按键卡滞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(8,1)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SWB_RRollerPress_KeyStranded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右自定义按键卡滞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(9,1)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11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SWB_VoiceButton_KeyStranded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语音唤醒按键卡滞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(10,1)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12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SWB_CAN_BusOff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CAN</w:t>
            </w: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总线关闭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(11,1)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13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SWB_CanCommHPC_MissMsg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与HPC</w:t>
            </w: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通信丢失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0x0:no fault</w:t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0x1:fault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(12,1)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" w:hRule="atLeast"/>
        </w:trPr>
        <w:tc>
          <w:tcPr>
            <w:tcW w:w="92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14</w:t>
            </w:r>
          </w:p>
        </w:tc>
        <w:tc>
          <w:tcPr>
            <w:tcW w:w="35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Reserved</w:t>
            </w:r>
          </w:p>
        </w:tc>
        <w:tc>
          <w:tcPr>
            <w:tcW w:w="25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保留位</w:t>
            </w:r>
          </w:p>
        </w:tc>
        <w:tc>
          <w:tcPr>
            <w:tcW w:w="1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0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left"/>
              <w:textAlignment w:val="center"/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default" w:ascii="Arial" w:hAnsi="Arial" w:eastAsia="等线" w:cs="Arial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  <w14:ligatures w14:val="standardContextual"/>
              </w:rPr>
              <w:t>(13,51)</w:t>
            </w:r>
          </w:p>
        </w:tc>
      </w:tr>
    </w:tbl>
    <w:p>
      <w:pPr>
        <w:spacing w:before="120" w:after="120"/>
        <w:ind w:firstLine="0" w:firstLineChars="0"/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</w:p>
    <w:p>
      <w:pPr>
        <w:numPr>
          <w:ilvl w:val="0"/>
          <w:numId w:val="24"/>
        </w:numPr>
        <w:spacing w:before="120" w:after="120"/>
        <w:ind w:firstLine="0" w:firstLineChars="0"/>
        <w:outlineLvl w:val="0"/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</w:pPr>
      <w:bookmarkStart w:id="37" w:name="_Toc15391"/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</w:rPr>
        <w:t>诊断通用要求：</w:t>
      </w:r>
      <w:bookmarkEnd w:id="37"/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诊断协议如下：</w:t>
      </w:r>
      <w:r>
        <w:rPr>
          <w:rFonts w:hint="eastAsia" w:ascii="微软雅黑" w:hAnsi="微软雅黑" w:eastAsia="微软雅黑" w:cs="微软雅黑"/>
          <w:b/>
          <w:sz w:val="28"/>
          <w:szCs w:val="28"/>
        </w:rPr>
        <w:t xml:space="preserve">                              </w:t>
      </w: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 w:val="0"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 w:val="0"/>
          <w:bCs/>
          <w:sz w:val="28"/>
          <w:szCs w:val="28"/>
        </w:rPr>
        <w:t xml:space="preserve">$19 DTC list故障码列表 </w:t>
      </w:r>
    </w:p>
    <w:tbl>
      <w:tblPr>
        <w:tblStyle w:val="23"/>
        <w:tblW w:w="944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61"/>
        <w:gridCol w:w="1696"/>
        <w:gridCol w:w="1273"/>
        <w:gridCol w:w="1400"/>
        <w:gridCol w:w="40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1061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No.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序号</w:t>
            </w:r>
          </w:p>
        </w:tc>
        <w:tc>
          <w:tcPr>
            <w:tcW w:w="1696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DTC Display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 xml:space="preserve">DTC </w:t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显示码</w:t>
            </w:r>
          </w:p>
        </w:tc>
        <w:tc>
          <w:tcPr>
            <w:tcW w:w="1273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H&amp;M Byte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高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&amp;</w:t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中字节</w:t>
            </w:r>
          </w:p>
        </w:tc>
        <w:tc>
          <w:tcPr>
            <w:tcW w:w="1400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Faults Types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vertAlign w:val="superscript"/>
                <w:lang w:val="en-US" w:eastAsia="zh-CN" w:bidi="ar"/>
                <w14:ligatures w14:val="standardContextual"/>
              </w:rPr>
              <w:t>1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低字节</w:t>
            </w:r>
          </w:p>
        </w:tc>
        <w:tc>
          <w:tcPr>
            <w:tcW w:w="4011" w:type="dxa"/>
            <w:vMerge w:val="restar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Chinese translation of  DTC name</w:t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default" w:ascii="Arial" w:hAnsi="Arial" w:eastAsia="宋体" w:cs="Arial"/>
                <w:b/>
                <w:i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DTC</w:t>
            </w:r>
            <w:r>
              <w:rPr>
                <w:rStyle w:val="59"/>
                <w:rFonts w:eastAsia="宋体"/>
                <w:color w:val="000000"/>
                <w:lang w:val="en-US" w:eastAsia="zh-CN" w:bidi="ar"/>
                <w14:ligatures w14:val="standardContextual"/>
              </w:rPr>
              <w:t>名称中文翻译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2" w:hRule="atLeast"/>
        </w:trPr>
        <w:tc>
          <w:tcPr>
            <w:tcW w:w="1061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1696" w:type="dxa"/>
            <w:vMerge w:val="continue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1273" w:type="dxa"/>
            <w:vMerge w:val="continue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1400" w:type="dxa"/>
            <w:vMerge w:val="continue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</w:p>
        </w:tc>
        <w:tc>
          <w:tcPr>
            <w:tcW w:w="4011" w:type="dxa"/>
            <w:vMerge w:val="continue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Arial" w:hAnsi="Arial" w:eastAsia="宋体" w:cs="Arial"/>
                <w:b/>
                <w:i/>
                <w:color w:val="000000"/>
                <w:sz w:val="18"/>
                <w:szCs w:val="18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B228016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A280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16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电源电压欠压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2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B228017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A280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17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电源电压过压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3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B228104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A281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左滚轮左拨按键卡滞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4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B228204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A282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左滚轮右拨按键卡滞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5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B228304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A283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左滚轮按下按键卡滞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6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B228404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A284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右滚轮左拨按键卡滞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7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B228504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A285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右滚轮右拨按键卡滞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8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B228604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A286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右滚轮按下按键卡滞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9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B228704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A287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解锁按下按键卡滞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B228804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A288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左自定义按键切换卡滞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11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B228904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A289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右自定义按键切换卡滞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12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B228A04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A28A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04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语音唤醒按键卡滞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13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U008388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C073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88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CAN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总线关闭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 w:hRule="atLeast"/>
        </w:trPr>
        <w:tc>
          <w:tcPr>
            <w:tcW w:w="1061" w:type="dxa"/>
            <w:tcBorders>
              <w:top w:val="single" w:color="000000" w:sz="4" w:space="0"/>
              <w:left w:val="single" w:color="000000" w:sz="8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14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U122087</w:t>
            </w:r>
          </w:p>
        </w:tc>
        <w:tc>
          <w:tcPr>
            <w:tcW w:w="12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D220</w:t>
            </w:r>
          </w:p>
        </w:tc>
        <w:tc>
          <w:tcPr>
            <w:tcW w:w="14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Arial" w:hAnsi="Arial" w:eastAsia="宋体" w:cs="Arial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87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与</w:t>
            </w:r>
            <w:r>
              <w:rPr>
                <w:rFonts w:hint="default" w:ascii="Arial" w:hAnsi="Arial" w:eastAsia="宋体" w:cs="Arial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HPC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  <w14:ligatures w14:val="standardContextual"/>
              </w:rPr>
              <w:t>通信丢失</w:t>
            </w:r>
          </w:p>
        </w:tc>
      </w:tr>
    </w:tbl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8"/>
          <w:szCs w:val="28"/>
        </w:rPr>
      </w:pPr>
    </w:p>
    <w:p>
      <w:pPr>
        <w:ind w:left="0" w:leftChars="0" w:firstLine="0" w:firstLineChars="0"/>
        <w:rPr>
          <w:rFonts w:hint="eastAsia" w:ascii="微软雅黑" w:hAnsi="微软雅黑" w:eastAsia="微软雅黑" w:cs="微软雅黑"/>
          <w:b/>
          <w:sz w:val="28"/>
          <w:szCs w:val="28"/>
        </w:rPr>
      </w:pPr>
    </w:p>
    <w:p>
      <w:pPr>
        <w:widowControl/>
        <w:ind w:left="0" w:leftChars="0" w:firstLine="0" w:firstLineChars="0"/>
        <w:jc w:val="left"/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  <w:r>
        <w:rPr>
          <w:rFonts w:hint="eastAsia" w:ascii="微软雅黑" w:hAnsi="微软雅黑" w:eastAsia="微软雅黑" w:cs="微软雅黑"/>
          <w:kern w:val="0"/>
          <w:sz w:val="28"/>
          <w:szCs w:val="28"/>
          <w:lang w:bidi="ar"/>
        </w:rPr>
        <w:t>版本信息的读取采用服务#22H—“通过标识符读取数据信息”来实现。</w:t>
      </w:r>
    </w:p>
    <w:tbl>
      <w:tblPr>
        <w:tblStyle w:val="23"/>
        <w:tblW w:w="94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12"/>
        <w:gridCol w:w="707"/>
        <w:gridCol w:w="1147"/>
        <w:gridCol w:w="664"/>
        <w:gridCol w:w="690"/>
        <w:gridCol w:w="625"/>
        <w:gridCol w:w="1108"/>
        <w:gridCol w:w="743"/>
        <w:gridCol w:w="1148"/>
        <w:gridCol w:w="889"/>
        <w:gridCol w:w="10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712" w:type="dxa"/>
            <w:vMerge w:val="restart"/>
            <w:tcBorders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Num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序号</w:t>
            </w:r>
          </w:p>
        </w:tc>
        <w:tc>
          <w:tcPr>
            <w:tcW w:w="707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 Num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号</w:t>
            </w:r>
          </w:p>
        </w:tc>
        <w:tc>
          <w:tcPr>
            <w:tcW w:w="1147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 Description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描述</w:t>
            </w:r>
          </w:p>
        </w:tc>
        <w:tc>
          <w:tcPr>
            <w:tcW w:w="664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Size</w:t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(Bytes)</w:t>
            </w:r>
          </w:p>
        </w:tc>
        <w:tc>
          <w:tcPr>
            <w:tcW w:w="690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Byte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</w:p>
        </w:tc>
        <w:tc>
          <w:tcPr>
            <w:tcW w:w="625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位</w:t>
            </w:r>
          </w:p>
        </w:tc>
        <w:tc>
          <w:tcPr>
            <w:tcW w:w="1108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Default value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默认值</w:t>
            </w:r>
          </w:p>
        </w:tc>
        <w:tc>
          <w:tcPr>
            <w:tcW w:w="743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Data Type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数据类型</w:t>
            </w:r>
          </w:p>
        </w:tc>
        <w:tc>
          <w:tcPr>
            <w:tcW w:w="1148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 Description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数据描述</w:t>
            </w:r>
          </w:p>
        </w:tc>
        <w:tc>
          <w:tcPr>
            <w:tcW w:w="889" w:type="dxa"/>
            <w:vMerge w:val="restart"/>
            <w:tcBorders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Content</w:t>
            </w:r>
          </w:p>
        </w:tc>
        <w:tc>
          <w:tcPr>
            <w:tcW w:w="1008" w:type="dxa"/>
            <w:vMerge w:val="restart"/>
            <w:tcBorders>
              <w:left w:val="single" w:color="000000" w:sz="4" w:space="0"/>
              <w:bottom w:val="nil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Comments / Information</w:t>
            </w:r>
            <w:r>
              <w:rPr>
                <w:rStyle w:val="4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49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2" w:hRule="atLeast"/>
        </w:trPr>
        <w:tc>
          <w:tcPr>
            <w:tcW w:w="712" w:type="dxa"/>
            <w:vMerge w:val="continue"/>
            <w:tcBorders>
              <w:top w:val="nil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707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147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664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690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C0C0C0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625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108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743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148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008" w:type="dxa"/>
            <w:vMerge w:val="continue"/>
            <w:tcBorders>
              <w:top w:val="nil"/>
              <w:left w:val="single" w:color="000000" w:sz="4" w:space="0"/>
              <w:bottom w:val="nil"/>
            </w:tcBorders>
            <w:shd w:val="clear" w:color="auto" w:fill="BFBFBF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b/>
                <w:i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9441" w:type="dxa"/>
            <w:gridSpan w:val="11"/>
            <w:tcBorders>
              <w:top w:val="single" w:color="000000" w:sz="4" w:space="0"/>
              <w:bottom w:val="single" w:color="000000" w:sz="4" w:space="0"/>
            </w:tcBorders>
            <w:shd w:val="clear" w:color="auto" w:fill="8DB4E2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0200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Programming Counter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编程次数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15-1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15-0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0x00 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此计数器在成功完成重编程后由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Bootloader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自动递增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，计数器数值不应包含在更新包中，重编程不擦除，当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数值达到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65535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后保持并不再增加。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0201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3366CC"/>
                <w:sz w:val="10"/>
                <w:szCs w:val="10"/>
                <w:u w:val="none"/>
              </w:rPr>
            </w:pPr>
            <w:r>
              <w:rPr>
                <w:rStyle w:val="54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Programming Attempts Counter</w:t>
            </w:r>
            <w:r>
              <w:rPr>
                <w:rStyle w:val="54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5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尝试编程次数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此计数器在每次尝试重编程，擦除存储器后，由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Bootloader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自动递增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，如成功完成重编程则重置为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，重编程不擦除，当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数值达到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255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后保持并不再增加。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3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F180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Primary Bootloader Version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主引导加载程序版本号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0.00.01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主引导加载程序版本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[ 7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ASCII]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，供应商提供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包含在软件包中，随重编程更新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6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F186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Current Diagnostic Session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当前诊断会话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0x01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默认会话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0x02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编程会话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0x03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扩展会话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0x04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安全系统会话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both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8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5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FF00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Diagnosis Specification Version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诊断版本号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4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4-1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0x02010001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诊断版本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[ 4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16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进制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] 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：零跑诊断规范主版本号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2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：零跑诊断规范次版本号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：供应商诊断软件主版本号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2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：供应商诊断软件次版本号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例：零跑诊断规范为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2.1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版，供应商诊断软件版本为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3.2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版本则该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的内容为：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0x02 0x01 0x03 0x02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由供应商提供包含在软件包中，仅随重编程更新。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84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6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F188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Manufacturer ECU Software Number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主机厂</w:t>
            </w: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软件号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19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19-1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/>
              </w:rPr>
            </w:pPr>
            <w:r>
              <w:rPr>
                <w:rFonts w:hint="default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/>
              </w:rPr>
              <w:t>LPA120SWN7BPO1SWB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LPA110SWNXXX01ECU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LP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：零跑汽车识别码；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A11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：项目名称；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：变种、改款（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A-Z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SWN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：软件号；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XXX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：供应商识别码（与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F18A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内容一致）；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：软件号迭代码（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00-ZZ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名称（如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BMS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、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VCU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、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ESC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等，不足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位时以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在最右侧补齐）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只有在软件不可兼容之前的版本时变更此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DID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主机厂管控的软件号，固化在控制器中（仅工厂模式可更改），唯一的软件识别码，用于识别软件是否兼容，当软件号一致时，代表软件兼容，可以互刷。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F189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Manufacturer ECU Software Version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主机厂软件版本号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300" w:firstLineChars="30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0.00.04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车辆厂商软件版本号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包含在软件包中，随重编程更新，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OTA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关联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8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F195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3366CC"/>
                <w:sz w:val="10"/>
                <w:szCs w:val="10"/>
                <w:u w:val="none"/>
              </w:rPr>
            </w:pPr>
            <w:r>
              <w:rPr>
                <w:rStyle w:val="54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System Supplier ECU Software Version</w:t>
            </w:r>
            <w:r>
              <w:rPr>
                <w:rStyle w:val="55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5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系统供应商</w:t>
            </w:r>
            <w:r>
              <w:rPr>
                <w:rStyle w:val="54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5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软件版本号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0.00.01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包含在软件包中，随重编程更新（公告内容）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9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F191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Manufacturer ECU Hardware Number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主机厂</w:t>
            </w: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硬件号（主板序列号）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29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29-1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 w:eastAsia="zh-CN"/>
              </w:rPr>
              <w:t>FM33LG02A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29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位时，使用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重编程不更新，固化在控制器中（仅工厂模式可更改），唯一的硬件识别码，一般情况下整个生命周期中仅有一个硬件号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F193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Manufacturer ECU Hardware Version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系统供应商</w:t>
            </w: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硬件版本号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0.00.01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车辆厂商硬件件版本号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包含在软件包中，随重编程更新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11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F150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0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System Supplier ECU Hardware Version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主机厂</w:t>
            </w: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ECU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硬件版本号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0.00.01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包含在软件包中，随重编程更新（公告内容）OTA关联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12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F182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Calibration Software Version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标定软件版本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10-1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79-0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  <w:t>1.01.0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 w:eastAsia="zh-CN"/>
              </w:rPr>
              <w:t xml:space="preserve">5 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  <w:t>24090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  <w:lang w:val="en-US" w:eastAsia="zh-CN"/>
              </w:rPr>
              <w:t>9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包含在软件包中，随重编程更新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使用数字和符号" . "从左到右命名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例：版本号：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1.23.45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（使用数字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0-9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和符号”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. ”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），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不足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字节则以</w:t>
            </w:r>
            <w:r>
              <w:rPr>
                <w:rStyle w:val="57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6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在最右侧补齐。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13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F187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Manufacturer Spare Part Number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物料号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19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19-1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5025374-AA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由零跑BOM定义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重编程不更新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,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固化在控制器中（仅工厂模式可更改）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使用字母和数字从左到右命名，不允许使用特殊符号，未使用的字节应在最右侧并用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Null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）填充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14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F18A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System Supplier Identifier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系统供应商识别码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3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3-1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2" w:themeFill="accent1" w:themeFillTint="32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7BP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包含在软件包中，随重编程更新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17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F190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VIN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车辆识别码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17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17-1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全为0x00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固定，重编程不擦除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EMS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在整个车辆生命周期中仅允许写入一次，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UDS 2E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服务写入后能通过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UDS 22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或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OBD 09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服务读出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18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F197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System Name or Engine Type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产品型号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16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16-1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LP-SWB080-AA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固定，包含在软件包中，随重编程更新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从左到右命名，未使用的字节应在最右侧并用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（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Null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）填充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8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19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F198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Repair Shop Code or Tester Serial Number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外部工具序列号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16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16-1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全为0x00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ASC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外部工具序列号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[16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ASCII]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，刷写时由诊断仪或上位机自动获取写入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20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F199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Programming Data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重编程日期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4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4-1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全为0x00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BCD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 xml:space="preserve">字节0-1：年(例：2021) 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 xml:space="preserve">字节2：月(例：12) 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字节3：日(例：08)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重编程日期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[4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BCD]</w:t>
            </w: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40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21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F1ED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安全刷写失败原因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原因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 xml:space="preserve"> [1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字节，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HEX]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：文件合法性校验失败；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：数据完整性校验失败；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Bit2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Bit3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Bit4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Bit5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Bit6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：自定义；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Bit7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：自定义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由于对应原因导致失败时将对应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bit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置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712" w:type="dxa"/>
            <w:tcBorders>
              <w:top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23</w:t>
            </w:r>
          </w:p>
        </w:tc>
        <w:tc>
          <w:tcPr>
            <w:tcW w:w="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F1EF</w:t>
            </w:r>
          </w:p>
        </w:tc>
        <w:tc>
          <w:tcPr>
            <w:tcW w:w="11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66CC"/>
                <w:sz w:val="10"/>
                <w:szCs w:val="10"/>
                <w:u w:val="none"/>
              </w:rPr>
            </w:pP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Boot&amp;App Identify</w:t>
            </w: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8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Boot&amp;App</w:t>
            </w:r>
            <w:r>
              <w:rPr>
                <w:rStyle w:val="51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区分标识</w:t>
            </w:r>
          </w:p>
        </w:tc>
        <w:tc>
          <w:tcPr>
            <w:tcW w:w="6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</w:t>
            </w:r>
          </w:p>
        </w:tc>
        <w:tc>
          <w:tcPr>
            <w:tcW w:w="6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1-1</w:t>
            </w:r>
          </w:p>
        </w:tc>
        <w:tc>
          <w:tcPr>
            <w:tcW w:w="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-</w:t>
            </w:r>
          </w:p>
        </w:tc>
        <w:tc>
          <w:tcPr>
            <w:tcW w:w="11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0x00</w:t>
            </w:r>
          </w:p>
        </w:tc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10"/>
                <w:szCs w:val="10"/>
                <w:u w:val="none"/>
                <w:lang w:val="en-US" w:eastAsia="zh-CN" w:bidi="ar"/>
                <w14:ligatures w14:val="standardContextual"/>
              </w:rPr>
              <w:t>HEX</w:t>
            </w:r>
          </w:p>
        </w:tc>
        <w:tc>
          <w:tcPr>
            <w:tcW w:w="11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0x00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：应用程序中，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0x01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Boot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程序中，</w:t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br w:type="textWrapping"/>
            </w:r>
            <w:r>
              <w:rPr>
                <w:rStyle w:val="53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Others</w:t>
            </w:r>
            <w:r>
              <w:rPr>
                <w:rStyle w:val="52"/>
                <w:rFonts w:hint="eastAsia" w:ascii="微软雅黑" w:hAnsi="微软雅黑" w:eastAsia="微软雅黑" w:cs="微软雅黑"/>
                <w:color w:val="000000"/>
                <w:sz w:val="10"/>
                <w:szCs w:val="10"/>
                <w:lang w:val="en-US" w:eastAsia="zh-CN" w:bidi="ar"/>
                <w14:ligatures w14:val="standardContextual"/>
              </w:rPr>
              <w:t>：保留</w:t>
            </w:r>
          </w:p>
        </w:tc>
        <w:tc>
          <w:tcPr>
            <w:tcW w:w="8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CE6F1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  <w:tc>
          <w:tcPr>
            <w:tcW w:w="1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CE6F1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10"/>
                <w:szCs w:val="10"/>
                <w:u w:val="none"/>
              </w:rPr>
            </w:pPr>
          </w:p>
        </w:tc>
      </w:tr>
    </w:tbl>
    <w:p>
      <w:pPr>
        <w:spacing w:before="120" w:after="120"/>
        <w:ind w:firstLine="0" w:firstLineChars="0"/>
        <w:rPr>
          <w:rFonts w:hint="eastAsia" w:ascii="微软雅黑" w:hAnsi="微软雅黑" w:eastAsia="微软雅黑" w:cs="微软雅黑"/>
          <w:color w:val="auto"/>
          <w:sz w:val="28"/>
          <w:szCs w:val="28"/>
        </w:rPr>
      </w:pPr>
    </w:p>
    <w:p>
      <w:pPr>
        <w:spacing w:before="120" w:after="120"/>
        <w:ind w:firstLine="0" w:firstLineChars="0"/>
        <w:rPr>
          <w:rFonts w:ascii="微软雅黑" w:hAnsi="微软雅黑" w:eastAsia="微软雅黑" w:cs="微软雅黑"/>
          <w:b/>
          <w:bCs/>
          <w:color w:val="auto"/>
          <w:sz w:val="28"/>
          <w:szCs w:val="28"/>
        </w:rPr>
      </w:pPr>
    </w:p>
    <w:p>
      <w:pPr>
        <w:ind w:firstLine="0" w:firstLineChars="0"/>
        <w:rPr>
          <w:b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596" w:right="1637" w:bottom="1481" w:left="852" w:header="595" w:footer="850" w:gutter="0"/>
      <w:cols w:space="720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/>
      <w:ind w:right="68" w:firstLine="360"/>
      <w:jc w:val="right"/>
      <w:rPr>
        <w:rFonts w:eastAsia="Calibri"/>
      </w:rPr>
    </w:pPr>
    <w:r>
      <w:rPr>
        <w:rFonts w:ascii="宋体" w:hAnsi="宋体" w:eastAsia="宋体" w:cs="宋体"/>
        <w:sz w:val="18"/>
      </w:rPr>
      <w:t>第</w:t>
    </w:r>
    <w:r>
      <w:rPr>
        <w:rFonts w:eastAsia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eastAsia="Times New Roman" w:cs="Times New Roman"/>
        <w:sz w:val="18"/>
      </w:rPr>
      <w:t>10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/ </w:t>
    </w:r>
    <w:r>
      <w:rPr>
        <w:rFonts w:ascii="宋体" w:hAnsi="宋体" w:eastAsia="宋体" w:cs="宋体"/>
        <w:sz w:val="18"/>
      </w:rPr>
      <w:t xml:space="preserve">共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eastAsia="Times New Roman" w:cs="Times New Roman"/>
        <w:sz w:val="18"/>
      </w:rPr>
      <w:t>11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                                        </w:t>
    </w:r>
  </w:p>
  <w:p>
    <w:pPr>
      <w:spacing w:before="120"/>
      <w:ind w:left="835" w:firstLine="360"/>
      <w:jc w:val="center"/>
    </w:pPr>
    <w:r>
      <w:rPr>
        <w:rFonts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/>
      <w:ind w:right="-832" w:firstLine="360"/>
      <w:jc w:val="right"/>
    </w:pPr>
    <w:r>
      <w:rPr>
        <w:rFonts w:eastAsia="Times New Roman" w:cs="Times New Roman"/>
        <w:sz w:val="18"/>
      </w:rPr>
      <w:t xml:space="preserve"> </w:t>
    </w:r>
  </w:p>
  <w:p>
    <w:pPr>
      <w:tabs>
        <w:tab w:val="right" w:pos="10132"/>
      </w:tabs>
      <w:spacing w:before="120"/>
      <w:ind w:right="-715" w:firstLine="360"/>
    </w:pPr>
    <w:r>
      <w:rPr>
        <w:rFonts w:eastAsia="Times New Roman" w:cs="Times New Roman"/>
        <w:sz w:val="18"/>
      </w:rPr>
      <w:t xml:space="preserve"> </w:t>
    </w:r>
    <w:r>
      <w:rPr>
        <w:rFonts w:eastAsia="Times New Roman" w:cs="Times New Roman"/>
        <w:sz w:val="18"/>
      </w:rPr>
      <w:tab/>
    </w:r>
    <w:r>
      <w:rPr>
        <w:rFonts w:ascii="宋体" w:hAnsi="宋体" w:eastAsia="宋体" w:cs="宋体"/>
        <w:sz w:val="18"/>
      </w:rPr>
      <w:t>第</w:t>
    </w:r>
    <w:r>
      <w:rPr>
        <w:rFonts w:eastAsia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eastAsia="Times New Roman" w:cs="Times New Roman"/>
        <w:sz w:val="18"/>
      </w:rPr>
      <w:t>2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/ </w:t>
    </w:r>
    <w:r>
      <w:rPr>
        <w:rFonts w:ascii="宋体" w:hAnsi="宋体" w:eastAsia="宋体" w:cs="宋体"/>
        <w:sz w:val="18"/>
      </w:rPr>
      <w:t xml:space="preserve">共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eastAsia="Times New Roman" w:cs="Times New Roman"/>
        <w:sz w:val="18"/>
      </w:rPr>
      <w:t>11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                                         </w:t>
    </w:r>
  </w:p>
  <w:p>
    <w:pPr>
      <w:spacing w:before="120"/>
      <w:ind w:left="787" w:firstLine="360"/>
      <w:jc w:val="center"/>
    </w:pPr>
    <w:r>
      <w:rPr>
        <w:rFonts w:ascii="宋体" w:hAnsi="宋体" w:eastAsia="宋体" w:cs="宋体"/>
        <w:sz w:val="18"/>
      </w:rPr>
      <w:t>部</w:t>
    </w:r>
    <w:r>
      <w:rPr>
        <w:rFonts w:eastAsia="Times New Roman" w:cs="Times New Roman"/>
        <w:sz w:val="18"/>
      </w:rPr>
      <w:t xml:space="preserve"> </w:t>
    </w:r>
  </w:p>
  <w:p>
    <w:pPr>
      <w:spacing w:before="120"/>
      <w:ind w:left="835" w:firstLine="360"/>
      <w:jc w:val="center"/>
    </w:pPr>
    <w:r>
      <w:rPr>
        <w:rFonts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/>
      <w:ind w:right="-832" w:firstLine="360"/>
      <w:jc w:val="right"/>
    </w:pPr>
    <w:r>
      <w:rPr>
        <w:rFonts w:eastAsia="Times New Roman" w:cs="Times New Roman"/>
        <w:sz w:val="18"/>
      </w:rPr>
      <w:t xml:space="preserve"> </w:t>
    </w:r>
  </w:p>
  <w:p>
    <w:pPr>
      <w:tabs>
        <w:tab w:val="right" w:pos="9356"/>
      </w:tabs>
      <w:spacing w:before="120"/>
      <w:ind w:right="-715" w:firstLine="360"/>
    </w:pPr>
    <w:r>
      <w:rPr>
        <w:rFonts w:eastAsia="Times New Roman" w:cs="Times New Roman"/>
        <w:sz w:val="18"/>
      </w:rPr>
      <w:t xml:space="preserve"> </w:t>
    </w:r>
    <w:r>
      <w:rPr>
        <w:rFonts w:eastAsia="Times New Roman" w:cs="Times New Roman"/>
        <w:sz w:val="18"/>
      </w:rPr>
      <w:tab/>
    </w:r>
    <w:r>
      <w:rPr>
        <w:rFonts w:ascii="宋体" w:hAnsi="宋体" w:eastAsia="宋体" w:cs="宋体"/>
        <w:sz w:val="18"/>
      </w:rPr>
      <w:t>第</w:t>
    </w:r>
    <w:r>
      <w:rPr>
        <w:rFonts w:eastAsia="Times New Roman" w:cs="Times New Roman"/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eastAsia="Times New Roman" w:cs="Times New Roman"/>
        <w:sz w:val="18"/>
      </w:rPr>
      <w:t>1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/ </w:t>
    </w:r>
    <w:r>
      <w:rPr>
        <w:rFonts w:ascii="宋体" w:hAnsi="宋体" w:eastAsia="宋体" w:cs="宋体"/>
        <w:sz w:val="18"/>
      </w:rPr>
      <w:t xml:space="preserve">共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eastAsia="Times New Roman" w:cs="Times New Roman"/>
        <w:sz w:val="18"/>
      </w:rPr>
      <w:t>11</w:t>
    </w:r>
    <w:r>
      <w:rPr>
        <w:rFonts w:eastAsia="Times New Roman" w:cs="Times New Roman"/>
        <w:sz w:val="18"/>
      </w:rPr>
      <w:fldChar w:fldCharType="end"/>
    </w:r>
    <w:r>
      <w:rPr>
        <w:rFonts w:eastAsia="Times New Roman" w:cs="Times New Roman"/>
        <w:sz w:val="18"/>
      </w:rPr>
      <w:t xml:space="preserve"> </w:t>
    </w:r>
    <w:r>
      <w:rPr>
        <w:rFonts w:ascii="宋体" w:hAnsi="宋体" w:eastAsia="宋体" w:cs="宋体"/>
        <w:sz w:val="18"/>
      </w:rPr>
      <w:t>页</w:t>
    </w:r>
    <w:r>
      <w:rPr>
        <w:rFonts w:eastAsia="Times New Roman" w:cs="Times New Roman"/>
        <w:sz w:val="18"/>
      </w:rPr>
      <w:t xml:space="preserve">                                         </w:t>
    </w:r>
  </w:p>
  <w:p>
    <w:pPr>
      <w:spacing w:before="120"/>
      <w:ind w:left="835" w:firstLine="360"/>
      <w:jc w:val="center"/>
    </w:pPr>
    <w:r>
      <w:rPr>
        <w:rFonts w:eastAsia="Times New Roman" w:cs="Times New Roman"/>
        <w:sz w:val="18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ADBCA7"/>
    <w:multiLevelType w:val="singleLevel"/>
    <w:tmpl w:val="89ADBCA7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>
    <w:nsid w:val="9211CC9D"/>
    <w:multiLevelType w:val="singleLevel"/>
    <w:tmpl w:val="9211CC9D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93B14771"/>
    <w:multiLevelType w:val="singleLevel"/>
    <w:tmpl w:val="93B14771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A35DAF8E"/>
    <w:multiLevelType w:val="singleLevel"/>
    <w:tmpl w:val="A35DAF8E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ACAC1077"/>
    <w:multiLevelType w:val="singleLevel"/>
    <w:tmpl w:val="ACAC1077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BA2DA5E6"/>
    <w:multiLevelType w:val="singleLevel"/>
    <w:tmpl w:val="BA2DA5E6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微软雅黑" w:hAnsi="微软雅黑" w:eastAsia="微软雅黑" w:cs="微软雅黑"/>
        <w:sz w:val="24"/>
        <w:szCs w:val="24"/>
      </w:rPr>
    </w:lvl>
  </w:abstractNum>
  <w:abstractNum w:abstractNumId="6">
    <w:nsid w:val="BDEE8067"/>
    <w:multiLevelType w:val="singleLevel"/>
    <w:tmpl w:val="BDEE8067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C0EDDEFA"/>
    <w:multiLevelType w:val="singleLevel"/>
    <w:tmpl w:val="C0EDDEFA"/>
    <w:lvl w:ilvl="0" w:tentative="0">
      <w:start w:val="1"/>
      <w:numFmt w:val="decimal"/>
      <w:suff w:val="space"/>
      <w:lvlText w:val="%1)"/>
      <w:lvlJc w:val="left"/>
    </w:lvl>
  </w:abstractNum>
  <w:abstractNum w:abstractNumId="8">
    <w:nsid w:val="D8C3268B"/>
    <w:multiLevelType w:val="singleLevel"/>
    <w:tmpl w:val="D8C3268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DEEA8F09"/>
    <w:multiLevelType w:val="singleLevel"/>
    <w:tmpl w:val="DEEA8F09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00000001"/>
    <w:multiLevelType w:val="multilevel"/>
    <w:tmpl w:val="00000001"/>
    <w:lvl w:ilvl="0" w:tentative="0">
      <w:start w:val="2"/>
      <w:numFmt w:val="decimal"/>
      <w:suff w:val="space"/>
      <w:lvlText w:val="%1."/>
      <w:lvlJc w:val="left"/>
      <w:pPr>
        <w:tabs>
          <w:tab w:val="left" w:pos="0"/>
        </w:tabs>
      </w:pPr>
      <w:rPr>
        <w:rFonts w:hint="default" w:ascii="微软雅黑" w:hAnsi="微软雅黑" w:eastAsia="微软雅黑" w:cs="微软雅黑"/>
        <w:b/>
        <w:bCs/>
        <w:sz w:val="32"/>
        <w:szCs w:val="32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0"/>
        </w:tabs>
        <w:ind w:left="0" w:firstLine="0"/>
      </w:pPr>
      <w:rPr>
        <w:rFonts w:hint="default" w:ascii="微软雅黑" w:hAnsi="微软雅黑" w:eastAsia="微软雅黑" w:cs="微软雅黑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1">
    <w:nsid w:val="00000002"/>
    <w:multiLevelType w:val="multilevel"/>
    <w:tmpl w:val="00000002"/>
    <w:lvl w:ilvl="0" w:tentative="0">
      <w:start w:val="6"/>
      <w:numFmt w:val="decimal"/>
      <w:lvlText w:val="%1."/>
      <w:lvlJc w:val="left"/>
      <w:pPr>
        <w:tabs>
          <w:tab w:val="left" w:pos="312"/>
        </w:tabs>
      </w:pPr>
      <w:rPr>
        <w:rFonts w:hint="default" w:ascii="微软雅黑" w:hAnsi="微软雅黑" w:eastAsia="微软雅黑" w:cs="微软雅黑"/>
        <w:sz w:val="28"/>
        <w:szCs w:val="28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2">
    <w:nsid w:val="00000003"/>
    <w:multiLevelType w:val="singleLevel"/>
    <w:tmpl w:val="00000003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00000004"/>
    <w:multiLevelType w:val="singleLevel"/>
    <w:tmpl w:val="00000004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微软雅黑" w:hAnsi="微软雅黑" w:eastAsia="微软雅黑" w:cs="微软雅黑"/>
        <w:sz w:val="24"/>
        <w:szCs w:val="24"/>
      </w:rPr>
    </w:lvl>
  </w:abstractNum>
  <w:abstractNum w:abstractNumId="14">
    <w:nsid w:val="00000005"/>
    <w:multiLevelType w:val="singleLevel"/>
    <w:tmpl w:val="00000005"/>
    <w:lvl w:ilvl="0" w:tentative="0">
      <w:start w:val="5"/>
      <w:numFmt w:val="decimal"/>
      <w:lvlText w:val="%1."/>
      <w:lvlJc w:val="left"/>
      <w:pPr>
        <w:tabs>
          <w:tab w:val="left" w:pos="312"/>
        </w:tabs>
      </w:pPr>
      <w:rPr>
        <w:rFonts w:hint="default" w:ascii="微软雅黑" w:hAnsi="微软雅黑" w:eastAsia="微软雅黑" w:cs="微软雅黑"/>
        <w:sz w:val="28"/>
        <w:szCs w:val="28"/>
      </w:rPr>
    </w:lvl>
  </w:abstractNum>
  <w:abstractNum w:abstractNumId="15">
    <w:nsid w:val="00000006"/>
    <w:multiLevelType w:val="singleLevel"/>
    <w:tmpl w:val="00000006"/>
    <w:lvl w:ilvl="0" w:tentative="0">
      <w:start w:val="1"/>
      <w:numFmt w:val="decimal"/>
      <w:suff w:val="space"/>
      <w:lvlText w:val="%1)"/>
      <w:lvlJc w:val="left"/>
    </w:lvl>
  </w:abstractNum>
  <w:abstractNum w:abstractNumId="16">
    <w:nsid w:val="1148D09B"/>
    <w:multiLevelType w:val="singleLevel"/>
    <w:tmpl w:val="1148D09B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微软雅黑" w:hAnsi="微软雅黑" w:eastAsia="微软雅黑" w:cs="微软雅黑"/>
        <w:sz w:val="24"/>
        <w:szCs w:val="24"/>
      </w:rPr>
    </w:lvl>
  </w:abstractNum>
  <w:abstractNum w:abstractNumId="17">
    <w:nsid w:val="34905A5E"/>
    <w:multiLevelType w:val="singleLevel"/>
    <w:tmpl w:val="34905A5E"/>
    <w:lvl w:ilvl="0" w:tentative="0">
      <w:start w:val="1"/>
      <w:numFmt w:val="decimal"/>
      <w:suff w:val="space"/>
      <w:lvlText w:val="%1)"/>
      <w:lvlJc w:val="left"/>
    </w:lvl>
  </w:abstractNum>
  <w:abstractNum w:abstractNumId="18">
    <w:nsid w:val="3EF94110"/>
    <w:multiLevelType w:val="singleLevel"/>
    <w:tmpl w:val="3EF94110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43770534"/>
    <w:multiLevelType w:val="singleLevel"/>
    <w:tmpl w:val="43770534"/>
    <w:lvl w:ilvl="0" w:tentative="0">
      <w:start w:val="1"/>
      <w:numFmt w:val="decimal"/>
      <w:suff w:val="space"/>
      <w:lvlText w:val="%1)"/>
      <w:lvlJc w:val="left"/>
    </w:lvl>
  </w:abstractNum>
  <w:abstractNum w:abstractNumId="20">
    <w:nsid w:val="478DBD06"/>
    <w:multiLevelType w:val="singleLevel"/>
    <w:tmpl w:val="478DBD06"/>
    <w:lvl w:ilvl="0" w:tentative="0">
      <w:start w:val="1"/>
      <w:numFmt w:val="decimal"/>
      <w:suff w:val="space"/>
      <w:lvlText w:val="%1)"/>
      <w:lvlJc w:val="left"/>
    </w:lvl>
  </w:abstractNum>
  <w:abstractNum w:abstractNumId="21">
    <w:nsid w:val="602A72A6"/>
    <w:multiLevelType w:val="singleLevel"/>
    <w:tmpl w:val="602A72A6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6461806F"/>
    <w:multiLevelType w:val="singleLevel"/>
    <w:tmpl w:val="6461806F"/>
    <w:lvl w:ilvl="0" w:tentative="0">
      <w:start w:val="1"/>
      <w:numFmt w:val="decimal"/>
      <w:suff w:val="space"/>
      <w:lvlText w:val="%1)"/>
      <w:lvlJc w:val="left"/>
    </w:lvl>
  </w:abstractNum>
  <w:abstractNum w:abstractNumId="23">
    <w:nsid w:val="71C51402"/>
    <w:multiLevelType w:val="singleLevel"/>
    <w:tmpl w:val="71C5140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  <w:lvlOverride w:ilvl="0">
      <w:startOverride w:val="1"/>
    </w:lvlOverride>
  </w:num>
  <w:num w:numId="2">
    <w:abstractNumId w:val="8"/>
  </w:num>
  <w:num w:numId="3">
    <w:abstractNumId w:val="18"/>
  </w:num>
  <w:num w:numId="4">
    <w:abstractNumId w:val="21"/>
  </w:num>
  <w:num w:numId="5">
    <w:abstractNumId w:val="10"/>
  </w:num>
  <w:num w:numId="6">
    <w:abstractNumId w:val="13"/>
  </w:num>
  <w:num w:numId="7">
    <w:abstractNumId w:val="12"/>
  </w:num>
  <w:num w:numId="8">
    <w:abstractNumId w:val="15"/>
  </w:num>
  <w:num w:numId="9">
    <w:abstractNumId w:val="16"/>
  </w:num>
  <w:num w:numId="10">
    <w:abstractNumId w:val="19"/>
  </w:num>
  <w:num w:numId="11">
    <w:abstractNumId w:val="2"/>
  </w:num>
  <w:num w:numId="12">
    <w:abstractNumId w:val="17"/>
  </w:num>
  <w:num w:numId="13">
    <w:abstractNumId w:val="9"/>
  </w:num>
  <w:num w:numId="14">
    <w:abstractNumId w:val="20"/>
  </w:num>
  <w:num w:numId="15">
    <w:abstractNumId w:val="5"/>
  </w:num>
  <w:num w:numId="16">
    <w:abstractNumId w:val="1"/>
  </w:num>
  <w:num w:numId="17">
    <w:abstractNumId w:val="7"/>
  </w:num>
  <w:num w:numId="18">
    <w:abstractNumId w:val="23"/>
  </w:num>
  <w:num w:numId="19">
    <w:abstractNumId w:val="3"/>
  </w:num>
  <w:num w:numId="20">
    <w:abstractNumId w:val="22"/>
  </w:num>
  <w:num w:numId="21">
    <w:abstractNumId w:val="4"/>
  </w:num>
  <w:num w:numId="22">
    <w:abstractNumId w:val="6"/>
  </w:num>
  <w:num w:numId="23">
    <w:abstractNumId w:val="14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3BC"/>
    <w:rsid w:val="004C7FB6"/>
    <w:rsid w:val="005E73BC"/>
    <w:rsid w:val="005F7B71"/>
    <w:rsid w:val="00AE2056"/>
    <w:rsid w:val="00D40AE9"/>
    <w:rsid w:val="00E07EEE"/>
    <w:rsid w:val="00EF1033"/>
    <w:rsid w:val="00F06553"/>
    <w:rsid w:val="00FC49BA"/>
    <w:rsid w:val="02D166AF"/>
    <w:rsid w:val="049674B5"/>
    <w:rsid w:val="065173CF"/>
    <w:rsid w:val="07CC6B92"/>
    <w:rsid w:val="0AC10068"/>
    <w:rsid w:val="0FFC1F0F"/>
    <w:rsid w:val="12522D66"/>
    <w:rsid w:val="125D2491"/>
    <w:rsid w:val="15D37E98"/>
    <w:rsid w:val="16CD3FD2"/>
    <w:rsid w:val="19082440"/>
    <w:rsid w:val="1ADB67E7"/>
    <w:rsid w:val="20CD17B5"/>
    <w:rsid w:val="25FC1D43"/>
    <w:rsid w:val="27A06D9B"/>
    <w:rsid w:val="2C2A14D8"/>
    <w:rsid w:val="2EA64656"/>
    <w:rsid w:val="31082B26"/>
    <w:rsid w:val="32FE0EA8"/>
    <w:rsid w:val="365C49CF"/>
    <w:rsid w:val="39DA7872"/>
    <w:rsid w:val="3D386278"/>
    <w:rsid w:val="40EC4A01"/>
    <w:rsid w:val="42E52605"/>
    <w:rsid w:val="448706EB"/>
    <w:rsid w:val="459A42FF"/>
    <w:rsid w:val="47151F56"/>
    <w:rsid w:val="48225C79"/>
    <w:rsid w:val="4ABF15F2"/>
    <w:rsid w:val="4E8C7012"/>
    <w:rsid w:val="52A90753"/>
    <w:rsid w:val="589879DD"/>
    <w:rsid w:val="5A9F7331"/>
    <w:rsid w:val="5E5A0845"/>
    <w:rsid w:val="62A041A7"/>
    <w:rsid w:val="637528CD"/>
    <w:rsid w:val="64414325"/>
    <w:rsid w:val="646E376C"/>
    <w:rsid w:val="64906F19"/>
    <w:rsid w:val="65931E55"/>
    <w:rsid w:val="671C0C22"/>
    <w:rsid w:val="6AEB1800"/>
    <w:rsid w:val="6C0D3792"/>
    <w:rsid w:val="7547755F"/>
    <w:rsid w:val="76810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iPriority="39" w:name="toc 9"/>
    <w:lsdException w:uiPriority="99" w:name="Normal Indent"/>
    <w:lsdException w:uiPriority="99" w:name="footnote text"/>
    <w:lsdException w:qFormat="1" w:unhideWhenUsed="0" w:uiPriority="99" w:semiHidden="0" w:name="annotation text"/>
    <w:lsdException w:qFormat="1" w:unhideWhenUsed="0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</w:pPr>
    <w:rPr>
      <w:rFonts w:ascii="Times New Roman" w:hAnsi="Times New Roman" w:eastAsia="仿宋" w:cs="Calibri"/>
      <w:color w:val="000000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next w:val="1"/>
    <w:link w:val="29"/>
    <w:qFormat/>
    <w:uiPriority w:val="9"/>
    <w:pPr>
      <w:keepNext/>
      <w:keepLines/>
      <w:spacing w:before="50" w:beforeLines="50" w:after="50" w:afterLines="50" w:line="259" w:lineRule="auto"/>
      <w:outlineLvl w:val="0"/>
    </w:pPr>
    <w:rPr>
      <w:rFonts w:ascii="宋体" w:hAnsi="宋体" w:eastAsia="宋体" w:cs="宋体"/>
      <w:color w:val="000000"/>
      <w:kern w:val="2"/>
      <w:sz w:val="30"/>
      <w:szCs w:val="22"/>
      <w:lang w:val="en-US" w:eastAsia="zh-CN" w:bidi="ar-SA"/>
      <w14:ligatures w14:val="standardContextual"/>
    </w:rPr>
  </w:style>
  <w:style w:type="paragraph" w:styleId="3">
    <w:name w:val="heading 2"/>
    <w:next w:val="1"/>
    <w:link w:val="30"/>
    <w:unhideWhenUsed/>
    <w:qFormat/>
    <w:uiPriority w:val="9"/>
    <w:pPr>
      <w:keepLines/>
      <w:widowControl w:val="0"/>
      <w:spacing w:before="50" w:beforeLines="50" w:line="264" w:lineRule="auto"/>
      <w:outlineLvl w:val="1"/>
    </w:pPr>
    <w:rPr>
      <w:rFonts w:ascii="宋体" w:hAnsi="宋体" w:eastAsia="宋体" w:cs="宋体"/>
      <w:color w:val="000000"/>
      <w:kern w:val="2"/>
      <w:sz w:val="28"/>
      <w:szCs w:val="22"/>
      <w:lang w:val="en-US" w:eastAsia="zh-CN" w:bidi="ar-SA"/>
      <w14:ligatures w14:val="standardContextual"/>
    </w:rPr>
  </w:style>
  <w:style w:type="paragraph" w:styleId="4">
    <w:name w:val="heading 3"/>
    <w:next w:val="1"/>
    <w:link w:val="31"/>
    <w:unhideWhenUsed/>
    <w:qFormat/>
    <w:uiPriority w:val="9"/>
    <w:pPr>
      <w:keepLines/>
      <w:widowControl w:val="0"/>
      <w:spacing w:before="50" w:beforeLines="50" w:after="120" w:line="259" w:lineRule="auto"/>
      <w:ind w:right="102"/>
      <w:outlineLvl w:val="2"/>
    </w:pPr>
    <w:rPr>
      <w:rFonts w:ascii="宋体" w:hAnsi="宋体" w:eastAsia="宋体" w:cs="宋体"/>
      <w:color w:val="000000"/>
      <w:kern w:val="2"/>
      <w:sz w:val="24"/>
      <w:szCs w:val="22"/>
      <w:lang w:val="en-US" w:eastAsia="zh-CN" w:bidi="ar-SA"/>
      <w14:ligatures w14:val="standardContextual"/>
    </w:rPr>
  </w:style>
  <w:style w:type="paragraph" w:styleId="5">
    <w:name w:val="heading 4"/>
    <w:next w:val="1"/>
    <w:link w:val="32"/>
    <w:semiHidden/>
    <w:unhideWhenUsed/>
    <w:qFormat/>
    <w:uiPriority w:val="9"/>
    <w:pPr>
      <w:keepLines/>
      <w:widowControl w:val="0"/>
      <w:spacing w:after="38" w:line="259" w:lineRule="auto"/>
      <w:ind w:left="11" w:hanging="11"/>
      <w:outlineLvl w:val="3"/>
    </w:pPr>
    <w:rPr>
      <w:rFonts w:ascii="Segoe UI Symbol" w:hAnsi="Segoe UI Symbol" w:eastAsia="Segoe UI Symbol" w:cs="Segoe UI Symbol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6">
    <w:name w:val="heading 5"/>
    <w:next w:val="1"/>
    <w:link w:val="33"/>
    <w:semiHidden/>
    <w:unhideWhenUsed/>
    <w:qFormat/>
    <w:uiPriority w:val="9"/>
    <w:pPr>
      <w:keepNext/>
      <w:keepLines/>
      <w:spacing w:after="340" w:line="265" w:lineRule="auto"/>
      <w:ind w:left="10" w:hanging="10"/>
      <w:outlineLvl w:val="4"/>
    </w:pPr>
    <w:rPr>
      <w:rFonts w:ascii="Times New Roman" w:hAnsi="Times New Roman" w:eastAsia="Times New Roman" w:cs="Times New Roman"/>
      <w:b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7">
    <w:name w:val="heading 6"/>
    <w:next w:val="1"/>
    <w:link w:val="27"/>
    <w:semiHidden/>
    <w:unhideWhenUsed/>
    <w:qFormat/>
    <w:uiPriority w:val="9"/>
    <w:pPr>
      <w:keepNext/>
      <w:keepLines/>
      <w:spacing w:after="340" w:line="265" w:lineRule="auto"/>
      <w:ind w:left="10" w:hanging="10"/>
      <w:outlineLvl w:val="5"/>
    </w:pPr>
    <w:rPr>
      <w:rFonts w:ascii="Times New Roman" w:hAnsi="Times New Roman" w:eastAsia="Times New Roman" w:cs="Times New Roman"/>
      <w:b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8">
    <w:name w:val="heading 7"/>
    <w:next w:val="1"/>
    <w:link w:val="28"/>
    <w:qFormat/>
    <w:uiPriority w:val="9"/>
    <w:pPr>
      <w:keepNext/>
      <w:keepLines/>
      <w:spacing w:after="248" w:line="265" w:lineRule="auto"/>
      <w:ind w:left="10" w:hanging="10"/>
      <w:outlineLvl w:val="6"/>
    </w:pPr>
    <w:rPr>
      <w:rFonts w:ascii="宋体" w:hAnsi="宋体" w:eastAsia="宋体" w:cs="宋体"/>
      <w:color w:val="000000"/>
      <w:kern w:val="2"/>
      <w:sz w:val="32"/>
      <w:szCs w:val="22"/>
      <w:lang w:val="en-US" w:eastAsia="zh-CN" w:bidi="ar-SA"/>
      <w14:ligatures w14:val="standardContextual"/>
    </w:rPr>
  </w:style>
  <w:style w:type="paragraph" w:styleId="9">
    <w:name w:val="heading 8"/>
    <w:next w:val="1"/>
    <w:link w:val="34"/>
    <w:qFormat/>
    <w:uiPriority w:val="9"/>
    <w:pPr>
      <w:keepNext/>
      <w:keepLines/>
      <w:spacing w:after="215" w:line="259" w:lineRule="auto"/>
      <w:ind w:left="10" w:right="103" w:hanging="10"/>
      <w:outlineLvl w:val="7"/>
    </w:pPr>
    <w:rPr>
      <w:rFonts w:ascii="宋体" w:hAnsi="宋体" w:eastAsia="宋体" w:cs="宋体"/>
      <w:color w:val="000000"/>
      <w:kern w:val="2"/>
      <w:sz w:val="28"/>
      <w:szCs w:val="22"/>
      <w:lang w:val="en-US" w:eastAsia="zh-CN" w:bidi="ar-SA"/>
      <w14:ligatures w14:val="standardContextual"/>
    </w:rPr>
  </w:style>
  <w:style w:type="paragraph" w:styleId="10">
    <w:name w:val="heading 9"/>
    <w:basedOn w:val="11"/>
    <w:next w:val="1"/>
    <w:link w:val="37"/>
    <w:qFormat/>
    <w:uiPriority w:val="9"/>
    <w:pPr>
      <w:keepNext/>
      <w:keepLines/>
      <w:spacing w:before="120" w:after="60" w:line="319" w:lineRule="auto"/>
      <w:ind w:firstLine="199" w:firstLineChars="95"/>
      <w:jc w:val="center"/>
      <w:outlineLvl w:val="8"/>
    </w:pPr>
    <w:rPr>
      <w:rFonts w:ascii="等线 Light" w:hAnsi="等线 Light" w:eastAsia="等线 Light" w:cs="Times New Roman"/>
      <w:sz w:val="21"/>
      <w:szCs w:val="21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Plain Text"/>
    <w:basedOn w:val="1"/>
    <w:link w:val="38"/>
    <w:qFormat/>
    <w:uiPriority w:val="99"/>
    <w:rPr>
      <w:rFonts w:ascii="等线" w:hAnsi="Courier New" w:eastAsia="等线" w:cs="Courier New"/>
    </w:rPr>
  </w:style>
  <w:style w:type="paragraph" w:styleId="12">
    <w:name w:val="toc 7"/>
    <w:next w:val="1"/>
    <w:qFormat/>
    <w:uiPriority w:val="0"/>
    <w:pPr>
      <w:spacing w:after="5" w:line="270" w:lineRule="auto"/>
      <w:ind w:left="15" w:right="124" w:firstLine="42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13">
    <w:name w:val="annotation text"/>
    <w:basedOn w:val="1"/>
    <w:qFormat/>
    <w:uiPriority w:val="99"/>
  </w:style>
  <w:style w:type="paragraph" w:styleId="14">
    <w:name w:val="Body Text"/>
    <w:basedOn w:val="1"/>
    <w:qFormat/>
    <w:uiPriority w:val="99"/>
    <w:pPr>
      <w:keepLines/>
      <w:spacing w:after="120"/>
      <w:ind w:left="720"/>
    </w:pPr>
    <w:rPr>
      <w:rFonts w:ascii="宋体"/>
      <w:sz w:val="20"/>
      <w:szCs w:val="20"/>
    </w:rPr>
  </w:style>
  <w:style w:type="paragraph" w:styleId="15">
    <w:name w:val="toc 5"/>
    <w:next w:val="1"/>
    <w:qFormat/>
    <w:uiPriority w:val="39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16">
    <w:name w:val="toc 3"/>
    <w:next w:val="1"/>
    <w:qFormat/>
    <w:uiPriority w:val="39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17">
    <w:name w:val="toc 8"/>
    <w:next w:val="1"/>
    <w:qFormat/>
    <w:uiPriority w:val="0"/>
    <w:pPr>
      <w:spacing w:after="5" w:line="270" w:lineRule="auto"/>
      <w:ind w:left="15" w:right="124" w:firstLine="84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18">
    <w:name w:val="header"/>
    <w:basedOn w:val="1"/>
    <w:link w:val="36"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next w:val="1"/>
    <w:qFormat/>
    <w:uiPriority w:val="39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20">
    <w:name w:val="toc 4"/>
    <w:next w:val="1"/>
    <w:qFormat/>
    <w:uiPriority w:val="39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21">
    <w:name w:val="toc 6"/>
    <w:next w:val="1"/>
    <w:qFormat/>
    <w:uiPriority w:val="0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paragraph" w:styleId="22">
    <w:name w:val="toc 2"/>
    <w:next w:val="1"/>
    <w:qFormat/>
    <w:uiPriority w:val="39"/>
    <w:pPr>
      <w:spacing w:after="5" w:line="270" w:lineRule="auto"/>
      <w:ind w:left="25" w:right="124" w:hanging="10"/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2"/>
      <w:lang w:val="en-US" w:eastAsia="zh-CN" w:bidi="ar-SA"/>
      <w14:ligatures w14:val="standardContextual"/>
    </w:rPr>
  </w:style>
  <w:style w:type="table" w:styleId="24">
    <w:name w:val="Table Grid"/>
    <w:basedOn w:val="2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6">
    <w:name w:val="Hyperlink"/>
    <w:basedOn w:val="25"/>
    <w:qFormat/>
    <w:uiPriority w:val="99"/>
    <w:rPr>
      <w:color w:val="0563C1"/>
      <w:u w:val="single"/>
    </w:rPr>
  </w:style>
  <w:style w:type="character" w:customStyle="1" w:styleId="27">
    <w:name w:val="标题 6 字符"/>
    <w:link w:val="7"/>
    <w:qFormat/>
    <w:uiPriority w:val="0"/>
    <w:rPr>
      <w:rFonts w:ascii="Times New Roman" w:hAnsi="Times New Roman" w:eastAsia="Times New Roman" w:cs="Times New Roman"/>
      <w:b/>
      <w:color w:val="000000"/>
      <w:sz w:val="21"/>
    </w:rPr>
  </w:style>
  <w:style w:type="character" w:customStyle="1" w:styleId="28">
    <w:name w:val="标题 7 字符"/>
    <w:link w:val="8"/>
    <w:qFormat/>
    <w:uiPriority w:val="0"/>
    <w:rPr>
      <w:rFonts w:ascii="宋体" w:hAnsi="宋体" w:eastAsia="宋体" w:cs="宋体"/>
      <w:color w:val="000000"/>
      <w:sz w:val="32"/>
    </w:rPr>
  </w:style>
  <w:style w:type="character" w:customStyle="1" w:styleId="29">
    <w:name w:val="标题 1 字符"/>
    <w:link w:val="2"/>
    <w:qFormat/>
    <w:uiPriority w:val="9"/>
    <w:rPr>
      <w:rFonts w:ascii="宋体" w:hAnsi="宋体" w:eastAsia="宋体" w:cs="宋体"/>
      <w:color w:val="000000"/>
      <w:sz w:val="30"/>
    </w:rPr>
  </w:style>
  <w:style w:type="character" w:customStyle="1" w:styleId="30">
    <w:name w:val="标题 2 字符"/>
    <w:link w:val="3"/>
    <w:qFormat/>
    <w:uiPriority w:val="9"/>
    <w:rPr>
      <w:rFonts w:ascii="宋体" w:hAnsi="宋体" w:eastAsia="宋体" w:cs="宋体"/>
      <w:color w:val="000000"/>
      <w:sz w:val="28"/>
    </w:rPr>
  </w:style>
  <w:style w:type="character" w:customStyle="1" w:styleId="31">
    <w:name w:val="标题 3 字符"/>
    <w:link w:val="4"/>
    <w:qFormat/>
    <w:uiPriority w:val="9"/>
    <w:rPr>
      <w:rFonts w:ascii="宋体" w:hAnsi="宋体" w:eastAsia="宋体" w:cs="宋体"/>
      <w:color w:val="000000"/>
      <w:sz w:val="24"/>
    </w:rPr>
  </w:style>
  <w:style w:type="character" w:customStyle="1" w:styleId="32">
    <w:name w:val="标题 4 字符"/>
    <w:link w:val="5"/>
    <w:qFormat/>
    <w:uiPriority w:val="9"/>
    <w:rPr>
      <w:rFonts w:ascii="Segoe UI Symbol" w:hAnsi="Segoe UI Symbol" w:eastAsia="Segoe UI Symbol" w:cs="Segoe UI Symbol"/>
      <w:color w:val="000000"/>
    </w:rPr>
  </w:style>
  <w:style w:type="character" w:customStyle="1" w:styleId="33">
    <w:name w:val="标题 5 字符"/>
    <w:link w:val="6"/>
    <w:qFormat/>
    <w:uiPriority w:val="0"/>
    <w:rPr>
      <w:rFonts w:ascii="Times New Roman" w:hAnsi="Times New Roman" w:eastAsia="Times New Roman" w:cs="Times New Roman"/>
      <w:b/>
      <w:color w:val="000000"/>
      <w:sz w:val="21"/>
    </w:rPr>
  </w:style>
  <w:style w:type="character" w:customStyle="1" w:styleId="34">
    <w:name w:val="标题 8 字符"/>
    <w:link w:val="9"/>
    <w:qFormat/>
    <w:uiPriority w:val="0"/>
    <w:rPr>
      <w:rFonts w:ascii="宋体" w:hAnsi="宋体" w:eastAsia="宋体" w:cs="宋体"/>
      <w:color w:val="000000"/>
      <w:sz w:val="28"/>
    </w:rPr>
  </w:style>
  <w:style w:type="table" w:customStyle="1" w:styleId="35">
    <w:name w:val="TableGrid"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6">
    <w:name w:val="页眉 字符"/>
    <w:basedOn w:val="25"/>
    <w:link w:val="18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37">
    <w:name w:val="标题 9 字符"/>
    <w:basedOn w:val="25"/>
    <w:link w:val="10"/>
    <w:qFormat/>
    <w:uiPriority w:val="9"/>
    <w:rPr>
      <w:rFonts w:ascii="等线 Light" w:hAnsi="等线 Light" w:eastAsia="等线 Light" w:cs="Times New Roman"/>
      <w:color w:val="000000"/>
      <w:szCs w:val="21"/>
    </w:rPr>
  </w:style>
  <w:style w:type="character" w:customStyle="1" w:styleId="38">
    <w:name w:val="纯文本 字符"/>
    <w:basedOn w:val="25"/>
    <w:link w:val="11"/>
    <w:qFormat/>
    <w:uiPriority w:val="99"/>
    <w:rPr>
      <w:rFonts w:ascii="等线" w:hAnsi="Courier New" w:cs="Courier New"/>
      <w:color w:val="000000"/>
      <w:sz w:val="22"/>
    </w:rPr>
  </w:style>
  <w:style w:type="paragraph" w:customStyle="1" w:styleId="39">
    <w:name w:val="InfoBlue"/>
    <w:basedOn w:val="1"/>
    <w:next w:val="14"/>
    <w:qFormat/>
    <w:uiPriority w:val="0"/>
    <w:pPr>
      <w:spacing w:before="240" w:beforeAutospacing="1" w:after="120" w:afterAutospacing="1"/>
    </w:pPr>
    <w:rPr>
      <w:rFonts w:ascii="宋体" w:hAnsi="宋体"/>
      <w:color w:val="548DD4"/>
    </w:rPr>
  </w:style>
  <w:style w:type="paragraph" w:customStyle="1" w:styleId="40">
    <w:name w:val="列出段落1"/>
    <w:basedOn w:val="1"/>
    <w:qFormat/>
    <w:uiPriority w:val="99"/>
    <w:pPr>
      <w:ind w:firstLine="420"/>
    </w:pPr>
    <w:rPr>
      <w:rFonts w:ascii="宋体"/>
      <w:sz w:val="20"/>
      <w:szCs w:val="20"/>
    </w:rPr>
  </w:style>
  <w:style w:type="character" w:customStyle="1" w:styleId="41">
    <w:name w:val="font11"/>
    <w:basedOn w:val="25"/>
    <w:qFormat/>
    <w:uiPriority w:val="0"/>
    <w:rPr>
      <w:rFonts w:hint="default" w:ascii="Arial" w:hAnsi="Arial" w:cs="Arial"/>
      <w:color w:val="000000"/>
      <w:sz w:val="20"/>
      <w:szCs w:val="20"/>
      <w:u w:val="none"/>
    </w:rPr>
  </w:style>
  <w:style w:type="character" w:customStyle="1" w:styleId="42">
    <w:name w:val="font21"/>
    <w:basedOn w:val="25"/>
    <w:qFormat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  <w:style w:type="paragraph" w:customStyle="1" w:styleId="4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44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45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46">
    <w:name w:val="Default"/>
    <w:qFormat/>
    <w:uiPriority w:val="99"/>
    <w:pPr>
      <w:widowControl w:val="0"/>
      <w:autoSpaceDE w:val="0"/>
      <w:autoSpaceDN w:val="0"/>
      <w:adjustRightInd w:val="0"/>
    </w:pPr>
    <w:rPr>
      <w:rFonts w:hint="eastAsia" w:ascii="Calibri" w:hAnsi="Calibri" w:eastAsia="Calibri" w:cs="Times New Roman"/>
      <w:color w:val="000000"/>
      <w:sz w:val="24"/>
      <w:lang w:val="en-US" w:eastAsia="zh-CN" w:bidi="ar-SA"/>
    </w:rPr>
  </w:style>
  <w:style w:type="paragraph" w:styleId="47">
    <w:name w:val="List Paragraph"/>
    <w:basedOn w:val="1"/>
    <w:qFormat/>
    <w:uiPriority w:val="34"/>
    <w:pPr>
      <w:ind w:firstLine="420"/>
    </w:pPr>
  </w:style>
  <w:style w:type="character" w:customStyle="1" w:styleId="48">
    <w:name w:val="font81"/>
    <w:basedOn w:val="25"/>
    <w:qFormat/>
    <w:uiPriority w:val="0"/>
    <w:rPr>
      <w:rFonts w:hint="default" w:ascii="Arial" w:hAnsi="Arial" w:cs="Arial"/>
      <w:b/>
      <w:i/>
      <w:color w:val="000000"/>
      <w:sz w:val="16"/>
      <w:szCs w:val="16"/>
      <w:u w:val="none"/>
    </w:rPr>
  </w:style>
  <w:style w:type="character" w:customStyle="1" w:styleId="49">
    <w:name w:val="font51"/>
    <w:basedOn w:val="25"/>
    <w:qFormat/>
    <w:uiPriority w:val="0"/>
    <w:rPr>
      <w:rFonts w:hint="eastAsia" w:ascii="宋体" w:hAnsi="宋体" w:eastAsia="宋体" w:cs="宋体"/>
      <w:b/>
      <w:i/>
      <w:color w:val="000000"/>
      <w:sz w:val="16"/>
      <w:szCs w:val="16"/>
      <w:u w:val="none"/>
    </w:rPr>
  </w:style>
  <w:style w:type="character" w:customStyle="1" w:styleId="50">
    <w:name w:val="font112"/>
    <w:basedOn w:val="25"/>
    <w:qFormat/>
    <w:uiPriority w:val="0"/>
    <w:rPr>
      <w:rFonts w:hint="default" w:ascii="Arial" w:hAnsi="Arial" w:cs="Arial"/>
      <w:color w:val="0066CC"/>
      <w:sz w:val="16"/>
      <w:szCs w:val="16"/>
      <w:u w:val="none"/>
    </w:rPr>
  </w:style>
  <w:style w:type="character" w:customStyle="1" w:styleId="51">
    <w:name w:val="font41"/>
    <w:basedOn w:val="25"/>
    <w:qFormat/>
    <w:uiPriority w:val="0"/>
    <w:rPr>
      <w:rFonts w:hint="eastAsia" w:ascii="微软雅黑" w:hAnsi="微软雅黑" w:eastAsia="微软雅黑" w:cs="微软雅黑"/>
      <w:color w:val="0066CC"/>
      <w:sz w:val="16"/>
      <w:szCs w:val="16"/>
      <w:u w:val="none"/>
    </w:rPr>
  </w:style>
  <w:style w:type="character" w:customStyle="1" w:styleId="52">
    <w:name w:val="font01"/>
    <w:basedOn w:val="25"/>
    <w:qFormat/>
    <w:uiPriority w:val="0"/>
    <w:rPr>
      <w:rFonts w:hint="eastAsia" w:ascii="微软雅黑" w:hAnsi="微软雅黑" w:eastAsia="微软雅黑" w:cs="微软雅黑"/>
      <w:color w:val="000000"/>
      <w:sz w:val="16"/>
      <w:szCs w:val="16"/>
      <w:u w:val="none"/>
    </w:rPr>
  </w:style>
  <w:style w:type="character" w:customStyle="1" w:styleId="53">
    <w:name w:val="font31"/>
    <w:basedOn w:val="25"/>
    <w:qFormat/>
    <w:uiPriority w:val="0"/>
    <w:rPr>
      <w:rFonts w:hint="default" w:ascii="Arial" w:hAnsi="Arial" w:cs="Arial"/>
      <w:color w:val="000000"/>
      <w:sz w:val="16"/>
      <w:szCs w:val="16"/>
      <w:u w:val="none"/>
    </w:rPr>
  </w:style>
  <w:style w:type="character" w:customStyle="1" w:styleId="54">
    <w:name w:val="font121"/>
    <w:basedOn w:val="25"/>
    <w:qFormat/>
    <w:uiPriority w:val="0"/>
    <w:rPr>
      <w:rFonts w:hint="default" w:ascii="Arial" w:hAnsi="Arial" w:cs="Arial"/>
      <w:color w:val="3366CC"/>
      <w:sz w:val="16"/>
      <w:szCs w:val="16"/>
      <w:u w:val="none"/>
    </w:rPr>
  </w:style>
  <w:style w:type="character" w:customStyle="1" w:styleId="55">
    <w:name w:val="font161"/>
    <w:basedOn w:val="25"/>
    <w:qFormat/>
    <w:uiPriority w:val="0"/>
    <w:rPr>
      <w:rFonts w:hint="eastAsia" w:ascii="微软雅黑" w:hAnsi="微软雅黑" w:eastAsia="微软雅黑" w:cs="微软雅黑"/>
      <w:color w:val="3366CC"/>
      <w:sz w:val="16"/>
      <w:szCs w:val="16"/>
      <w:u w:val="none"/>
    </w:rPr>
  </w:style>
  <w:style w:type="character" w:customStyle="1" w:styleId="56">
    <w:name w:val="font131"/>
    <w:basedOn w:val="25"/>
    <w:qFormat/>
    <w:uiPriority w:val="0"/>
    <w:rPr>
      <w:rFonts w:hint="eastAsia" w:ascii="微软雅黑" w:hAnsi="微软雅黑" w:eastAsia="微软雅黑" w:cs="微软雅黑"/>
      <w:color w:val="FF0000"/>
      <w:sz w:val="16"/>
      <w:szCs w:val="16"/>
      <w:u w:val="none"/>
    </w:rPr>
  </w:style>
  <w:style w:type="character" w:customStyle="1" w:styleId="57">
    <w:name w:val="font151"/>
    <w:basedOn w:val="25"/>
    <w:qFormat/>
    <w:uiPriority w:val="0"/>
    <w:rPr>
      <w:rFonts w:hint="default" w:ascii="Arial" w:hAnsi="Arial" w:cs="Arial"/>
      <w:color w:val="FF0000"/>
      <w:sz w:val="16"/>
      <w:szCs w:val="16"/>
      <w:u w:val="none"/>
    </w:rPr>
  </w:style>
  <w:style w:type="character" w:customStyle="1" w:styleId="58">
    <w:name w:val="font101"/>
    <w:basedOn w:val="25"/>
    <w:qFormat/>
    <w:uiPriority w:val="0"/>
    <w:rPr>
      <w:rFonts w:hint="default" w:ascii="Arial" w:hAnsi="Arial" w:cs="Arial"/>
      <w:color w:val="0066CC"/>
      <w:sz w:val="16"/>
      <w:szCs w:val="16"/>
      <w:u w:val="none"/>
    </w:rPr>
  </w:style>
  <w:style w:type="character" w:customStyle="1" w:styleId="59">
    <w:name w:val="font61"/>
    <w:basedOn w:val="25"/>
    <w:qFormat/>
    <w:uiPriority w:val="0"/>
    <w:rPr>
      <w:rFonts w:hint="default" w:ascii="Times New Roman" w:hAnsi="Times New Roman" w:cs="Times New Roman"/>
      <w:b/>
      <w:i/>
      <w:color w:val="00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emf"/><Relationship Id="rId15" Type="http://schemas.openxmlformats.org/officeDocument/2006/relationships/oleObject" Target="embeddings/oleObject1.bin"/><Relationship Id="rId14" Type="http://schemas.openxmlformats.org/officeDocument/2006/relationships/image" Target="media/image5.emf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747</Words>
  <Characters>4260</Characters>
  <Lines>35</Lines>
  <Paragraphs>9</Paragraphs>
  <TotalTime>1</TotalTime>
  <ScaleCrop>false</ScaleCrop>
  <LinksUpToDate>false</LinksUpToDate>
  <CharactersWithSpaces>4998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2024-05-16T05:02:00Z</dcterms:created>
  <dc:creator>卢源清 Yuanqing Lu (新能源公司）</dc:creator>
  <cp:lastModifiedBy>taikang</cp:lastModifiedBy>
  <cp:lastPrinted>2023-12-23T08:56:00Z</cp:lastPrinted>
  <dcterms:modified xsi:type="dcterms:W3CDTF">2024-09-11T07:43:46Z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  <property fmtid="{D5CDD505-2E9C-101B-9397-08002B2CF9AE}" pid="3" name="ICV">
    <vt:lpwstr>D7F10D51FF0F4DB39966EABF75A83F61_12</vt:lpwstr>
  </property>
</Properties>
</file>