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E63946"/>
          <w:sz w:val="96"/>
          <w:szCs w:val="96"/>
        </w:rPr>
        <w:t xml:space="preserve">HIVAGO</w:t>
      </w:r>
    </w:p>
    <w:p>
      <w:pPr>
        <w:spacing w:after="60" w:before="0"/>
        <w:jc w:val="center"/>
      </w:pPr>
      <w:r>
        <w:rPr>
          <w:rFonts w:ascii="Arial" w:cs="Arial" w:eastAsia="Arial" w:hAnsi="Arial"/>
          <w:color w:val="DEE2E6"/>
          <w:sz w:val="22"/>
          <w:szCs w:val="22"/>
        </w:rPr>
        <w:t xml:space="preserve">Operated by WaradaVinayaka Private Limited</w:t>
      </w:r>
    </w:p>
    <w:p>
      <w:pPr>
        <w:pBdr>
          <w:bottom w:val="single" w:color="E63946" w:sz="6" w:space="1"/>
        </w:pBdr>
        <w:spacing w:after="160" w:before="160"/>
      </w:pPr>
    </w:p>
    <w:p>
      <w:pPr>
        <w:shd w:fill="1A1A2E" w:val="clear"/>
        <w:spacing w:after="60" w:before="200"/>
        <w:jc w:val="center"/>
      </w:pPr>
      <w:r>
        <w:rPr>
          <w:rFonts w:ascii="Arial" w:cs="Arial" w:eastAsia="Arial" w:hAnsi="Arial"/>
          <w:b/>
          <w:bCs/>
          <w:color w:val="FFFFFF"/>
          <w:sz w:val="48"/>
          <w:szCs w:val="48"/>
        </w:rPr>
        <w:t xml:space="preserve">DELIVERY PARTNER AGREEMENT</w:t>
      </w:r>
    </w:p>
    <w:p>
      <w:pPr>
        <w:spacing w:after="40" w:before="60"/>
        <w:jc w:val="center"/>
      </w:pPr>
      <w:r>
        <w:rPr>
          <w:rFonts w:ascii="Arial" w:cs="Arial" w:eastAsia="Arial" w:hAnsi="Arial"/>
          <w:b/>
          <w:bCs/>
          <w:color w:val="E63946"/>
          <w:sz w:val="24"/>
          <w:szCs w:val="24"/>
        </w:rPr>
        <w:t xml:space="preserve">Independent Gig Worker Engagement Agreement</w:t>
      </w:r>
    </w:p>
    <w:p>
      <w:pPr>
        <w:spacing w:after="200" w:before="0"/>
        <w:jc w:val="center"/>
      </w:pPr>
      <w:r>
        <w:rPr>
          <w:rFonts w:ascii="Arial" w:cs="Arial" w:eastAsia="Arial" w:hAnsi="Arial"/>
          <w:i/>
          <w:iCs/>
          <w:color w:val="F4A261"/>
          <w:sz w:val="18"/>
          <w:szCs w:val="18"/>
        </w:rPr>
        <w:t xml:space="preserve">Governing the terms of engagement between WaradaVinayaka Private Limited and each Delivery Partner on the HIVAGO Platform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63946" w:sz="4"/>
              <w:left w:val="single" w:color="E63946" w:sz="4"/>
              <w:bottom w:val="single" w:color="E63946" w:sz="4"/>
              <w:right w:val="single" w:color="E63946" w:sz="4"/>
            </w:tcBorders>
            <w:shd w:fill="1A1A2E" w:val="clear"/>
            <w:tcMar>
              <w:top w:type="dxa" w:w="120"/>
              <w:left w:type="dxa" w:w="100"/>
              <w:bottom w:type="dxa" w:w="120"/>
              <w:right w:type="dxa" w:w="100"/>
            </w:tcMar>
          </w:tcPr>
          <w:p>
            <w:pPr>
              <w:jc w:val="center"/>
            </w:pPr>
            <w:r>
              <w:rPr>
                <w:rFonts w:ascii="Arial" w:cs="Arial" w:eastAsia="Arial" w:hAnsi="Arial"/>
                <w:b/>
                <w:bCs/>
                <w:color w:val="F4A261"/>
                <w:sz w:val="15"/>
                <w:szCs w:val="15"/>
              </w:rPr>
              <w:t xml:space="preserve">Document Type</w:t>
            </w:r>
          </w:p>
          <w:p>
            <w:pPr>
              <w:jc w:val="center"/>
            </w:pPr>
            <w:r>
              <w:rPr>
                <w:rFonts w:ascii="Arial" w:cs="Arial" w:eastAsia="Arial" w:hAnsi="Arial"/>
                <w:b/>
                <w:bCs/>
                <w:color w:val="FFFFFF"/>
                <w:sz w:val="17"/>
                <w:szCs w:val="17"/>
              </w:rPr>
              <w:t xml:space="preserve">Service Agreement</w:t>
            </w:r>
          </w:p>
        </w:tc>
        <w:tc>
          <w:tcPr>
            <w:tcW w:type="dxa" w:w="2340"/>
            <w:tcBorders>
              <w:top w:val="single" w:color="E63946" w:sz="4"/>
              <w:left w:val="single" w:color="E63946" w:sz="4"/>
              <w:bottom w:val="single" w:color="E63946" w:sz="4"/>
              <w:right w:val="single" w:color="E63946" w:sz="4"/>
            </w:tcBorders>
            <w:shd w:fill="1A1A2E" w:val="clear"/>
            <w:tcMar>
              <w:top w:type="dxa" w:w="120"/>
              <w:left w:type="dxa" w:w="100"/>
              <w:bottom w:type="dxa" w:w="120"/>
              <w:right w:type="dxa" w:w="100"/>
            </w:tcMar>
          </w:tcPr>
          <w:p>
            <w:pPr>
              <w:jc w:val="center"/>
            </w:pPr>
            <w:r>
              <w:rPr>
                <w:rFonts w:ascii="Arial" w:cs="Arial" w:eastAsia="Arial" w:hAnsi="Arial"/>
                <w:b/>
                <w:bCs/>
                <w:color w:val="F4A261"/>
                <w:sz w:val="15"/>
                <w:szCs w:val="15"/>
              </w:rPr>
              <w:t xml:space="preserve">Version</w:t>
            </w:r>
          </w:p>
          <w:p>
            <w:pPr>
              <w:jc w:val="center"/>
            </w:pPr>
            <w:r>
              <w:rPr>
                <w:rFonts w:ascii="Arial" w:cs="Arial" w:eastAsia="Arial" w:hAnsi="Arial"/>
                <w:b/>
                <w:bCs/>
                <w:color w:val="FFFFFF"/>
                <w:sz w:val="17"/>
                <w:szCs w:val="17"/>
              </w:rPr>
              <w:t xml:space="preserve">1.0</w:t>
            </w:r>
          </w:p>
        </w:tc>
        <w:tc>
          <w:tcPr>
            <w:tcW w:type="dxa" w:w="2340"/>
            <w:tcBorders>
              <w:top w:val="single" w:color="E63946" w:sz="4"/>
              <w:left w:val="single" w:color="E63946" w:sz="4"/>
              <w:bottom w:val="single" w:color="E63946" w:sz="4"/>
              <w:right w:val="single" w:color="E63946" w:sz="4"/>
            </w:tcBorders>
            <w:shd w:fill="1A1A2E" w:val="clear"/>
            <w:tcMar>
              <w:top w:type="dxa" w:w="120"/>
              <w:left w:type="dxa" w:w="100"/>
              <w:bottom w:type="dxa" w:w="120"/>
              <w:right w:type="dxa" w:w="100"/>
            </w:tcMar>
          </w:tcPr>
          <w:p>
            <w:pPr>
              <w:jc w:val="center"/>
            </w:pPr>
            <w:r>
              <w:rPr>
                <w:rFonts w:ascii="Arial" w:cs="Arial" w:eastAsia="Arial" w:hAnsi="Arial"/>
                <w:b/>
                <w:bCs/>
                <w:color w:val="F4A261"/>
                <w:sz w:val="15"/>
                <w:szCs w:val="15"/>
              </w:rPr>
              <w:t xml:space="preserve">Jurisdiction</w:t>
            </w:r>
          </w:p>
          <w:p>
            <w:pPr>
              <w:jc w:val="center"/>
            </w:pPr>
            <w:r>
              <w:rPr>
                <w:rFonts w:ascii="Arial" w:cs="Arial" w:eastAsia="Arial" w:hAnsi="Arial"/>
                <w:b/>
                <w:bCs/>
                <w:color w:val="FFFFFF"/>
                <w:sz w:val="17"/>
                <w:szCs w:val="17"/>
              </w:rPr>
              <w:t xml:space="preserve">Maharashtra, India</w:t>
            </w:r>
          </w:p>
        </w:tc>
        <w:tc>
          <w:tcPr>
            <w:tcW w:type="dxa" w:w="2340"/>
            <w:tcBorders>
              <w:top w:val="single" w:color="E63946" w:sz="4"/>
              <w:left w:val="single" w:color="E63946" w:sz="4"/>
              <w:bottom w:val="single" w:color="E63946" w:sz="4"/>
              <w:right w:val="single" w:color="E63946" w:sz="4"/>
            </w:tcBorders>
            <w:shd w:fill="1A1A2E" w:val="clear"/>
            <w:tcMar>
              <w:top w:type="dxa" w:w="120"/>
              <w:left w:type="dxa" w:w="100"/>
              <w:bottom w:type="dxa" w:w="120"/>
              <w:right w:type="dxa" w:w="100"/>
            </w:tcMar>
          </w:tcPr>
          <w:p>
            <w:pPr>
              <w:jc w:val="center"/>
            </w:pPr>
            <w:r>
              <w:rPr>
                <w:rFonts w:ascii="Arial" w:cs="Arial" w:eastAsia="Arial" w:hAnsi="Arial"/>
                <w:b/>
                <w:bCs/>
                <w:color w:val="F4A261"/>
                <w:sz w:val="15"/>
                <w:szCs w:val="15"/>
              </w:rPr>
              <w:t xml:space="preserve">Governing Law</w:t>
            </w:r>
          </w:p>
          <w:p>
            <w:pPr>
              <w:jc w:val="center"/>
            </w:pPr>
            <w:r>
              <w:rPr>
                <w:rFonts w:ascii="Arial" w:cs="Arial" w:eastAsia="Arial" w:hAnsi="Arial"/>
                <w:b/>
                <w:bCs/>
                <w:color w:val="FFFFFF"/>
                <w:sz w:val="17"/>
                <w:szCs w:val="17"/>
              </w:rPr>
              <w:t xml:space="preserve">Laws of India</w:t>
            </w:r>
          </w:p>
        </w:tc>
      </w:tr>
    </w:tbl>
    <w:p>
      <w:pPr>
        <w:spacing w:after="60" w:before="60"/>
      </w:pPr>
    </w:p>
    <w:p>
      <w:pPr>
        <w:spacing w:after="60" w:before="60"/>
      </w:pPr>
    </w:p>
    <w:p>
      <w:pPr>
        <w:spacing w:after="80" w:before="200"/>
        <w:jc w:val="center"/>
      </w:pPr>
      <w:r>
        <w:rPr>
          <w:rFonts w:ascii="Arial" w:cs="Arial" w:eastAsia="Arial" w:hAnsi="Arial"/>
          <w:b/>
          <w:bCs/>
          <w:color w:val="1A1A2E"/>
          <w:sz w:val="20"/>
          <w:szCs w:val="20"/>
        </w:rPr>
        <w:t xml:space="preserve">PARTIES TO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63946" w:sz="4"/>
              <w:left w:val="single" w:color="E63946" w:sz="4"/>
              <w:bottom w:val="single" w:color="E63946" w:sz="4"/>
              <w:right w:val="single" w:color="E63946" w:sz="4"/>
            </w:tcBorders>
            <w:shd w:fill="1A1A2E" w:val="clear"/>
            <w:tcMar>
              <w:top w:type="dxa" w:w="120"/>
              <w:left w:type="dxa" w:w="160"/>
              <w:bottom w:type="dxa" w:w="120"/>
              <w:right w:type="dxa" w:w="160"/>
            </w:tcMar>
          </w:tcPr>
          <w:p>
            <w:pPr>
              <w:jc w:val="center"/>
            </w:pPr>
            <w:r>
              <w:rPr>
                <w:rFonts w:ascii="Arial" w:cs="Arial" w:eastAsia="Arial" w:hAnsi="Arial"/>
                <w:b/>
                <w:bCs/>
                <w:color w:val="F4A261"/>
                <w:sz w:val="18"/>
                <w:szCs w:val="18"/>
              </w:rPr>
              <w:t xml:space="preserve">PARTY A — COMPANY</w:t>
            </w:r>
          </w:p>
        </w:tc>
        <w:tc>
          <w:tcPr>
            <w:tcW w:type="dxa" w:w="4680"/>
            <w:tcBorders>
              <w:top w:val="single" w:color="E63946" w:sz="4"/>
              <w:left w:val="single" w:color="E63946" w:sz="4"/>
              <w:bottom w:val="single" w:color="E63946" w:sz="4"/>
              <w:right w:val="single" w:color="E63946" w:sz="4"/>
            </w:tcBorders>
            <w:shd w:fill="1A1A2E" w:val="clear"/>
            <w:tcMar>
              <w:top w:type="dxa" w:w="120"/>
              <w:left w:type="dxa" w:w="160"/>
              <w:bottom w:type="dxa" w:w="120"/>
              <w:right w:type="dxa" w:w="160"/>
            </w:tcMar>
          </w:tcPr>
          <w:p>
            <w:pPr>
              <w:jc w:val="center"/>
            </w:pPr>
            <w:r>
              <w:rPr>
                <w:rFonts w:ascii="Arial" w:cs="Arial" w:eastAsia="Arial" w:hAnsi="Arial"/>
                <w:b/>
                <w:bCs/>
                <w:color w:val="F4A261"/>
                <w:sz w:val="18"/>
                <w:szCs w:val="18"/>
              </w:rPr>
              <w:t xml:space="preserve">PARTY B — DELIVERY PARTNER</w:t>
            </w:r>
          </w:p>
        </w:tc>
      </w:tr>
      <w:tr>
        <w:tc>
          <w:tcPr>
            <w:tcW w:type="dxa" w:w="4680"/>
            <w:tcBorders>
              <w:top w:val="single" w:color="DEE2E6" w:sz="4"/>
              <w:left w:val="single" w:color="DEE2E6" w:sz="4"/>
              <w:bottom w:val="single" w:color="DEE2E6" w:sz="4"/>
              <w:right w:val="single" w:color="DEE2E6" w:sz="4"/>
            </w:tcBorders>
            <w:shd w:fill="F8F9FA" w:val="clear"/>
            <w:tcMar>
              <w:top w:type="dxa" w:w="120"/>
              <w:left w:type="dxa" w:w="160"/>
              <w:bottom w:type="dxa" w:w="140"/>
              <w:right w:type="dxa" w:w="160"/>
            </w:tcMar>
          </w:tcPr>
          <w:p>
            <w:pPr>
              <w:spacing w:after="40" w:before="60"/>
            </w:pPr>
            <w:r>
              <w:rPr>
                <w:rFonts w:ascii="Arial" w:cs="Arial" w:eastAsia="Arial" w:hAnsi="Arial"/>
                <w:b/>
                <w:bCs/>
                <w:color w:val="1A1A2E"/>
                <w:sz w:val="18"/>
                <w:szCs w:val="18"/>
              </w:rPr>
              <w:t xml:space="preserve">WaradaVinayaka Private Limited</w:t>
            </w:r>
          </w:p>
          <w:p>
            <w:pPr>
              <w:spacing w:after="40" w:before="0"/>
            </w:pPr>
            <w:r>
              <w:rPr>
                <w:rFonts w:ascii="Arial" w:cs="Arial" w:eastAsia="Arial" w:hAnsi="Arial"/>
                <w:color w:val="212529"/>
                <w:sz w:val="17"/>
                <w:szCs w:val="17"/>
              </w:rPr>
              <w:t xml:space="preserve">CIN: [•]</w:t>
            </w:r>
          </w:p>
          <w:p>
            <w:pPr>
              <w:spacing w:after="40" w:before="0"/>
            </w:pPr>
            <w:r>
              <w:rPr>
                <w:rFonts w:ascii="Arial" w:cs="Arial" w:eastAsia="Arial" w:hAnsi="Arial"/>
                <w:color w:val="212529"/>
                <w:sz w:val="17"/>
                <w:szCs w:val="17"/>
              </w:rPr>
              <w:t xml:space="preserve">GSTIN: 27AAECW3756G1Z3</w:t>
            </w:r>
          </w:p>
          <w:p>
            <w:pPr>
              <w:spacing w:after="40" w:before="0"/>
            </w:pPr>
            <w:r>
              <w:rPr>
                <w:rFonts w:ascii="Arial" w:cs="Arial" w:eastAsia="Arial" w:hAnsi="Arial"/>
                <w:color w:val="212529"/>
                <w:sz w:val="17"/>
                <w:szCs w:val="17"/>
              </w:rPr>
              <w:t xml:space="preserve">AL-5-13/9, Sneh Sagar Apt, Sector-17,</w:t>
            </w:r>
          </w:p>
          <w:p>
            <w:pPr>
              <w:spacing w:after="40" w:before="0"/>
            </w:pPr>
            <w:r>
              <w:rPr>
                <w:rFonts w:ascii="Arial" w:cs="Arial" w:eastAsia="Arial" w:hAnsi="Arial"/>
                <w:color w:val="212529"/>
                <w:sz w:val="17"/>
                <w:szCs w:val="17"/>
              </w:rPr>
              <w:t xml:space="preserve">Airoli, Navi Mumbai – 400708, Maharashtra</w:t>
            </w:r>
          </w:p>
          <w:p>
            <w:pPr>
              <w:spacing w:after="40" w:before="0"/>
            </w:pPr>
            <w:r>
              <w:rPr>
                <w:rFonts w:ascii="Arial" w:cs="Arial" w:eastAsia="Arial" w:hAnsi="Arial"/>
                <w:i/>
                <w:iCs/>
                <w:color w:val="212529"/>
                <w:sz w:val="17"/>
                <w:szCs w:val="17"/>
              </w:rPr>
              <w:t xml:space="preserve">Represented by its authorised signatory</w:t>
            </w:r>
          </w:p>
        </w:tc>
        <w:tc>
          <w:tcPr>
            <w:tcW w:type="dxa" w:w="4680"/>
            <w:tcBorders>
              <w:top w:val="single" w:color="DEE2E6" w:sz="4"/>
              <w:left w:val="single" w:color="DEE2E6" w:sz="4"/>
              <w:bottom w:val="single" w:color="DEE2E6" w:sz="4"/>
              <w:right w:val="single" w:color="DEE2E6" w:sz="4"/>
            </w:tcBorders>
            <w:shd w:fill="F8F9FA" w:val="clear"/>
            <w:tcMar>
              <w:top w:type="dxa" w:w="120"/>
              <w:left w:type="dxa" w:w="160"/>
              <w:bottom w:type="dxa" w:w="140"/>
              <w:right w:type="dxa" w:w="160"/>
            </w:tcMar>
          </w:tcPr>
          <w:p>
            <w:pPr>
              <w:spacing w:after="40" w:before="60"/>
            </w:pPr>
            <w:r>
              <w:rPr>
                <w:rFonts w:ascii="Arial" w:cs="Arial" w:eastAsia="Arial" w:hAnsi="Arial"/>
                <w:color w:val="212529"/>
                <w:sz w:val="17"/>
                <w:szCs w:val="17"/>
              </w:rPr>
              <w:t xml:space="preserve">Full Name: _____________________</w:t>
            </w:r>
          </w:p>
          <w:p>
            <w:pPr>
              <w:spacing w:after="40" w:before="0"/>
            </w:pPr>
            <w:r>
              <w:rPr>
                <w:rFonts w:ascii="Arial" w:cs="Arial" w:eastAsia="Arial" w:hAnsi="Arial"/>
                <w:color w:val="212529"/>
                <w:sz w:val="17"/>
                <w:szCs w:val="17"/>
              </w:rPr>
              <w:t xml:space="preserve">Mobile No.: ____________________</w:t>
            </w:r>
          </w:p>
          <w:p>
            <w:pPr>
              <w:spacing w:after="40" w:before="0"/>
            </w:pPr>
            <w:r>
              <w:rPr>
                <w:rFonts w:ascii="Arial" w:cs="Arial" w:eastAsia="Arial" w:hAnsi="Arial"/>
                <w:color w:val="212529"/>
                <w:sz w:val="17"/>
                <w:szCs w:val="17"/>
              </w:rPr>
              <w:t xml:space="preserve">Aadhaar / ID No.: ______________</w:t>
            </w:r>
          </w:p>
          <w:p>
            <w:pPr>
              <w:spacing w:after="40" w:before="0"/>
            </w:pPr>
            <w:r>
              <w:rPr>
                <w:rFonts w:ascii="Arial" w:cs="Arial" w:eastAsia="Arial" w:hAnsi="Arial"/>
                <w:color w:val="212529"/>
                <w:sz w:val="17"/>
                <w:szCs w:val="17"/>
              </w:rPr>
              <w:t xml:space="preserve">PAN: __________________________</w:t>
            </w:r>
          </w:p>
          <w:p>
            <w:pPr>
              <w:spacing w:after="40" w:before="0"/>
            </w:pPr>
            <w:r>
              <w:rPr>
                <w:rFonts w:ascii="Arial" w:cs="Arial" w:eastAsia="Arial" w:hAnsi="Arial"/>
                <w:color w:val="212529"/>
                <w:sz w:val="17"/>
                <w:szCs w:val="17"/>
              </w:rPr>
              <w:t xml:space="preserve">Vehicle Reg. No.: ______________</w:t>
            </w:r>
          </w:p>
          <w:p>
            <w:pPr>
              <w:spacing w:after="40" w:before="0"/>
            </w:pPr>
            <w:r>
              <w:rPr>
                <w:rFonts w:ascii="Arial" w:cs="Arial" w:eastAsia="Arial" w:hAnsi="Arial"/>
                <w:color w:val="212529"/>
                <w:sz w:val="17"/>
                <w:szCs w:val="17"/>
              </w:rPr>
              <w:t xml:space="preserve">Address: ______________________</w:t>
            </w:r>
          </w:p>
          <w:p>
            <w:pPr>
              <w:spacing w:after="40" w:before="0"/>
            </w:pPr>
            <w:r>
              <w:rPr>
                <w:rFonts w:ascii="Arial" w:cs="Arial" w:eastAsia="Arial" w:hAnsi="Arial"/>
                <w:color w:val="212529"/>
                <w:sz w:val="17"/>
                <w:szCs w:val="17"/>
              </w:rPr>
              <w:t xml:space="preserve">_______________________________</w:t>
            </w:r>
          </w:p>
        </w:tc>
      </w:tr>
    </w:tbl>
    <w:p>
      <w:pPr>
        <w:spacing w:after="60" w:before="60"/>
      </w:pPr>
    </w:p>
    <w:p>
      <w:pPr>
        <w:spacing w:after="60" w:before="120"/>
        <w:jc w:val="center"/>
      </w:pPr>
      <w:r>
        <w:rPr>
          <w:rFonts w:ascii="Arial" w:cs="Arial" w:eastAsia="Arial" w:hAnsi="Arial"/>
          <w:b/>
          <w:bCs/>
          <w:color w:val="212529"/>
          <w:sz w:val="18"/>
          <w:szCs w:val="18"/>
        </w:rPr>
        <w:t xml:space="preserve">Agreement Date: ________________________</w:t>
      </w:r>
    </w:p>
    <w:p>
      <w:pPr>
        <w:pageBreakBefore/>
      </w:pPr>
    </w:p>
    <w:p>
      <w:pPr>
        <w:sectPr>
          <w:pgSz w:w="12240" w:h="15840" w:orient="portrait"/>
          <w:pgMar w:top="1440" w:right="1440" w:bottom="1440" w:left="1440" w:header="708" w:footer="708" w:gutter="0"/>
          <w:pgNumType/>
          <w:docGrid w:linePitch="360"/>
        </w:sectPr>
      </w:pPr>
    </w:p>
    <w:p>
      <w:pPr>
        <w:pStyle w:val="Heading1"/>
        <w:shd w:fill="E63946" w:val="clear"/>
        <w:spacing w:after="200" w:before="400"/>
        <w:ind w:left="180" w:right="180"/>
      </w:pPr>
      <w:r>
        <w:rPr>
          <w:rFonts w:ascii="Arial" w:cs="Arial" w:eastAsia="Arial" w:hAnsi="Arial"/>
          <w:b/>
          <w:bCs/>
          <w:color w:val="FFFFFF"/>
          <w:sz w:val="34"/>
          <w:szCs w:val="34"/>
        </w:rPr>
        <w:t xml:space="preserve">RECITALS</w:t>
      </w:r>
    </w:p>
    <w:p>
      <w:pPr>
        <w:spacing w:after="160" w:before="80" w:line="320"/>
        <w:jc w:val="both"/>
      </w:pPr>
      <w:r>
        <w:rPr>
          <w:rFonts w:ascii="Arial" w:cs="Arial" w:eastAsia="Arial" w:hAnsi="Arial"/>
          <w:b w:val="false"/>
          <w:bCs w:val="false"/>
          <w:i w:val="false"/>
          <w:iCs w:val="false"/>
          <w:color w:val="212529"/>
          <w:sz w:val="20"/>
          <w:szCs w:val="20"/>
        </w:rPr>
        <w:t xml:space="preserve">WHEREAS, the Company operates HIVAGO, an on-demand food delivery marketplace technology platform ('Platform') that connects customers ('Users') with restaurant and food service establishments ('Restaurant Partners') and facilitates last-mile delivery of food orders within Airoli, Navi Mumbai, and such other locations as the Company may designate from time to time;</w:t>
      </w:r>
    </w:p>
    <w:p>
      <w:pPr>
        <w:spacing w:after="160" w:before="80" w:line="320"/>
        <w:jc w:val="both"/>
      </w:pPr>
      <w:r>
        <w:rPr>
          <w:rFonts w:ascii="Arial" w:cs="Arial" w:eastAsia="Arial" w:hAnsi="Arial"/>
          <w:b w:val="false"/>
          <w:bCs w:val="false"/>
          <w:i w:val="false"/>
          <w:iCs w:val="false"/>
          <w:color w:val="212529"/>
          <w:sz w:val="20"/>
          <w:szCs w:val="20"/>
        </w:rPr>
        <w:t xml:space="preserve">WHEREAS, the Delivery Partner is an independent individual or entity who owns or operates a motor vehicle or bicycle and desires to use the Platform's technology tools to receive delivery assignment notifications and earn delivery fees for completing food delivery assignments on their own terms;</w:t>
      </w:r>
    </w:p>
    <w:p>
      <w:pPr>
        <w:spacing w:after="160" w:before="80" w:line="320"/>
        <w:jc w:val="both"/>
      </w:pPr>
      <w:r>
        <w:rPr>
          <w:rFonts w:ascii="Arial" w:cs="Arial" w:eastAsia="Arial" w:hAnsi="Arial"/>
          <w:b w:val="false"/>
          <w:bCs w:val="false"/>
          <w:i w:val="false"/>
          <w:iCs w:val="false"/>
          <w:color w:val="212529"/>
          <w:sz w:val="20"/>
          <w:szCs w:val="20"/>
        </w:rPr>
        <w:t xml:space="preserve">WHEREAS, both Parties desire to enter into this Agreement to set out the terms and conditions governing the Delivery Partner's access to and use of the Platform and the basis on which the Delivery Partner will independently provide delivery services to Users;</w:t>
      </w:r>
    </w:p>
    <w:p>
      <w:pPr>
        <w:spacing w:after="160" w:before="80" w:line="320"/>
        <w:jc w:val="both"/>
      </w:pPr>
      <w:r>
        <w:rPr>
          <w:rFonts w:ascii="Arial" w:cs="Arial" w:eastAsia="Arial" w:hAnsi="Arial"/>
          <w:b w:val="false"/>
          <w:bCs w:val="false"/>
          <w:i w:val="false"/>
          <w:iCs w:val="false"/>
          <w:color w:val="212529"/>
          <w:sz w:val="20"/>
          <w:szCs w:val="20"/>
        </w:rPr>
        <w:t xml:space="preserve">NOW, THEREFORE, in consideration of the mutual covenants and obligations set forth herein, the Parties agree as follows:</w:t>
      </w:r>
    </w:p>
    <w:p>
      <w:pPr>
        <w:spacing w:after="60" w:before="60"/>
      </w:pPr>
    </w:p>
    <w:p>
      <w:pPr>
        <w:pStyle w:val="Heading2"/>
        <w:shd w:fill="1A1A2E" w:val="clear"/>
        <w:spacing w:after="160" w:before="340"/>
        <w:ind w:left="180" w:right="180"/>
      </w:pPr>
      <w:r>
        <w:rPr>
          <w:rFonts w:ascii="Arial" w:cs="Arial" w:eastAsia="Arial" w:hAnsi="Arial"/>
          <w:b/>
          <w:bCs/>
          <w:color w:val="F4A261"/>
          <w:sz w:val="26"/>
          <w:szCs w:val="26"/>
        </w:rPr>
        <w:t xml:space="preserve">CLAUSE 1  —  </w:t>
      </w:r>
      <w:r>
        <w:rPr>
          <w:rFonts w:ascii="Arial" w:cs="Arial" w:eastAsia="Arial" w:hAnsi="Arial"/>
          <w:b/>
          <w:bCs/>
          <w:color w:val="FFFFFF"/>
          <w:sz w:val="26"/>
          <w:szCs w:val="26"/>
        </w:rPr>
        <w:t xml:space="preserve">DEFINITIONS AND INTERPRETATION</w:t>
      </w:r>
    </w:p>
    <w:p>
      <w:pPr>
        <w:spacing w:after="160" w:before="80" w:line="320"/>
        <w:jc w:val="both"/>
      </w:pPr>
      <w:r>
        <w:rPr>
          <w:rFonts w:ascii="Arial" w:cs="Arial" w:eastAsia="Arial" w:hAnsi="Arial"/>
          <w:b w:val="false"/>
          <w:bCs w:val="false"/>
          <w:i w:val="false"/>
          <w:iCs w:val="false"/>
          <w:color w:val="212529"/>
          <w:sz w:val="20"/>
          <w:szCs w:val="20"/>
        </w:rPr>
        <w:t xml:space="preserve">1.1  In this Agreement, unless the context otherwise requires, the following terms shall have the meanings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9360"/>
            <w:gridSpan w:val="2"/>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Defined Terms</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"Agreement"</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This Delivery Partner Agreement, as amended from time to time, including all schedules and annexures.</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"Platform"</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The HIVAGO mobile application (Delivery Partner app and Customer app), website, and associated technology infrastructure operated by the Company.</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"Delivery Assignment"</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A food delivery task generated by the Platform following a User's Order, which is offered to the Delivery Partner through the Delivery Partner App.</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"Delivery Fee"</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The per-trip fee payable by the Company to the Delivery Partner upon successful completion of a Delivery Assignment, as set out in Schedule A.</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"Surge Fee"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An additional fee payable in addition to the base Delivery Fee during high-demand periods, inclement weather, or peak hours, as determined by the Company's dynamic pricing algorithm.</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"Incentive"</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Performance-based monetary rewards payable to Delivery Partners who meet or exceed defined delivery targets within a specified period, as published on the Delivery Partner App.</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"Tip"</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A voluntary additional payment made by a User through the Platform to the Delivery Partner as a gratuity for satisfactory service.</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"Settlement Cycle"</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The payment cycle on which the Company disburses accumulated Delivery Fees, Surge Fees, Incentives, and Tips to the Delivery Partner, as detailed in Clause 8.</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"BGV"</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Background Verification — the process of verifying the Delivery Partner's identity, criminal record, and antecedents through a third-party verification agency appointed by the Company.</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"Onboarding"</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The process by which a Delivery Partner completes document submission, BGV clearance, and account activation on the Delivery Partner App.</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"Active Status"</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The status of a Delivery Partner whose account is fully onboarded, in good standing, and eligible to receive Delivery Assignments.</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"Deactivation"</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Temporary or permanent suspension of the Delivery Partner's access to the Platform and Delivery Assignments.</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"Applicable Laws"</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All laws, rules, regulations, and guidelines applicable in the Republic of India, including but not limited to the Income Tax Act, 1961; the Motor Vehicles Act, 1988; the Information Technology Act, 2000; the Digital Personal Data Protection Act, 2023; the Code on Social Security, 2020; and all rules and regulations thereunder.</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"TDS"</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Tax Deducted at Source under Section 194C of the Income Tax Act, 1961, deducted by the Company from payments to the Delivery Partner as required by law.</w:t>
            </w:r>
          </w:p>
        </w:tc>
      </w:tr>
    </w:tbl>
    <w:p>
      <w:pPr>
        <w:spacing w:after="60" w:before="60"/>
      </w:pPr>
    </w:p>
    <w:p>
      <w:pPr>
        <w:spacing w:after="160" w:before="80" w:line="320"/>
        <w:jc w:val="both"/>
      </w:pPr>
      <w:r>
        <w:rPr>
          <w:rFonts w:ascii="Arial" w:cs="Arial" w:eastAsia="Arial" w:hAnsi="Arial"/>
          <w:b w:val="false"/>
          <w:bCs w:val="false"/>
          <w:i w:val="false"/>
          <w:iCs w:val="false"/>
          <w:color w:val="212529"/>
          <w:sz w:val="20"/>
          <w:szCs w:val="20"/>
        </w:rPr>
        <w:t xml:space="preserve">1.2  References to 'Clauses' and 'Schedules' are to clauses and schedules of this Agreement. Headings are for reference only and do not affect interpretation.</w:t>
      </w:r>
    </w:p>
    <w:p>
      <w:pPr>
        <w:spacing w:after="160" w:before="80" w:line="320"/>
        <w:jc w:val="both"/>
      </w:pPr>
      <w:r>
        <w:rPr>
          <w:rFonts w:ascii="Arial" w:cs="Arial" w:eastAsia="Arial" w:hAnsi="Arial"/>
          <w:b w:val="false"/>
          <w:bCs w:val="false"/>
          <w:i w:val="false"/>
          <w:iCs w:val="false"/>
          <w:color w:val="212529"/>
          <w:sz w:val="20"/>
          <w:szCs w:val="20"/>
        </w:rPr>
        <w:t xml:space="preserve">1.3  Words importing the singular include the plural and vice versa. References to any law include all amendments, re-enactments, and subsidiary legislation made under it.</w:t>
      </w:r>
    </w:p>
    <w:p>
      <w:pPr>
        <w:pStyle w:val="Heading2"/>
        <w:shd w:fill="1A1A2E" w:val="clear"/>
        <w:spacing w:after="160" w:before="340"/>
        <w:ind w:left="180" w:right="180"/>
      </w:pPr>
      <w:r>
        <w:rPr>
          <w:rFonts w:ascii="Arial" w:cs="Arial" w:eastAsia="Arial" w:hAnsi="Arial"/>
          <w:b/>
          <w:bCs/>
          <w:color w:val="F4A261"/>
          <w:sz w:val="26"/>
          <w:szCs w:val="26"/>
        </w:rPr>
        <w:t xml:space="preserve">CLAUSE 2  —  </w:t>
      </w:r>
      <w:r>
        <w:rPr>
          <w:rFonts w:ascii="Arial" w:cs="Arial" w:eastAsia="Arial" w:hAnsi="Arial"/>
          <w:b/>
          <w:bCs/>
          <w:color w:val="FFFFFF"/>
          <w:sz w:val="26"/>
          <w:szCs w:val="26"/>
        </w:rPr>
        <w:t xml:space="preserve">NATURE OF RELATIONSHIP — INDEPENDENT CONTRACTOR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10"/>
              <w:left w:val="single" w:color="E63946" w:sz="28"/>
              <w:bottom w:val="single" w:color="E63946" w:sz="10"/>
              <w:right w:val="single" w:color="E63946" w:sz="10"/>
            </w:tcBorders>
            <w:shd w:fill="FFF0F0" w:val="clear"/>
            <w:tcMar>
              <w:top w:type="dxa" w:w="140"/>
              <w:left w:type="dxa" w:w="220"/>
              <w:bottom w:type="dxa" w:w="140"/>
              <w:right w:type="dxa" w:w="220"/>
            </w:tcMar>
          </w:tcPr>
          <w:p>
            <w:pPr>
              <w:spacing w:after="80"/>
            </w:pPr>
            <w:r>
              <w:rPr>
                <w:rFonts w:ascii="Arial" w:cs="Arial" w:eastAsia="Arial" w:hAnsi="Arial"/>
                <w:b/>
                <w:bCs/>
                <w:color w:val="E63946"/>
                <w:sz w:val="18"/>
                <w:szCs w:val="18"/>
              </w:rPr>
              <w:t xml:space="preserve">CRITICAL LEGAL NOTICE — PLEASE READ</w:t>
            </w:r>
          </w:p>
          <w:p>
            <w:pPr>
              <w:spacing w:after="40" w:before="40" w:line="280"/>
            </w:pPr>
            <w:r>
              <w:rPr>
                <w:rFonts w:ascii="Arial" w:cs="Arial" w:eastAsia="Arial" w:hAnsi="Arial"/>
                <w:color w:val="212529"/>
                <w:sz w:val="18"/>
                <w:szCs w:val="18"/>
              </w:rPr>
              <w:t xml:space="preserve">You are an INDEPENDENT GIG WORKER / INDEPENDENT CONTRACTOR and NOT an employee, agent, partner, or representative of WaradaVinayaka Private Limited or HIVAGO.</w:t>
            </w:r>
          </w:p>
          <w:p>
            <w:pPr>
              <w:spacing w:after="40" w:before="40" w:line="280"/>
            </w:pPr>
            <w:r>
              <w:rPr>
                <w:rFonts w:ascii="Arial" w:cs="Arial" w:eastAsia="Arial" w:hAnsi="Arial"/>
                <w:color w:val="212529"/>
                <w:sz w:val="18"/>
                <w:szCs w:val="18"/>
              </w:rPr>
              <w:t xml:space="preserve">This Agreement does not create an employer-employee relationship under any applicable law, including the Industrial Disputes Act, 1947, the Employees' Provident Funds Act, 1952, the Employees' State Insurance Act, 1948, or any other labour law.</w:t>
            </w:r>
          </w:p>
          <w:p>
            <w:pPr>
              <w:spacing w:after="40" w:before="40" w:line="280"/>
            </w:pPr>
            <w:r>
              <w:rPr>
                <w:rFonts w:ascii="Arial" w:cs="Arial" w:eastAsia="Arial" w:hAnsi="Arial"/>
                <w:color w:val="212529"/>
                <w:sz w:val="18"/>
                <w:szCs w:val="18"/>
              </w:rPr>
              <w:t xml:space="preserve">You are free to accept or reject any Delivery Assignment at your complete discretion. You may work for other platforms or businesses simultaneously. You set your own working hours.</w:t>
            </w:r>
          </w:p>
          <w:p>
            <w:pPr>
              <w:spacing w:after="40" w:before="40" w:line="280"/>
            </w:pPr>
            <w:r>
              <w:rPr>
                <w:rFonts w:ascii="Arial" w:cs="Arial" w:eastAsia="Arial" w:hAnsi="Arial"/>
                <w:color w:val="212529"/>
                <w:sz w:val="18"/>
                <w:szCs w:val="18"/>
              </w:rPr>
              <w:t xml:space="preserve">As an independent contractor, you are solely responsible for your own income tax filings, professional tax, and any other fiscal or regulatory obligations arising from earnings under this Agreement.</w:t>
            </w:r>
          </w:p>
        </w:tc>
      </w:tr>
    </w:tbl>
    <w:p>
      <w:pPr>
        <w:spacing w:after="160" w:before="80" w:line="320"/>
        <w:jc w:val="both"/>
      </w:pPr>
      <w:r>
        <w:rPr>
          <w:rFonts w:ascii="Arial" w:cs="Arial" w:eastAsia="Arial" w:hAnsi="Arial"/>
          <w:b w:val="false"/>
          <w:bCs w:val="false"/>
          <w:i w:val="false"/>
          <w:iCs w:val="false"/>
          <w:color w:val="212529"/>
          <w:sz w:val="20"/>
          <w:szCs w:val="20"/>
        </w:rPr>
        <w:t xml:space="preserve">2.1  Independent Contractor: The Delivery Partner is engaged by the Company as an independent contractor. The Delivery Partner shall perform Delivery Assignments at their own discretion, using their own vehicle, equipment, and judgment. Nothing in this Agreement shall be construed as creating an employment, agency, partnership, franchise, or joint venture relationship between the Parties.</w:t>
      </w:r>
    </w:p>
    <w:p>
      <w:pPr>
        <w:spacing w:after="160" w:before="80" w:line="320"/>
        <w:jc w:val="both"/>
      </w:pPr>
      <w:r>
        <w:rPr>
          <w:rFonts w:ascii="Arial" w:cs="Arial" w:eastAsia="Arial" w:hAnsi="Arial"/>
          <w:b w:val="false"/>
          <w:bCs w:val="false"/>
          <w:i w:val="false"/>
          <w:iCs w:val="false"/>
          <w:color w:val="212529"/>
          <w:sz w:val="20"/>
          <w:szCs w:val="20"/>
        </w:rPr>
        <w:t xml:space="preserve">2.2  No Exclusivity: This Agreement does not impose any exclusivity obligation on the Delivery Partner. The Delivery Partner is free to simultaneously work for other food delivery platforms, logistics companies, or any other lawful business, provided such work does not breach the confidentiality obligations in Clause 14 of this Agreement.</w:t>
      </w:r>
    </w:p>
    <w:p>
      <w:pPr>
        <w:spacing w:after="160" w:before="80" w:line="320"/>
        <w:jc w:val="both"/>
      </w:pPr>
      <w:r>
        <w:rPr>
          <w:rFonts w:ascii="Arial" w:cs="Arial" w:eastAsia="Arial" w:hAnsi="Arial"/>
          <w:b w:val="false"/>
          <w:bCs w:val="false"/>
          <w:i w:val="false"/>
          <w:iCs w:val="false"/>
          <w:color w:val="212529"/>
          <w:sz w:val="20"/>
          <w:szCs w:val="20"/>
        </w:rPr>
        <w:t xml:space="preserve">2.3  No Guaranteed Work: The Company does not guarantee any minimum number of Delivery Assignments, minimum earnings, or minimum active hours to the Delivery Partner. The availability of Delivery Assignments depends on User demand, geographic zone activity, and Platform conditions at any given time.</w:t>
      </w:r>
    </w:p>
    <w:p>
      <w:pPr>
        <w:spacing w:after="160" w:before="80" w:line="320"/>
        <w:jc w:val="both"/>
      </w:pPr>
      <w:r>
        <w:rPr>
          <w:rFonts w:ascii="Arial" w:cs="Arial" w:eastAsia="Arial" w:hAnsi="Arial"/>
          <w:b w:val="false"/>
          <w:bCs w:val="false"/>
          <w:i w:val="false"/>
          <w:iCs w:val="false"/>
          <w:color w:val="212529"/>
          <w:sz w:val="20"/>
          <w:szCs w:val="20"/>
        </w:rPr>
        <w:t xml:space="preserve">2.4  No Employee Benefits: As an independent contractor, the Delivery Partner is not entitled to and shall not claim any employee benefits from the Company, including but not limited to: provident fund contributions, ESI benefits, gratuity, paid leave, medical insurance, overtime pay, or any statutory employment benefit under any Central or State law.</w:t>
      </w:r>
    </w:p>
    <w:p>
      <w:pPr>
        <w:spacing w:after="160" w:before="80" w:line="320"/>
        <w:jc w:val="both"/>
      </w:pPr>
      <w:r>
        <w:rPr>
          <w:rFonts w:ascii="Arial" w:cs="Arial" w:eastAsia="Arial" w:hAnsi="Arial"/>
          <w:b w:val="false"/>
          <w:bCs w:val="false"/>
          <w:i w:val="false"/>
          <w:iCs w:val="false"/>
          <w:color w:val="212529"/>
          <w:sz w:val="20"/>
          <w:szCs w:val="20"/>
        </w:rPr>
        <w:t xml:space="preserve">2.5  Gig Worker Protections: The Company acknowledges the evolving legislative landscape governing gig and platform workers in India, including the Code on Social Security, 2020. The Company will, to the extent required by applicable notifications or rules under that Code, comply with obligations as an 'aggregator' in respect of gig workers. The Company will notify the Delivery Partner of any such applicable obligations as they arise.</w:t>
      </w:r>
    </w:p>
    <w:p>
      <w:pPr>
        <w:spacing w:after="160" w:before="80" w:line="320"/>
        <w:jc w:val="both"/>
      </w:pPr>
      <w:r>
        <w:rPr>
          <w:rFonts w:ascii="Arial" w:cs="Arial" w:eastAsia="Arial" w:hAnsi="Arial"/>
          <w:b w:val="false"/>
          <w:bCs w:val="false"/>
          <w:i w:val="false"/>
          <w:iCs w:val="false"/>
          <w:color w:val="212529"/>
          <w:sz w:val="20"/>
          <w:szCs w:val="20"/>
        </w:rPr>
        <w:t xml:space="preserve">2.6  Tax Responsibility: The Delivery Partner is solely responsible for: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Filing their own income tax returns and paying income tax on earnings under this Agreement;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Maintaining proper financial records of earnings received from the Company;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Paying any applicable professional tax, GST (if applicable based on turnover), or other taxes as required by law.</w:t>
      </w:r>
    </w:p>
    <w:p>
      <w:pPr>
        <w:spacing w:after="160" w:before="80" w:line="320"/>
        <w:jc w:val="both"/>
      </w:pPr>
      <w:r>
        <w:rPr>
          <w:rFonts w:ascii="Arial" w:cs="Arial" w:eastAsia="Arial" w:hAnsi="Arial"/>
          <w:b w:val="false"/>
          <w:bCs w:val="false"/>
          <w:i w:val="false"/>
          <w:iCs w:val="false"/>
          <w:color w:val="212529"/>
          <w:sz w:val="20"/>
          <w:szCs w:val="20"/>
        </w:rPr>
        <w:t xml:space="preserve">The Company's obligation is limited to deducting TDS under Section 194C at the applicable rate and issuing Form 16A to the Delivery Partner annually.</w:t>
      </w:r>
    </w:p>
    <w:p>
      <w:pPr>
        <w:pStyle w:val="Heading2"/>
        <w:shd w:fill="1A1A2E" w:val="clear"/>
        <w:spacing w:after="160" w:before="340"/>
        <w:ind w:left="180" w:right="180"/>
      </w:pPr>
      <w:r>
        <w:rPr>
          <w:rFonts w:ascii="Arial" w:cs="Arial" w:eastAsia="Arial" w:hAnsi="Arial"/>
          <w:b/>
          <w:bCs/>
          <w:color w:val="F4A261"/>
          <w:sz w:val="26"/>
          <w:szCs w:val="26"/>
        </w:rPr>
        <w:t xml:space="preserve">CLAUSE 3  —  </w:t>
      </w:r>
      <w:r>
        <w:rPr>
          <w:rFonts w:ascii="Arial" w:cs="Arial" w:eastAsia="Arial" w:hAnsi="Arial"/>
          <w:b/>
          <w:bCs/>
          <w:color w:val="FFFFFF"/>
          <w:sz w:val="26"/>
          <w:szCs w:val="26"/>
        </w:rPr>
        <w:t xml:space="preserve">ONBOARDING, ELIGIBILITY, AND DOCUMENTATION</w:t>
      </w:r>
    </w:p>
    <w:p>
      <w:pPr>
        <w:pStyle w:val="Heading3"/>
        <w:spacing w:after="120" w:before="240"/>
      </w:pPr>
      <w:r>
        <w:rPr>
          <w:rFonts w:ascii="Arial" w:cs="Arial" w:eastAsia="Arial" w:hAnsi="Arial"/>
          <w:b/>
          <w:bCs/>
          <w:color w:val="1A1A2E"/>
          <w:sz w:val="22"/>
          <w:szCs w:val="22"/>
        </w:rPr>
        <w:t xml:space="preserve">3.1  Eligibility Criteria</w:t>
      </w:r>
    </w:p>
    <w:p>
      <w:pPr>
        <w:spacing w:after="160" w:before="80" w:line="320"/>
        <w:jc w:val="both"/>
      </w:pPr>
      <w:r>
        <w:rPr>
          <w:rFonts w:ascii="Arial" w:cs="Arial" w:eastAsia="Arial" w:hAnsi="Arial"/>
          <w:b w:val="false"/>
          <w:bCs w:val="false"/>
          <w:i w:val="false"/>
          <w:iCs w:val="false"/>
          <w:color w:val="212529"/>
          <w:sz w:val="20"/>
          <w:szCs w:val="20"/>
        </w:rPr>
        <w:t xml:space="preserve">The Delivery Partner must satisfy all of the following eligibility requirements at the time of onboarding and continuously throughout the term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9360"/>
            <w:gridSpan w:val="2"/>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Eligibility Requirements</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Age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Must be at least 18 (eighteen) years of age.</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Identity</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Must possess a valid government-issued photo identity document (Aadhaar Card, Voter ID, or Passport).</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Driving Licence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Must possess a valid driving licence issued by a competent authority under the Motor Vehicles Act, 1988, appropriate for the class of vehicle used.</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Vehicle</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Must own or have lawful possession of a roadworthy motor vehicle (two-wheeler, three-wheeler, or bicycle as approved by the Company) with valid registration.</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Vehicle Insurance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Must maintain at a minimum a valid third-party motor vehicle insurance policy for the vehicle used for Delivery Assignments at all times during the term of this Agreement.</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PAN</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Must possess a valid Permanent Account Number (PAN) issued by the Income Tax Department of India, required for TDS deduction under Section 194C.</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Bank Account</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Must hold an active bank account in their own name for receipt of payments.</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Mobile Device</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Must possess a compatible smartphone with internet connectivity and have the HIVAGO Delivery Partner App installed.</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BGV Clearance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Must successfully clear the Company's background verification process through the appointed third-party BGV provider.</w:t>
            </w:r>
          </w:p>
        </w:tc>
      </w:tr>
    </w:tbl>
    <w:p>
      <w:pPr>
        <w:spacing w:after="60" w:before="60"/>
      </w:pPr>
    </w:p>
    <w:p>
      <w:pPr>
        <w:pStyle w:val="Heading3"/>
        <w:spacing w:after="120" w:before="240"/>
      </w:pPr>
      <w:r>
        <w:rPr>
          <w:rFonts w:ascii="Arial" w:cs="Arial" w:eastAsia="Arial" w:hAnsi="Arial"/>
          <w:b/>
          <w:bCs/>
          <w:color w:val="1A1A2E"/>
          <w:sz w:val="22"/>
          <w:szCs w:val="22"/>
        </w:rPr>
        <w:t xml:space="preserve">3.2  Documents Required for Onboarding</w:t>
      </w:r>
    </w:p>
    <w:p>
      <w:pPr>
        <w:spacing w:after="160" w:before="80" w:line="320"/>
        <w:jc w:val="both"/>
      </w:pPr>
      <w:r>
        <w:rPr>
          <w:rFonts w:ascii="Arial" w:cs="Arial" w:eastAsia="Arial" w:hAnsi="Arial"/>
          <w:b w:val="false"/>
          <w:bCs w:val="false"/>
          <w:i w:val="false"/>
          <w:iCs w:val="false"/>
          <w:color w:val="212529"/>
          <w:sz w:val="20"/>
          <w:szCs w:val="20"/>
        </w:rPr>
        <w:t xml:space="preserve">The Delivery Partner shall submit the following documents as part of the onboarding process. Originals may be required for in-person verification where applicable: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Copy of government-issued photo identity proof (Aadhaar Card preferred);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Copy of valid Driving Licence (front and back);</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Copy of valid vehicle Registration Certificate (RC);</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Copy of current vehicle insurance policy certificate showing at least third-party coverage;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PAN Card copy;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Cancelled cheque or bank account statement showing account holder name, account number, and IFSC code;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Passport-sized photograph (recent);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Completed and signed copy of this Agreement.</w:t>
      </w:r>
    </w:p>
    <w:p>
      <w:pPr>
        <w:pStyle w:val="Heading3"/>
        <w:spacing w:after="120" w:before="240"/>
      </w:pPr>
      <w:r>
        <w:rPr>
          <w:rFonts w:ascii="Arial" w:cs="Arial" w:eastAsia="Arial" w:hAnsi="Arial"/>
          <w:b/>
          <w:bCs/>
          <w:color w:val="1A1A2E"/>
          <w:sz w:val="22"/>
          <w:szCs w:val="22"/>
        </w:rPr>
        <w:t xml:space="preserve">3.3  Background Verification (BGV)</w:t>
      </w:r>
    </w:p>
    <w:p>
      <w:pPr>
        <w:spacing w:after="160" w:before="80" w:line="320"/>
        <w:jc w:val="both"/>
      </w:pPr>
      <w:r>
        <w:rPr>
          <w:rFonts w:ascii="Arial" w:cs="Arial" w:eastAsia="Arial" w:hAnsi="Arial"/>
          <w:b w:val="false"/>
          <w:bCs w:val="false"/>
          <w:i w:val="false"/>
          <w:iCs w:val="false"/>
          <w:color w:val="212529"/>
          <w:sz w:val="20"/>
          <w:szCs w:val="20"/>
        </w:rPr>
        <w:t xml:space="preserve">3.3.1  All Delivery Partners are required to undergo a mandatory background verification process conducted by a third-party agency appointed by the Company. Onboarding is conditional upon successful BGV clearance.</w:t>
      </w:r>
    </w:p>
    <w:p>
      <w:pPr>
        <w:spacing w:after="160" w:before="80" w:line="320"/>
        <w:jc w:val="both"/>
      </w:pPr>
      <w:r>
        <w:rPr>
          <w:rFonts w:ascii="Arial" w:cs="Arial" w:eastAsia="Arial" w:hAnsi="Arial"/>
          <w:b w:val="false"/>
          <w:bCs w:val="false"/>
          <w:i w:val="false"/>
          <w:iCs w:val="false"/>
          <w:color w:val="212529"/>
          <w:sz w:val="20"/>
          <w:szCs w:val="20"/>
        </w:rPr>
        <w:t xml:space="preserve">3.3.2  The BGV process includes verification of identity, address, driving record, and criminal antecedents. By signing this Agreement, the Delivery Partner: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Consents to the collection, processing, and sharing of their personal data with the third-party BGV provider for the sole purpose of background verification;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Represents that all information and documents submitted for BGV are genuine, accurate, and complete;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Acknowledges that any misrepresentation, forgery, or omission in BGV documents constitutes grounds for immediate termination of this Agreement and may result in criminal proceedings.</w:t>
      </w:r>
    </w:p>
    <w:p>
      <w:pPr>
        <w:spacing w:after="160" w:before="80" w:line="320"/>
        <w:jc w:val="both"/>
      </w:pPr>
      <w:r>
        <w:rPr>
          <w:rFonts w:ascii="Arial" w:cs="Arial" w:eastAsia="Arial" w:hAnsi="Arial"/>
          <w:b w:val="false"/>
          <w:bCs w:val="false"/>
          <w:i w:val="false"/>
          <w:iCs w:val="false"/>
          <w:color w:val="212529"/>
          <w:sz w:val="20"/>
          <w:szCs w:val="20"/>
        </w:rPr>
        <w:t xml:space="preserve">3.3.3  BGV results are confidential. The Company will not disclose the specific findings of a BGV report to third parties except as required by law.</w:t>
      </w:r>
    </w:p>
    <w:p>
      <w:pPr>
        <w:spacing w:after="160" w:before="80" w:line="320"/>
        <w:jc w:val="both"/>
      </w:pPr>
      <w:r>
        <w:rPr>
          <w:rFonts w:ascii="Arial" w:cs="Arial" w:eastAsia="Arial" w:hAnsi="Arial"/>
          <w:b w:val="false"/>
          <w:bCs w:val="false"/>
          <w:i w:val="false"/>
          <w:iCs w:val="false"/>
          <w:color w:val="212529"/>
          <w:sz w:val="20"/>
          <w:szCs w:val="20"/>
        </w:rPr>
        <w:t xml:space="preserve">3.3.4  Ongoing BGV: The Company reserves the right to conduct periodic re-verification of the Delivery Partner's documents and criminal record during the term of this Agreement. The Delivery Partner agrees to cooperate with such re-verification requests within 7 (seven) days of notice.</w:t>
      </w:r>
    </w:p>
    <w:p>
      <w:pPr>
        <w:pStyle w:val="Heading3"/>
        <w:spacing w:after="120" w:before="240"/>
      </w:pPr>
      <w:r>
        <w:rPr>
          <w:rFonts w:ascii="Arial" w:cs="Arial" w:eastAsia="Arial" w:hAnsi="Arial"/>
          <w:b/>
          <w:bCs/>
          <w:color w:val="1A1A2E"/>
          <w:sz w:val="22"/>
          <w:szCs w:val="22"/>
        </w:rPr>
        <w:t xml:space="preserve">3.4  Responsibility for Document Currency</w:t>
      </w:r>
    </w:p>
    <w:p>
      <w:pPr>
        <w:spacing w:after="160" w:before="80" w:line="320"/>
        <w:jc w:val="both"/>
      </w:pPr>
      <w:r>
        <w:rPr>
          <w:rFonts w:ascii="Arial" w:cs="Arial" w:eastAsia="Arial" w:hAnsi="Arial"/>
          <w:b w:val="false"/>
          <w:bCs w:val="false"/>
          <w:i w:val="false"/>
          <w:iCs w:val="false"/>
          <w:color w:val="212529"/>
          <w:sz w:val="20"/>
          <w:szCs w:val="20"/>
        </w:rPr>
        <w:t xml:space="preserve">The Delivery Partner is solely responsible for ensuring that all submitted documents — particularly driving licence, vehicle insurance, and vehicle registration — remain valid and current throughout the term of this Agreement. The Delivery Partner must proactively notify the Company and upload updated documents within 5 (five) days of any renewal or change. Failure to maintain valid documents is grounds for Deactivation.</w:t>
      </w:r>
    </w:p>
    <w:p>
      <w:pPr>
        <w:pStyle w:val="Heading2"/>
        <w:shd w:fill="1A1A2E" w:val="clear"/>
        <w:spacing w:after="160" w:before="340"/>
        <w:ind w:left="180" w:right="180"/>
      </w:pPr>
      <w:r>
        <w:rPr>
          <w:rFonts w:ascii="Arial" w:cs="Arial" w:eastAsia="Arial" w:hAnsi="Arial"/>
          <w:b/>
          <w:bCs/>
          <w:color w:val="F4A261"/>
          <w:sz w:val="26"/>
          <w:szCs w:val="26"/>
        </w:rPr>
        <w:t xml:space="preserve">CLAUSE 4  —  </w:t>
      </w:r>
      <w:r>
        <w:rPr>
          <w:rFonts w:ascii="Arial" w:cs="Arial" w:eastAsia="Arial" w:hAnsi="Arial"/>
          <w:b/>
          <w:bCs/>
          <w:color w:val="FFFFFF"/>
          <w:sz w:val="26"/>
          <w:szCs w:val="26"/>
        </w:rPr>
        <w:t xml:space="preserve">DELIVERY OPERATIONS AND SERVICE STANDARDS</w:t>
      </w:r>
    </w:p>
    <w:p>
      <w:pPr>
        <w:pStyle w:val="Heading3"/>
        <w:spacing w:after="120" w:before="240"/>
      </w:pPr>
      <w:r>
        <w:rPr>
          <w:rFonts w:ascii="Arial" w:cs="Arial" w:eastAsia="Arial" w:hAnsi="Arial"/>
          <w:b/>
          <w:bCs/>
          <w:color w:val="1A1A2E"/>
          <w:sz w:val="22"/>
          <w:szCs w:val="22"/>
        </w:rPr>
        <w:t xml:space="preserve">4.1  Receiving and Accepting Delivery Assignments</w:t>
      </w:r>
    </w:p>
    <w:p>
      <w:pPr>
        <w:spacing w:after="160" w:before="80" w:line="320"/>
        <w:jc w:val="both"/>
      </w:pPr>
      <w:r>
        <w:rPr>
          <w:rFonts w:ascii="Arial" w:cs="Arial" w:eastAsia="Arial" w:hAnsi="Arial"/>
          <w:b w:val="false"/>
          <w:bCs w:val="false"/>
          <w:i w:val="false"/>
          <w:iCs w:val="false"/>
          <w:color w:val="212529"/>
          <w:sz w:val="20"/>
          <w:szCs w:val="20"/>
        </w:rPr>
        <w:t xml:space="preserve">4.1.1  Delivery Assignments are offered to the Delivery Partner through the HIVAGO Delivery Partner App based on the Delivery Partner's location, availability status, and the Company's assignment algorithm. The Delivery Partner has complete discretion to accept or decline any Delivery Assignment without penalty.</w:t>
      </w:r>
    </w:p>
    <w:p>
      <w:pPr>
        <w:spacing w:after="160" w:before="80" w:line="320"/>
        <w:jc w:val="both"/>
      </w:pPr>
      <w:r>
        <w:rPr>
          <w:rFonts w:ascii="Arial" w:cs="Arial" w:eastAsia="Arial" w:hAnsi="Arial"/>
          <w:b w:val="false"/>
          <w:bCs w:val="false"/>
          <w:i w:val="false"/>
          <w:iCs w:val="false"/>
          <w:color w:val="212529"/>
          <w:sz w:val="20"/>
          <w:szCs w:val="20"/>
        </w:rPr>
        <w:t xml:space="preserve">4.1.2  Once a Delivery Assignment is accepted by the Delivery Partner, the Delivery Partner is expected to:</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Proceed promptly to the Restaurant Partner's location to collect the Order;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Collect the complete, sealed Order package from the Restaurant Partner and verify the Order details against the Delivery Partner App display;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Deliver the Order to the User's designated address as displayed on the Delivery Partner App;</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Confirm delivery completion on the Delivery Partner App upon handing the Order to the User or leaving it at the designated safe spot (where authorised).</w:t>
      </w:r>
    </w:p>
    <w:p>
      <w:pPr>
        <w:spacing w:after="160" w:before="80" w:line="320"/>
        <w:jc w:val="both"/>
      </w:pPr>
      <w:r>
        <w:rPr>
          <w:rFonts w:ascii="Arial" w:cs="Arial" w:eastAsia="Arial" w:hAnsi="Arial"/>
          <w:b w:val="false"/>
          <w:bCs w:val="false"/>
          <w:i w:val="false"/>
          <w:iCs w:val="false"/>
          <w:color w:val="212529"/>
          <w:sz w:val="20"/>
          <w:szCs w:val="20"/>
        </w:rPr>
        <w:t xml:space="preserve">4.1.3  Acceptance Withdrawal: Once a Delivery Assignment is accepted, the Delivery Partner should not abandon it without genuine cause. Frequent mid-assignment cancellations may adversely affect the Delivery Partner's acceptance rate and eligibility for Incentives, and in extreme cases may constitute grounds for Deactivation.</w:t>
      </w:r>
    </w:p>
    <w:p>
      <w:pPr>
        <w:pStyle w:val="Heading3"/>
        <w:spacing w:after="120" w:before="240"/>
      </w:pPr>
      <w:r>
        <w:rPr>
          <w:rFonts w:ascii="Arial" w:cs="Arial" w:eastAsia="Arial" w:hAnsi="Arial"/>
          <w:b/>
          <w:bCs/>
          <w:color w:val="1A1A2E"/>
          <w:sz w:val="22"/>
          <w:szCs w:val="22"/>
        </w:rPr>
        <w:t xml:space="preserve">4.2  Service Standards</w:t>
      </w:r>
    </w:p>
    <w:p>
      <w:pPr>
        <w:spacing w:after="160" w:before="80" w:line="320"/>
        <w:jc w:val="both"/>
      </w:pPr>
      <w:r>
        <w:rPr>
          <w:rFonts w:ascii="Arial" w:cs="Arial" w:eastAsia="Arial" w:hAnsi="Arial"/>
          <w:b w:val="false"/>
          <w:bCs w:val="false"/>
          <w:i w:val="false"/>
          <w:iCs w:val="false"/>
          <w:color w:val="212529"/>
          <w:sz w:val="20"/>
          <w:szCs w:val="20"/>
        </w:rPr>
        <w:t xml:space="preserve">While the Delivery Partner is not an employee and operates independently, the following minimum service standards are expected to protect Users' experience and maintain Platform integrity: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Handle all food packages with reasonable care to prevent damage, spillage, or contamination;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Maintain appropriate personal hygiene and presentable conduct during delivery;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Communicate professionally and respectfully with Users and Restaurant Partner staff;</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Not consume, tamper with, or open any sealed food package;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Not misrepresent delivery status on the Delivery Partner App — do not mark an order 'Delivered' before actual delivery;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Adhere to applicable traffic laws and road safety requirements at all times;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Not operate the vehicle under the influence of alcohol, narcotics, or any substance that impairs judgment;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Not use the Delivery Partner App while actively operating a vehicle.</w:t>
      </w:r>
    </w:p>
    <w:p>
      <w:pPr>
        <w:pStyle w:val="Heading3"/>
        <w:spacing w:after="120" w:before="240"/>
      </w:pPr>
      <w:r>
        <w:rPr>
          <w:rFonts w:ascii="Arial" w:cs="Arial" w:eastAsia="Arial" w:hAnsi="Arial"/>
          <w:b/>
          <w:bCs/>
          <w:color w:val="1A1A2E"/>
          <w:sz w:val="22"/>
          <w:szCs w:val="22"/>
        </w:rPr>
        <w:t xml:space="preserve">4.3  No Live GPS Tracking Disclosure</w:t>
      </w:r>
    </w:p>
    <w:p>
      <w:pPr>
        <w:spacing w:after="160" w:before="80" w:line="320"/>
        <w:jc w:val="both"/>
      </w:pPr>
      <w:r>
        <w:rPr>
          <w:rFonts w:ascii="Arial" w:cs="Arial" w:eastAsia="Arial" w:hAnsi="Arial"/>
          <w:b w:val="false"/>
          <w:bCs w:val="false"/>
          <w:i w:val="false"/>
          <w:iCs w:val="false"/>
          <w:color w:val="212529"/>
          <w:sz w:val="20"/>
          <w:szCs w:val="20"/>
        </w:rPr>
        <w:t xml:space="preserve">The Delivery Partner acknowledges that the HIVAGO Customer App does not currently provide Users with real-time GPS-based live order tracking. The Delivery Partner's location data collected during active Delivery Assignments is used solely for internal dispatch management, fraud prevention, and delivery dispute resolution, and is not shared with Users in real time.</w:t>
      </w:r>
    </w:p>
    <w:p>
      <w:pPr>
        <w:pStyle w:val="Heading3"/>
        <w:spacing w:after="120" w:before="240"/>
      </w:pPr>
      <w:r>
        <w:rPr>
          <w:rFonts w:ascii="Arial" w:cs="Arial" w:eastAsia="Arial" w:hAnsi="Arial"/>
          <w:b/>
          <w:bCs/>
          <w:color w:val="1A1A2E"/>
          <w:sz w:val="22"/>
          <w:szCs w:val="22"/>
        </w:rPr>
        <w:t xml:space="preserve">4.4  Tip Collection</w:t>
      </w:r>
    </w:p>
    <w:p>
      <w:pPr>
        <w:spacing w:after="160" w:before="80" w:line="320"/>
        <w:jc w:val="both"/>
      </w:pPr>
      <w:r>
        <w:rPr>
          <w:rFonts w:ascii="Arial" w:cs="Arial" w:eastAsia="Arial" w:hAnsi="Arial"/>
          <w:b w:val="false"/>
          <w:bCs w:val="false"/>
          <w:i w:val="false"/>
          <w:iCs w:val="false"/>
          <w:color w:val="212529"/>
          <w:sz w:val="20"/>
          <w:szCs w:val="20"/>
        </w:rPr>
        <w:t xml:space="preserve">Users may offer a tip to the Delivery Partner through the Platform. All tip amounts are collected by the Company through the payment gateway and disbursed to the Delivery Partner in full as part of the Settlement Cycle. The Company does not deduct any portion of User tips. Tips are not guaranteed and form no part of the base earnings calculation.</w:t>
      </w:r>
    </w:p>
    <w:p>
      <w:pPr>
        <w:pStyle w:val="Heading3"/>
        <w:spacing w:after="120" w:before="240"/>
      </w:pPr>
      <w:r>
        <w:rPr>
          <w:rFonts w:ascii="Arial" w:cs="Arial" w:eastAsia="Arial" w:hAnsi="Arial"/>
          <w:b/>
          <w:bCs/>
          <w:color w:val="1A1A2E"/>
          <w:sz w:val="22"/>
          <w:szCs w:val="22"/>
        </w:rPr>
        <w:t xml:space="preserve">4.5  Equipment, Vehicle, and Fuel</w:t>
      </w:r>
    </w:p>
    <w:p>
      <w:pPr>
        <w:spacing w:after="160" w:before="80" w:line="320"/>
        <w:jc w:val="both"/>
      </w:pPr>
      <w:r>
        <w:rPr>
          <w:rFonts w:ascii="Arial" w:cs="Arial" w:eastAsia="Arial" w:hAnsi="Arial"/>
          <w:b w:val="false"/>
          <w:bCs w:val="false"/>
          <w:i w:val="false"/>
          <w:iCs w:val="false"/>
          <w:color w:val="212529"/>
          <w:sz w:val="20"/>
          <w:szCs w:val="20"/>
        </w:rPr>
        <w:t xml:space="preserve">The Company does not provide the Delivery Partner with any vehicle, fuel, mobile device, internet connectivity, delivery bag, uniform, or any other equipment. The Delivery Partner is solely responsible for all costs associated with operating, maintaining, fuelling, and insuring their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0"/>
              <w:left w:val="single" w:color="E6A817" w:sz="28"/>
              <w:bottom w:val="single" w:color="E6A817" w:sz="10"/>
              <w:right w:val="single" w:color="E6A817" w:sz="10"/>
            </w:tcBorders>
            <w:shd w:fill="FFF3CD" w:val="clear"/>
            <w:tcMar>
              <w:top w:type="dxa" w:w="140"/>
              <w:left w:type="dxa" w:w="220"/>
              <w:bottom w:type="dxa" w:w="140"/>
              <w:right w:type="dxa" w:w="220"/>
            </w:tcMar>
          </w:tcPr>
          <w:p>
            <w:pPr>
              <w:spacing w:after="80"/>
            </w:pPr>
            <w:r>
              <w:rPr>
                <w:rFonts w:ascii="Arial" w:cs="Arial" w:eastAsia="Arial" w:hAnsi="Arial"/>
                <w:b/>
                <w:bCs/>
                <w:color w:val="E6A817"/>
                <w:sz w:val="18"/>
                <w:szCs w:val="18"/>
              </w:rPr>
              <w:t xml:space="preserve">Important — No Equipment or Uniform Supplied</w:t>
            </w:r>
          </w:p>
          <w:p>
            <w:pPr>
              <w:spacing w:after="40" w:before="40" w:line="280"/>
            </w:pPr>
            <w:r>
              <w:rPr>
                <w:rFonts w:ascii="Arial" w:cs="Arial" w:eastAsia="Arial" w:hAnsi="Arial"/>
                <w:color w:val="212529"/>
                <w:sz w:val="18"/>
                <w:szCs w:val="18"/>
              </w:rPr>
              <w:t xml:space="preserve">HIVAGO does not provide delivery bags, helmets, jackets, uniforms, fuel, vehicle maintenance, or mobile data.</w:t>
            </w:r>
          </w:p>
          <w:p>
            <w:pPr>
              <w:spacing w:after="40" w:before="40" w:line="280"/>
            </w:pPr>
            <w:r>
              <w:rPr>
                <w:rFonts w:ascii="Arial" w:cs="Arial" w:eastAsia="Arial" w:hAnsi="Arial"/>
                <w:color w:val="212529"/>
                <w:sz w:val="18"/>
                <w:szCs w:val="18"/>
              </w:rPr>
              <w:t xml:space="preserve">All operational costs are entirely the Delivery Partner's own responsibility.</w:t>
            </w:r>
          </w:p>
          <w:p>
            <w:pPr>
              <w:spacing w:after="40" w:before="40" w:line="280"/>
            </w:pPr>
            <w:r>
              <w:rPr>
                <w:rFonts w:ascii="Arial" w:cs="Arial" w:eastAsia="Arial" w:hAnsi="Arial"/>
                <w:color w:val="212529"/>
                <w:sz w:val="18"/>
                <w:szCs w:val="18"/>
              </w:rPr>
              <w:t xml:space="preserve">While HIVAGO branding on delivery equipment is not mandatory, the Delivery Partner must not use HIVAGO branding in any manner that could be construed as implying an employment relationship or official endorsement.</w:t>
            </w:r>
          </w:p>
        </w:tc>
      </w:tr>
    </w:tbl>
    <w:p>
      <w:pPr>
        <w:pStyle w:val="Heading2"/>
        <w:shd w:fill="1A1A2E" w:val="clear"/>
        <w:spacing w:after="160" w:before="340"/>
        <w:ind w:left="180" w:right="180"/>
      </w:pPr>
      <w:r>
        <w:rPr>
          <w:rFonts w:ascii="Arial" w:cs="Arial" w:eastAsia="Arial" w:hAnsi="Arial"/>
          <w:b/>
          <w:bCs/>
          <w:color w:val="F4A261"/>
          <w:sz w:val="26"/>
          <w:szCs w:val="26"/>
        </w:rPr>
        <w:t xml:space="preserve">CLAUSE 5  —  </w:t>
      </w:r>
      <w:r>
        <w:rPr>
          <w:rFonts w:ascii="Arial" w:cs="Arial" w:eastAsia="Arial" w:hAnsi="Arial"/>
          <w:b/>
          <w:bCs/>
          <w:color w:val="FFFFFF"/>
          <w:sz w:val="26"/>
          <w:szCs w:val="26"/>
        </w:rPr>
        <w:t xml:space="preserve">EARNINGS — DELIVERY FEE, SURGE, INCENTIVES, AND TIPS</w:t>
      </w:r>
    </w:p>
    <w:p>
      <w:pPr>
        <w:pStyle w:val="Heading3"/>
        <w:spacing w:after="120" w:before="240"/>
      </w:pPr>
      <w:r>
        <w:rPr>
          <w:rFonts w:ascii="Arial" w:cs="Arial" w:eastAsia="Arial" w:hAnsi="Arial"/>
          <w:b/>
          <w:bCs/>
          <w:color w:val="1A1A2E"/>
          <w:sz w:val="22"/>
          <w:szCs w:val="22"/>
        </w:rPr>
        <w:t xml:space="preserve">5.1  Delivery Fee — Base Rate</w:t>
      </w:r>
    </w:p>
    <w:p>
      <w:pPr>
        <w:spacing w:after="160" w:before="80" w:line="320"/>
        <w:jc w:val="both"/>
      </w:pPr>
      <w:r>
        <w:rPr>
          <w:rFonts w:ascii="Arial" w:cs="Arial" w:eastAsia="Arial" w:hAnsi="Arial"/>
          <w:b w:val="false"/>
          <w:bCs w:val="false"/>
          <w:i w:val="false"/>
          <w:iCs w:val="false"/>
          <w:color w:val="212529"/>
          <w:sz w:val="20"/>
          <w:szCs w:val="20"/>
        </w:rPr>
        <w:t xml:space="preserve">The Delivery Partner shall earn a base Delivery Fee for each successfully completed Delivery Assignment. The current base Delivery Fee structure is set out in Schedule A to this Agreement. The Company reserves the right to revise the base Delivery Fee structure with 7 (seven) days' prior notice communicated through the Delivery Partner App or registered mobile number.</w:t>
      </w:r>
    </w:p>
    <w:p>
      <w:pPr>
        <w:spacing w:after="160" w:before="80" w:line="320"/>
        <w:jc w:val="both"/>
      </w:pPr>
      <w:r>
        <w:rPr>
          <w:rFonts w:ascii="Arial" w:cs="Arial" w:eastAsia="Arial" w:hAnsi="Arial"/>
          <w:b w:val="false"/>
          <w:bCs w:val="false"/>
          <w:i w:val="false"/>
          <w:iCs w:val="false"/>
          <w:color w:val="212529"/>
          <w:sz w:val="20"/>
          <w:szCs w:val="20"/>
        </w:rPr>
        <w:t xml:space="preserve">A Delivery Assignment is 'successfully completed' when the Delivery Partner marks the Order as delivered on the Delivery Partner App after physically handing the Order to the User or placing it at an authorised delivery spot.</w:t>
      </w:r>
    </w:p>
    <w:p>
      <w:pPr>
        <w:pStyle w:val="Heading3"/>
        <w:spacing w:after="120" w:before="240"/>
      </w:pPr>
      <w:r>
        <w:rPr>
          <w:rFonts w:ascii="Arial" w:cs="Arial" w:eastAsia="Arial" w:hAnsi="Arial"/>
          <w:b/>
          <w:bCs/>
          <w:color w:val="1A1A2E"/>
          <w:sz w:val="22"/>
          <w:szCs w:val="22"/>
        </w:rPr>
        <w:t xml:space="preserve">5.2  Surge Fee</w:t>
      </w:r>
    </w:p>
    <w:p>
      <w:pPr>
        <w:spacing w:after="160" w:before="80" w:line="320"/>
        <w:jc w:val="both"/>
      </w:pPr>
      <w:r>
        <w:rPr>
          <w:rFonts w:ascii="Arial" w:cs="Arial" w:eastAsia="Arial" w:hAnsi="Arial"/>
          <w:b w:val="false"/>
          <w:bCs w:val="false"/>
          <w:i w:val="false"/>
          <w:iCs w:val="false"/>
          <w:color w:val="212529"/>
          <w:sz w:val="20"/>
          <w:szCs w:val="20"/>
        </w:rPr>
        <w:t xml:space="preserve">In addition to the base Delivery Fee, the Delivery Partner may earn a Surge Fee during periods of high demand, peak hours, adverse weather conditions, or supply-demand imbalances in a particular zone. Surge pricing is determined algorithmically by the Platform. The applicable Surge Fee, if any, is displayed on the Delivery Partner App prior to Assignment acceptance.</w:t>
      </w:r>
    </w:p>
    <w:p>
      <w:pPr>
        <w:spacing w:after="160" w:before="80" w:line="320"/>
        <w:jc w:val="both"/>
      </w:pPr>
      <w:r>
        <w:rPr>
          <w:rFonts w:ascii="Arial" w:cs="Arial" w:eastAsia="Arial" w:hAnsi="Arial"/>
          <w:b w:val="false"/>
          <w:bCs w:val="false"/>
          <w:i w:val="false"/>
          <w:iCs w:val="false"/>
          <w:color w:val="212529"/>
          <w:sz w:val="20"/>
          <w:szCs w:val="20"/>
        </w:rPr>
        <w:t xml:space="preserve">Surge Fees are variable and not guaranteed for any period. The Company provides no assurance of when or how frequently surge conditions will arise.</w:t>
      </w:r>
    </w:p>
    <w:p>
      <w:pPr>
        <w:pStyle w:val="Heading3"/>
        <w:spacing w:after="120" w:before="240"/>
      </w:pPr>
      <w:r>
        <w:rPr>
          <w:rFonts w:ascii="Arial" w:cs="Arial" w:eastAsia="Arial" w:hAnsi="Arial"/>
          <w:b/>
          <w:bCs/>
          <w:color w:val="1A1A2E"/>
          <w:sz w:val="22"/>
          <w:szCs w:val="22"/>
        </w:rPr>
        <w:t xml:space="preserve">5.3  Incentives</w:t>
      </w:r>
    </w:p>
    <w:p>
      <w:pPr>
        <w:spacing w:after="160" w:before="80" w:line="320"/>
        <w:jc w:val="both"/>
      </w:pPr>
      <w:r>
        <w:rPr>
          <w:rFonts w:ascii="Arial" w:cs="Arial" w:eastAsia="Arial" w:hAnsi="Arial"/>
          <w:b w:val="false"/>
          <w:bCs w:val="false"/>
          <w:i w:val="false"/>
          <w:iCs w:val="false"/>
          <w:color w:val="212529"/>
          <w:sz w:val="20"/>
          <w:szCs w:val="20"/>
        </w:rPr>
        <w:t xml:space="preserve">The Company may, at its sole discretion, offer performance-based Incentives to Delivery Partners who achieve defined metrics within a specified period (e.g., completing a minimum number of deliveries within a week, maintaining an acceptance rate above a threshold). Incentive programmes are: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Published on the Delivery Partner App with full terms and earning conditions;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Subject to verification — the Company will audit delivery data before disbursing Incentives;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Non-guaranteed — the Company may modify or withdraw any Incentive programme at any time with reasonable notice;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Non-payable where earned through fraudulent activity, fake deliveries, or manipulation of the acceptance rate.</w:t>
      </w:r>
    </w:p>
    <w:p>
      <w:pPr>
        <w:pStyle w:val="Heading3"/>
        <w:spacing w:after="120" w:before="240"/>
      </w:pPr>
      <w:r>
        <w:rPr>
          <w:rFonts w:ascii="Arial" w:cs="Arial" w:eastAsia="Arial" w:hAnsi="Arial"/>
          <w:b/>
          <w:bCs/>
          <w:color w:val="1A1A2E"/>
          <w:sz w:val="22"/>
          <w:szCs w:val="22"/>
        </w:rPr>
        <w:t xml:space="preserve">5.4  Tips</w:t>
      </w:r>
    </w:p>
    <w:p>
      <w:pPr>
        <w:spacing w:after="160" w:before="80" w:line="320"/>
        <w:jc w:val="both"/>
      </w:pPr>
      <w:r>
        <w:rPr>
          <w:rFonts w:ascii="Arial" w:cs="Arial" w:eastAsia="Arial" w:hAnsi="Arial"/>
          <w:b w:val="false"/>
          <w:bCs w:val="false"/>
          <w:i w:val="false"/>
          <w:iCs w:val="false"/>
          <w:color w:val="212529"/>
          <w:sz w:val="20"/>
          <w:szCs w:val="20"/>
        </w:rPr>
        <w:t xml:space="preserve">Tips voluntarily offered by Users through the Platform are passed to the Delivery Partner in full via the Settlement Cycle. Tips are not subject to any commission or deduction by the Company. Tips are however subject to TDS under applicable income tax provisions if total earnings including tips cross applicable thresholds.</w:t>
      </w:r>
    </w:p>
    <w:p>
      <w:pPr>
        <w:pStyle w:val="Heading3"/>
        <w:spacing w:after="120" w:before="240"/>
      </w:pPr>
      <w:r>
        <w:rPr>
          <w:rFonts w:ascii="Arial" w:cs="Arial" w:eastAsia="Arial" w:hAnsi="Arial"/>
          <w:b/>
          <w:bCs/>
          <w:color w:val="1A1A2E"/>
          <w:sz w:val="22"/>
          <w:szCs w:val="22"/>
        </w:rPr>
        <w:t xml:space="preserve">5.5  Earnings Transparency</w:t>
      </w:r>
    </w:p>
    <w:p>
      <w:pPr>
        <w:spacing w:after="160" w:before="80" w:line="320"/>
        <w:jc w:val="both"/>
      </w:pPr>
      <w:r>
        <w:rPr>
          <w:rFonts w:ascii="Arial" w:cs="Arial" w:eastAsia="Arial" w:hAnsi="Arial"/>
          <w:b w:val="false"/>
          <w:bCs w:val="false"/>
          <w:i w:val="false"/>
          <w:iCs w:val="false"/>
          <w:color w:val="212529"/>
          <w:sz w:val="20"/>
          <w:szCs w:val="20"/>
        </w:rPr>
        <w:t xml:space="preserve">The Delivery Partner may view their completed assignments, earnings breakdown (base fee, surge, incentives, tips), and pending settlements on the Delivery Partner App's earnings dashboard. Earnings data is updated in near-real-time following delivery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0"/>
              <w:left w:val="single" w:color="2D6A4F" w:sz="28"/>
              <w:bottom w:val="single" w:color="2D6A4F" w:sz="10"/>
              <w:right w:val="single" w:color="2D6A4F" w:sz="10"/>
            </w:tcBorders>
            <w:shd w:fill="E8F4F0" w:val="clear"/>
            <w:tcMar>
              <w:top w:type="dxa" w:w="140"/>
              <w:left w:type="dxa" w:w="220"/>
              <w:bottom w:type="dxa" w:w="140"/>
              <w:right w:type="dxa" w:w="220"/>
            </w:tcMar>
          </w:tcPr>
          <w:p>
            <w:pPr>
              <w:spacing w:after="80"/>
            </w:pPr>
            <w:r>
              <w:rPr>
                <w:rFonts w:ascii="Arial" w:cs="Arial" w:eastAsia="Arial" w:hAnsi="Arial"/>
                <w:b/>
                <w:bCs/>
                <w:color w:val="2D6A4F"/>
                <w:sz w:val="18"/>
                <w:szCs w:val="18"/>
              </w:rPr>
              <w:t xml:space="preserve">Note on Earnings</w:t>
            </w:r>
          </w:p>
          <w:p>
            <w:pPr>
              <w:spacing w:after="40" w:before="40" w:line="280"/>
            </w:pPr>
            <w:r>
              <w:rPr>
                <w:rFonts w:ascii="Arial" w:cs="Arial" w:eastAsia="Arial" w:hAnsi="Arial"/>
                <w:color w:val="212529"/>
                <w:sz w:val="18"/>
                <w:szCs w:val="18"/>
              </w:rPr>
              <w:t xml:space="preserve">Earnings under this Agreement are not a salary or wage. They are service fees earned per completed delivery assignment.</w:t>
            </w:r>
          </w:p>
          <w:p>
            <w:pPr>
              <w:spacing w:after="40" w:before="40" w:line="280"/>
            </w:pPr>
            <w:r>
              <w:rPr>
                <w:rFonts w:ascii="Arial" w:cs="Arial" w:eastAsia="Arial" w:hAnsi="Arial"/>
                <w:color w:val="212529"/>
                <w:sz w:val="18"/>
                <w:szCs w:val="18"/>
              </w:rPr>
              <w:t xml:space="preserve">The Company does not guarantee any minimum daily, weekly, or monthly earnings.</w:t>
            </w:r>
          </w:p>
          <w:p>
            <w:pPr>
              <w:spacing w:after="40" w:before="40" w:line="280"/>
            </w:pPr>
            <w:r>
              <w:rPr>
                <w:rFonts w:ascii="Arial" w:cs="Arial" w:eastAsia="Arial" w:hAnsi="Arial"/>
                <w:color w:val="212529"/>
                <w:sz w:val="18"/>
                <w:szCs w:val="18"/>
              </w:rPr>
              <w:t xml:space="preserve">Earnings will vary based on the number of assignments accepted and completed, zone demand, and incentive eligibility.</w:t>
            </w:r>
          </w:p>
        </w:tc>
      </w:tr>
    </w:tbl>
    <w:p>
      <w:pPr>
        <w:pStyle w:val="Heading2"/>
        <w:shd w:fill="1A1A2E" w:val="clear"/>
        <w:spacing w:after="160" w:before="340"/>
        <w:ind w:left="180" w:right="180"/>
      </w:pPr>
      <w:r>
        <w:rPr>
          <w:rFonts w:ascii="Arial" w:cs="Arial" w:eastAsia="Arial" w:hAnsi="Arial"/>
          <w:b/>
          <w:bCs/>
          <w:color w:val="F4A261"/>
          <w:sz w:val="26"/>
          <w:szCs w:val="26"/>
        </w:rPr>
        <w:t xml:space="preserve">CLAUSE 6  —  </w:t>
      </w:r>
      <w:r>
        <w:rPr>
          <w:rFonts w:ascii="Arial" w:cs="Arial" w:eastAsia="Arial" w:hAnsi="Arial"/>
          <w:b/>
          <w:bCs/>
          <w:color w:val="FFFFFF"/>
          <w:sz w:val="26"/>
          <w:szCs w:val="26"/>
        </w:rPr>
        <w:t xml:space="preserve">VEHICLE INSURANCE AND ROAD SAFETY COMPLIANCE</w:t>
      </w:r>
    </w:p>
    <w:p>
      <w:pPr>
        <w:pStyle w:val="Heading3"/>
        <w:spacing w:after="120" w:before="240"/>
      </w:pPr>
      <w:r>
        <w:rPr>
          <w:rFonts w:ascii="Arial" w:cs="Arial" w:eastAsia="Arial" w:hAnsi="Arial"/>
          <w:b/>
          <w:bCs/>
          <w:color w:val="1A1A2E"/>
          <w:sz w:val="22"/>
          <w:szCs w:val="22"/>
        </w:rPr>
        <w:t xml:space="preserve">6.1  Mandatory Insurance</w:t>
      </w:r>
    </w:p>
    <w:p>
      <w:pPr>
        <w:spacing w:after="160" w:before="80" w:line="320"/>
        <w:jc w:val="both"/>
      </w:pPr>
      <w:r>
        <w:rPr>
          <w:rFonts w:ascii="Arial" w:cs="Arial" w:eastAsia="Arial" w:hAnsi="Arial"/>
          <w:b w:val="false"/>
          <w:bCs w:val="false"/>
          <w:i w:val="false"/>
          <w:iCs w:val="false"/>
          <w:color w:val="212529"/>
          <w:sz w:val="20"/>
          <w:szCs w:val="20"/>
        </w:rPr>
        <w:t xml:space="preserve">The Delivery Partner is required to maintain, at their own expense, at minimum a valid third-party motor vehicle insurance policy for the vehicle used in Delivery Assignments, as mandated under the Motor Vehicles Act, 1988. The Delivery Partner shall:</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Submit a copy of the valid insurance certificate during onboarding;</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Ensure continuous and uninterrupted insurance coverage throughout the term of this Agreement;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Upload a renewed insurance certificate to the Delivery Partner App within 5 (five) days of renewal;</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Immediately notify the Company if the vehicle insurance lapses, is cancelled, or is under dispute.</w:t>
      </w:r>
    </w:p>
    <w:p>
      <w:pPr>
        <w:spacing w:after="160" w:before="80" w:line="320"/>
        <w:jc w:val="both"/>
      </w:pPr>
      <w:r>
        <w:rPr>
          <w:rFonts w:ascii="Arial" w:cs="Arial" w:eastAsia="Arial" w:hAnsi="Arial"/>
          <w:b w:val="false"/>
          <w:bCs w:val="false"/>
          <w:i w:val="false"/>
          <w:iCs w:val="false"/>
          <w:color w:val="212529"/>
          <w:sz w:val="20"/>
          <w:szCs w:val="20"/>
        </w:rPr>
        <w:t xml:space="preserve">6.1.1  Operating a vehicle without valid insurance is a criminal offence under the Motor Vehicles Act, 1988. Any Delivery Assignment completed by the Delivery Partner using an uninsured vehicle is entirely at the Delivery Partner's own risk and liability.</w:t>
      </w:r>
    </w:p>
    <w:p>
      <w:pPr>
        <w:pStyle w:val="Heading3"/>
        <w:spacing w:after="120" w:before="240"/>
      </w:pPr>
      <w:r>
        <w:rPr>
          <w:rFonts w:ascii="Arial" w:cs="Arial" w:eastAsia="Arial" w:hAnsi="Arial"/>
          <w:b/>
          <w:bCs/>
          <w:color w:val="1A1A2E"/>
          <w:sz w:val="22"/>
          <w:szCs w:val="22"/>
        </w:rPr>
        <w:t xml:space="preserve">6.2  The Company Does Not Provide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10"/>
              <w:left w:val="single" w:color="E63946" w:sz="28"/>
              <w:bottom w:val="single" w:color="E63946" w:sz="10"/>
              <w:right w:val="single" w:color="E63946" w:sz="10"/>
            </w:tcBorders>
            <w:shd w:fill="FFF0F0" w:val="clear"/>
            <w:tcMar>
              <w:top w:type="dxa" w:w="140"/>
              <w:left w:type="dxa" w:w="220"/>
              <w:bottom w:type="dxa" w:w="140"/>
              <w:right w:type="dxa" w:w="220"/>
            </w:tcMar>
          </w:tcPr>
          <w:p>
            <w:pPr>
              <w:spacing w:after="80"/>
            </w:pPr>
            <w:r>
              <w:rPr>
                <w:rFonts w:ascii="Arial" w:cs="Arial" w:eastAsia="Arial" w:hAnsi="Arial"/>
                <w:b/>
                <w:bCs/>
                <w:color w:val="E63946"/>
                <w:sz w:val="18"/>
                <w:szCs w:val="18"/>
              </w:rPr>
              <w:t xml:space="preserve">THE COMPANY PROVIDES NO VEHICLE, ACCIDENT, OR HEALTH INSURANCE</w:t>
            </w:r>
          </w:p>
          <w:p>
            <w:pPr>
              <w:spacing w:after="40" w:before="40" w:line="280"/>
            </w:pPr>
            <w:r>
              <w:rPr>
                <w:rFonts w:ascii="Arial" w:cs="Arial" w:eastAsia="Arial" w:hAnsi="Arial"/>
                <w:color w:val="212529"/>
                <w:sz w:val="18"/>
                <w:szCs w:val="18"/>
              </w:rPr>
              <w:t xml:space="preserve">WaradaVinayaka Private Limited / HIVAGO does NOT provide any vehicle insurance, accident insurance, health insurance, personal accident cover, or any other insurance benefit to Delivery Partners.</w:t>
            </w:r>
          </w:p>
          <w:p>
            <w:pPr>
              <w:spacing w:after="40" w:before="40" w:line="280"/>
            </w:pPr>
            <w:r>
              <w:rPr>
                <w:rFonts w:ascii="Arial" w:cs="Arial" w:eastAsia="Arial" w:hAnsi="Arial"/>
                <w:color w:val="212529"/>
                <w:sz w:val="18"/>
                <w:szCs w:val="18"/>
              </w:rPr>
              <w:t xml:space="preserve">The Delivery Partner is solely responsible for all costs, claims, liabilities, and damages arising from road accidents, vehicle damage, personal injury, or third-party claims arising during or in connection with Delivery Assignments.</w:t>
            </w:r>
          </w:p>
          <w:p>
            <w:pPr>
              <w:spacing w:after="40" w:before="40" w:line="280"/>
            </w:pPr>
            <w:r>
              <w:rPr>
                <w:rFonts w:ascii="Arial" w:cs="Arial" w:eastAsia="Arial" w:hAnsi="Arial"/>
                <w:color w:val="212529"/>
                <w:sz w:val="18"/>
                <w:szCs w:val="18"/>
              </w:rPr>
              <w:t xml:space="preserve">The Delivery Partner is strongly advised to obtain comprehensive vehicle insurance and a personal accident cover policy at their own expense.</w:t>
            </w:r>
          </w:p>
        </w:tc>
      </w:tr>
    </w:tbl>
    <w:p>
      <w:pPr>
        <w:pStyle w:val="Heading3"/>
        <w:spacing w:after="120" w:before="240"/>
      </w:pPr>
      <w:r>
        <w:rPr>
          <w:rFonts w:ascii="Arial" w:cs="Arial" w:eastAsia="Arial" w:hAnsi="Arial"/>
          <w:b/>
          <w:bCs/>
          <w:color w:val="1A1A2E"/>
          <w:sz w:val="22"/>
          <w:szCs w:val="22"/>
        </w:rPr>
        <w:t xml:space="preserve">6.3  Accident Reporting</w:t>
      </w:r>
    </w:p>
    <w:p>
      <w:pPr>
        <w:spacing w:after="160" w:before="80" w:line="320"/>
        <w:jc w:val="both"/>
      </w:pPr>
      <w:r>
        <w:rPr>
          <w:rFonts w:ascii="Arial" w:cs="Arial" w:eastAsia="Arial" w:hAnsi="Arial"/>
          <w:b w:val="false"/>
          <w:bCs w:val="false"/>
          <w:i w:val="false"/>
          <w:iCs w:val="false"/>
          <w:color w:val="212529"/>
          <w:sz w:val="20"/>
          <w:szCs w:val="20"/>
        </w:rPr>
        <w:t xml:space="preserve">In the event of an accident, injury, or road incident during a Delivery Assignment, the Delivery Partner must: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Prioritise personal safety and seek immediate medical attention if required;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Report the incident to the Company within 24 (twenty-four) hours by contacting support@hivago.in;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File the necessary police complaint and insurance claim as required by law;</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Cooperate with any Company investigation of the incident for purposes of handling User complaints, Restaurant Partner claims, or legal proceedings.</w:t>
      </w:r>
    </w:p>
    <w:p>
      <w:pPr>
        <w:spacing w:after="160" w:before="80" w:line="320"/>
        <w:jc w:val="both"/>
      </w:pPr>
      <w:r>
        <w:rPr>
          <w:rFonts w:ascii="Arial" w:cs="Arial" w:eastAsia="Arial" w:hAnsi="Arial"/>
          <w:b w:val="false"/>
          <w:bCs w:val="false"/>
          <w:i w:val="false"/>
          <w:iCs w:val="false"/>
          <w:color w:val="212529"/>
          <w:sz w:val="20"/>
          <w:szCs w:val="20"/>
        </w:rPr>
        <w:t xml:space="preserve">The Delivery Partner acknowledges that the Company cannot be held liable for medical expenses, vehicle repair costs, or any other losses arising from road accidents, regardless of cause.</w:t>
      </w:r>
    </w:p>
    <w:p>
      <w:pPr>
        <w:pStyle w:val="Heading3"/>
        <w:spacing w:after="120" w:before="240"/>
      </w:pPr>
      <w:r>
        <w:rPr>
          <w:rFonts w:ascii="Arial" w:cs="Arial" w:eastAsia="Arial" w:hAnsi="Arial"/>
          <w:b/>
          <w:bCs/>
          <w:color w:val="1A1A2E"/>
          <w:sz w:val="22"/>
          <w:szCs w:val="22"/>
        </w:rPr>
        <w:t xml:space="preserve">6.4  Road Safety Compliance</w:t>
      </w:r>
    </w:p>
    <w:p>
      <w:pPr>
        <w:spacing w:after="160" w:before="80" w:line="320"/>
        <w:jc w:val="both"/>
      </w:pPr>
      <w:r>
        <w:rPr>
          <w:rFonts w:ascii="Arial" w:cs="Arial" w:eastAsia="Arial" w:hAnsi="Arial"/>
          <w:b w:val="false"/>
          <w:bCs w:val="false"/>
          <w:i w:val="false"/>
          <w:iCs w:val="false"/>
          <w:color w:val="212529"/>
          <w:sz w:val="20"/>
          <w:szCs w:val="20"/>
        </w:rPr>
        <w:t xml:space="preserve">The Delivery Partner must comply with all applicable provisions of the Motor Vehicles Act, 1988, and all road safety rules, including:</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Wearing a helmet at all times while riding a two-wheeler;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Maintaining valid driving licence and vehicle registration documents;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Observing all traffic signals, speed limits, and road markings;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Not carrying more than the legally permitted load on the vehicle.</w:t>
      </w:r>
    </w:p>
    <w:p>
      <w:pPr>
        <w:spacing w:after="160" w:before="80" w:line="320"/>
        <w:jc w:val="both"/>
      </w:pPr>
      <w:r>
        <w:rPr>
          <w:rFonts w:ascii="Arial" w:cs="Arial" w:eastAsia="Arial" w:hAnsi="Arial"/>
          <w:b w:val="false"/>
          <w:bCs w:val="false"/>
          <w:i w:val="false"/>
          <w:iCs w:val="false"/>
          <w:color w:val="212529"/>
          <w:sz w:val="20"/>
          <w:szCs w:val="20"/>
        </w:rPr>
        <w:t xml:space="preserve">Any fines, penalties, challans, or legal proceedings arising from road traffic violations are the Delivery Partner's sole responsibility. The Company shall not bear any such costs and the Delivery Partner shall indemnify the Company for any claims arising from the Delivery Partner's traffic violations.</w:t>
      </w:r>
    </w:p>
    <w:p>
      <w:pPr>
        <w:pStyle w:val="Heading2"/>
        <w:shd w:fill="1A1A2E" w:val="clear"/>
        <w:spacing w:after="160" w:before="340"/>
        <w:ind w:left="180" w:right="180"/>
      </w:pPr>
      <w:r>
        <w:rPr>
          <w:rFonts w:ascii="Arial" w:cs="Arial" w:eastAsia="Arial" w:hAnsi="Arial"/>
          <w:b/>
          <w:bCs/>
          <w:color w:val="F4A261"/>
          <w:sz w:val="26"/>
          <w:szCs w:val="26"/>
        </w:rPr>
        <w:t xml:space="preserve">CLAUSE 7  —  </w:t>
      </w:r>
      <w:r>
        <w:rPr>
          <w:rFonts w:ascii="Arial" w:cs="Arial" w:eastAsia="Arial" w:hAnsi="Arial"/>
          <w:b/>
          <w:bCs/>
          <w:color w:val="FFFFFF"/>
          <w:sz w:val="26"/>
          <w:szCs w:val="26"/>
        </w:rPr>
        <w:t xml:space="preserve">USE OF THE DELIVERY PARTNER APP AND PLATFORM</w:t>
      </w:r>
    </w:p>
    <w:p>
      <w:pPr>
        <w:spacing w:after="160" w:before="80" w:line="320"/>
        <w:jc w:val="both"/>
      </w:pPr>
      <w:r>
        <w:rPr>
          <w:rFonts w:ascii="Arial" w:cs="Arial" w:eastAsia="Arial" w:hAnsi="Arial"/>
          <w:b w:val="false"/>
          <w:bCs w:val="false"/>
          <w:i w:val="false"/>
          <w:iCs w:val="false"/>
          <w:color w:val="212529"/>
          <w:sz w:val="20"/>
          <w:szCs w:val="20"/>
        </w:rPr>
        <w:t xml:space="preserve">7.1  Licence to Use App: The Company grants the Delivery Partner a limited, non-exclusive, non-transferable, revocable licence to use the HIVAGO Delivery Partner App solely for the purpose of receiving and completing Delivery Assignments under this Agreement.</w:t>
      </w:r>
    </w:p>
    <w:p>
      <w:pPr>
        <w:spacing w:after="160" w:before="80" w:line="320"/>
        <w:jc w:val="both"/>
      </w:pPr>
      <w:r>
        <w:rPr>
          <w:rFonts w:ascii="Arial" w:cs="Arial" w:eastAsia="Arial" w:hAnsi="Arial"/>
          <w:b w:val="false"/>
          <w:bCs w:val="false"/>
          <w:i w:val="false"/>
          <w:iCs w:val="false"/>
          <w:color w:val="212529"/>
          <w:sz w:val="20"/>
          <w:szCs w:val="20"/>
        </w:rPr>
        <w:t xml:space="preserve">7.2  Account Credentials: The Delivery Partner's App login is personal and non-transferable. The Delivery Partner must not share their login credentials, OTP, or account access with any other person. The Delivery Partner is fully responsible for all activity carried out under their account.</w:t>
      </w:r>
    </w:p>
    <w:p>
      <w:pPr>
        <w:spacing w:after="160" w:before="80" w:line="320"/>
        <w:jc w:val="both"/>
      </w:pPr>
      <w:r>
        <w:rPr>
          <w:rFonts w:ascii="Arial" w:cs="Arial" w:eastAsia="Arial" w:hAnsi="Arial"/>
          <w:b w:val="false"/>
          <w:bCs w:val="false"/>
          <w:i w:val="false"/>
          <w:iCs w:val="false"/>
          <w:color w:val="212529"/>
          <w:sz w:val="20"/>
          <w:szCs w:val="20"/>
        </w:rPr>
        <w:t xml:space="preserve">7.3  Prohibited App Use: The Delivery Partner must not: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Manipulate the App to create fake deliveries, false GPS locations, or fraudulent earnings;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Use any bot, script, or third-party software to automate App interactions;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Attempt to reverse engineer, decompile, or tamper with the App;</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Allow any third party to complete Delivery Assignments under the Delivery Partner's account.</w:t>
      </w:r>
    </w:p>
    <w:p>
      <w:pPr>
        <w:spacing w:after="160" w:before="80" w:line="320"/>
        <w:jc w:val="both"/>
      </w:pPr>
      <w:r>
        <w:rPr>
          <w:rFonts w:ascii="Arial" w:cs="Arial" w:eastAsia="Arial" w:hAnsi="Arial"/>
          <w:b w:val="false"/>
          <w:bCs w:val="false"/>
          <w:i w:val="false"/>
          <w:iCs w:val="false"/>
          <w:color w:val="212529"/>
          <w:sz w:val="20"/>
          <w:szCs w:val="20"/>
        </w:rPr>
        <w:t xml:space="preserve">7.4  App Availability: The Company does not guarantee uninterrupted availability of the Delivery Partner App. Scheduled maintenance, upgrades, or unforeseen technical issues may temporarily affect App availability. The Company is not liable for loss of earnings during App downtime.</w:t>
      </w:r>
    </w:p>
    <w:p>
      <w:pPr>
        <w:spacing w:after="160" w:before="80" w:line="320"/>
        <w:jc w:val="both"/>
      </w:pPr>
      <w:r>
        <w:rPr>
          <w:rFonts w:ascii="Arial" w:cs="Arial" w:eastAsia="Arial" w:hAnsi="Arial"/>
          <w:b w:val="false"/>
          <w:bCs w:val="false"/>
          <w:i w:val="false"/>
          <w:iCs w:val="false"/>
          <w:color w:val="212529"/>
          <w:sz w:val="20"/>
          <w:szCs w:val="20"/>
        </w:rPr>
        <w:t xml:space="preserve">7.5  Updates: The Delivery Partner must keep the Delivery Partner App updated to the latest version. The Company may cease support for older versions and the Delivery Partner must maintain a compatible smartphone.</w:t>
      </w:r>
    </w:p>
    <w:p>
      <w:pPr>
        <w:pStyle w:val="Heading2"/>
        <w:shd w:fill="1A1A2E" w:val="clear"/>
        <w:spacing w:after="160" w:before="340"/>
        <w:ind w:left="180" w:right="180"/>
      </w:pPr>
      <w:r>
        <w:rPr>
          <w:rFonts w:ascii="Arial" w:cs="Arial" w:eastAsia="Arial" w:hAnsi="Arial"/>
          <w:b/>
          <w:bCs/>
          <w:color w:val="F4A261"/>
          <w:sz w:val="26"/>
          <w:szCs w:val="26"/>
        </w:rPr>
        <w:t xml:space="preserve">CLAUSE 8  —  </w:t>
      </w:r>
      <w:r>
        <w:rPr>
          <w:rFonts w:ascii="Arial" w:cs="Arial" w:eastAsia="Arial" w:hAnsi="Arial"/>
          <w:b/>
          <w:bCs/>
          <w:color w:val="FFFFFF"/>
          <w:sz w:val="26"/>
          <w:szCs w:val="26"/>
        </w:rPr>
        <w:t xml:space="preserve">PAYMENT, SETTLEMENT, AND TAX DEDUCTION AT SOURCE</w:t>
      </w:r>
    </w:p>
    <w:p>
      <w:pPr>
        <w:pStyle w:val="Heading3"/>
        <w:spacing w:after="120" w:before="240"/>
      </w:pPr>
      <w:r>
        <w:rPr>
          <w:rFonts w:ascii="Arial" w:cs="Arial" w:eastAsia="Arial" w:hAnsi="Arial"/>
          <w:b/>
          <w:bCs/>
          <w:color w:val="1A1A2E"/>
          <w:sz w:val="22"/>
          <w:szCs w:val="22"/>
        </w:rPr>
        <w:t xml:space="preserve">8.1  Settlement Cycle</w:t>
      </w:r>
    </w:p>
    <w:p>
      <w:pPr>
        <w:spacing w:after="160" w:before="80" w:line="320"/>
        <w:jc w:val="both"/>
      </w:pPr>
      <w:r>
        <w:rPr>
          <w:rFonts w:ascii="Arial" w:cs="Arial" w:eastAsia="Arial" w:hAnsi="Arial"/>
          <w:b w:val="false"/>
          <w:bCs w:val="false"/>
          <w:i w:val="false"/>
          <w:iCs w:val="false"/>
          <w:color w:val="212529"/>
          <w:sz w:val="20"/>
          <w:szCs w:val="20"/>
        </w:rPr>
        <w:t xml:space="preserve">The Company shall disburse accumulated earnings (base Delivery Fee + Surge Fee + Incentives + Tips) to the Delivery Partner's registered bank account on a [weekly / bi-weekly] cycle. The exact settlement cycle and cut-off times will be communicated through the Delivery Partner App. The Company reserves the right to modify the settlement cycle with 7 (seven) days' notice.</w:t>
      </w:r>
    </w:p>
    <w:p>
      <w:pPr>
        <w:pStyle w:val="Heading3"/>
        <w:spacing w:after="120" w:before="240"/>
      </w:pPr>
      <w:r>
        <w:rPr>
          <w:rFonts w:ascii="Arial" w:cs="Arial" w:eastAsia="Arial" w:hAnsi="Arial"/>
          <w:b/>
          <w:bCs/>
          <w:color w:val="1A1A2E"/>
          <w:sz w:val="22"/>
          <w:szCs w:val="22"/>
        </w:rPr>
        <w:t xml:space="preserve">8.2  Minimum Threshold</w:t>
      </w:r>
    </w:p>
    <w:p>
      <w:pPr>
        <w:spacing w:after="160" w:before="80" w:line="320"/>
        <w:jc w:val="both"/>
      </w:pPr>
      <w:r>
        <w:rPr>
          <w:rFonts w:ascii="Arial" w:cs="Arial" w:eastAsia="Arial" w:hAnsi="Arial"/>
          <w:b w:val="false"/>
          <w:bCs w:val="false"/>
          <w:i w:val="false"/>
          <w:iCs w:val="false"/>
          <w:color w:val="212529"/>
          <w:sz w:val="20"/>
          <w:szCs w:val="20"/>
        </w:rPr>
        <w:t xml:space="preserve">Disbursements are subject to a minimum earnings threshold as specified on the Delivery Partner App. Earnings below the threshold in a given cycle will be carried forward to the next cycle.</w:t>
      </w:r>
    </w:p>
    <w:p>
      <w:pPr>
        <w:pStyle w:val="Heading3"/>
        <w:spacing w:after="120" w:before="240"/>
      </w:pPr>
      <w:r>
        <w:rPr>
          <w:rFonts w:ascii="Arial" w:cs="Arial" w:eastAsia="Arial" w:hAnsi="Arial"/>
          <w:b/>
          <w:bCs/>
          <w:color w:val="1A1A2E"/>
          <w:sz w:val="22"/>
          <w:szCs w:val="22"/>
        </w:rPr>
        <w:t xml:space="preserve">8.3  Payment Method</w:t>
      </w:r>
    </w:p>
    <w:p>
      <w:pPr>
        <w:spacing w:after="160" w:before="80" w:line="320"/>
        <w:jc w:val="both"/>
      </w:pPr>
      <w:r>
        <w:rPr>
          <w:rFonts w:ascii="Arial" w:cs="Arial" w:eastAsia="Arial" w:hAnsi="Arial"/>
          <w:b w:val="false"/>
          <w:bCs w:val="false"/>
          <w:i w:val="false"/>
          <w:iCs w:val="false"/>
          <w:color w:val="212529"/>
          <w:sz w:val="20"/>
          <w:szCs w:val="20"/>
        </w:rPr>
        <w:t xml:space="preserve">All payments are made by direct bank transfer (NEFT/IMPS) to the Delivery Partner's registered and verified bank account. The Company does not make cash payments. The Delivery Partner is responsible for providing and maintaining accurate bank account details.</w:t>
      </w:r>
    </w:p>
    <w:p>
      <w:pPr>
        <w:pStyle w:val="Heading3"/>
        <w:spacing w:after="120" w:before="240"/>
      </w:pPr>
      <w:r>
        <w:rPr>
          <w:rFonts w:ascii="Arial" w:cs="Arial" w:eastAsia="Arial" w:hAnsi="Arial"/>
          <w:b/>
          <w:bCs/>
          <w:color w:val="1A1A2E"/>
          <w:sz w:val="22"/>
          <w:szCs w:val="22"/>
        </w:rPr>
        <w:t xml:space="preserve">8.4  Tax Deduction at Source (TDS) — Section 194C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0"/>
              <w:left w:val="single" w:color="2D6A4F" w:sz="28"/>
              <w:bottom w:val="single" w:color="2D6A4F" w:sz="10"/>
              <w:right w:val="single" w:color="2D6A4F" w:sz="10"/>
            </w:tcBorders>
            <w:shd w:fill="E8F4F0" w:val="clear"/>
            <w:tcMar>
              <w:top w:type="dxa" w:w="140"/>
              <w:left w:type="dxa" w:w="220"/>
              <w:bottom w:type="dxa" w:w="140"/>
              <w:right w:type="dxa" w:w="220"/>
            </w:tcMar>
          </w:tcPr>
          <w:p>
            <w:pPr>
              <w:spacing w:after="80"/>
            </w:pPr>
            <w:r>
              <w:rPr>
                <w:rFonts w:ascii="Arial" w:cs="Arial" w:eastAsia="Arial" w:hAnsi="Arial"/>
                <w:b/>
                <w:bCs/>
                <w:color w:val="2D6A4F"/>
                <w:sz w:val="18"/>
                <w:szCs w:val="18"/>
              </w:rPr>
              <w:t xml:space="preserve">TDS — TAX DEDUCTED AT SOURCE</w:t>
            </w:r>
          </w:p>
          <w:p>
            <w:pPr>
              <w:spacing w:after="40" w:before="40" w:line="280"/>
            </w:pPr>
            <w:r>
              <w:rPr>
                <w:rFonts w:ascii="Arial" w:cs="Arial" w:eastAsia="Arial" w:hAnsi="Arial"/>
                <w:color w:val="212529"/>
                <w:sz w:val="18"/>
                <w:szCs w:val="18"/>
              </w:rPr>
              <w:t xml:space="preserve">The Company is required by Section 194C of the Income Tax Act, 1961 to deduct TDS from payments made to Delivery Partners.</w:t>
            </w:r>
          </w:p>
          <w:p>
            <w:pPr>
              <w:spacing w:after="40" w:before="40" w:line="280"/>
            </w:pPr>
            <w:r>
              <w:rPr>
                <w:rFonts w:ascii="Arial" w:cs="Arial" w:eastAsia="Arial" w:hAnsi="Arial"/>
                <w:color w:val="212529"/>
                <w:sz w:val="18"/>
                <w:szCs w:val="18"/>
              </w:rPr>
              <w:t xml:space="preserve">TDS is deducted at the applicable rate (currently 1% for individuals/HUFs or 2% for others) on amounts exceeding the prescribed threshold.</w:t>
            </w:r>
          </w:p>
          <w:p>
            <w:pPr>
              <w:spacing w:after="40" w:before="40" w:line="280"/>
            </w:pPr>
            <w:r>
              <w:rPr>
                <w:rFonts w:ascii="Arial" w:cs="Arial" w:eastAsia="Arial" w:hAnsi="Arial"/>
                <w:color w:val="212529"/>
                <w:sz w:val="18"/>
                <w:szCs w:val="18"/>
              </w:rPr>
              <w:t xml:space="preserve">The Company will issue Form 16A (TDS certificate) to the Delivery Partner after the end of each financial quarter in which TDS has been deducted.</w:t>
            </w:r>
          </w:p>
          <w:p>
            <w:pPr>
              <w:spacing w:after="40" w:before="40" w:line="280"/>
            </w:pPr>
            <w:r>
              <w:rPr>
                <w:rFonts w:ascii="Arial" w:cs="Arial" w:eastAsia="Arial" w:hAnsi="Arial"/>
                <w:color w:val="212529"/>
                <w:sz w:val="18"/>
                <w:szCs w:val="18"/>
              </w:rPr>
              <w:t xml:space="preserve">Delivery Partners with a valid PAN on record will have TDS deducted at the applicable lower rate. Without a valid PAN, TDS will be deducted at the higher rate of 20% as required under Section 206AA of the Income Tax Act.</w:t>
            </w:r>
          </w:p>
          <w:p>
            <w:pPr>
              <w:spacing w:after="40" w:before="40" w:line="280"/>
            </w:pPr>
            <w:r>
              <w:rPr>
                <w:rFonts w:ascii="Arial" w:cs="Arial" w:eastAsia="Arial" w:hAnsi="Arial"/>
                <w:color w:val="212529"/>
                <w:sz w:val="18"/>
                <w:szCs w:val="18"/>
              </w:rPr>
              <w:t xml:space="preserve">TDS deducted by the Company will be deposited with the Income Tax Department and reflected in the Delivery Partner's Form 26AS.</w:t>
            </w:r>
          </w:p>
        </w:tc>
      </w:tr>
    </w:tbl>
    <w:p>
      <w:pPr>
        <w:spacing w:after="160" w:before="80" w:line="320"/>
        <w:jc w:val="both"/>
      </w:pPr>
      <w:r>
        <w:rPr>
          <w:rFonts w:ascii="Arial" w:cs="Arial" w:eastAsia="Arial" w:hAnsi="Arial"/>
          <w:b w:val="false"/>
          <w:bCs w:val="false"/>
          <w:i w:val="false"/>
          <w:iCs w:val="false"/>
          <w:color w:val="212529"/>
          <w:sz w:val="20"/>
          <w:szCs w:val="20"/>
        </w:rPr>
        <w:t xml:space="preserve">8.5  The Delivery Partner acknowledges that TDS deducted under Section 194C is a statutory deduction and does not represent the Company's liability for the Delivery Partner's income tax obligations. The Delivery Partner remains solely responsible for filing their income tax return and paying any balance tax due after credit of the TDS amount.</w:t>
      </w:r>
    </w:p>
    <w:p>
      <w:pPr>
        <w:spacing w:after="160" w:before="80" w:line="320"/>
        <w:jc w:val="both"/>
      </w:pPr>
      <w:r>
        <w:rPr>
          <w:rFonts w:ascii="Arial" w:cs="Arial" w:eastAsia="Arial" w:hAnsi="Arial"/>
          <w:b w:val="false"/>
          <w:bCs w:val="false"/>
          <w:i w:val="false"/>
          <w:iCs w:val="false"/>
          <w:color w:val="212529"/>
          <w:sz w:val="20"/>
          <w:szCs w:val="20"/>
        </w:rPr>
        <w:t xml:space="preserve">8.6  Payment Disputes: If the Delivery Partner believes there is an error in their settlement amount, they must raise a dispute through the Delivery Partner App's earnings section or by writing to partner@hivago.in within 7 (seven) Business Days of the settlement date. The Company will investigate and resolve valid disputes within 14 (fourteen) Business Days.</w:t>
      </w:r>
    </w:p>
    <w:p>
      <w:pPr>
        <w:pStyle w:val="Heading2"/>
        <w:shd w:fill="1A1A2E" w:val="clear"/>
        <w:spacing w:after="160" w:before="340"/>
        <w:ind w:left="180" w:right="180"/>
      </w:pPr>
      <w:r>
        <w:rPr>
          <w:rFonts w:ascii="Arial" w:cs="Arial" w:eastAsia="Arial" w:hAnsi="Arial"/>
          <w:b/>
          <w:bCs/>
          <w:color w:val="F4A261"/>
          <w:sz w:val="26"/>
          <w:szCs w:val="26"/>
        </w:rPr>
        <w:t xml:space="preserve">CLAUSE 9  —  </w:t>
      </w:r>
      <w:r>
        <w:rPr>
          <w:rFonts w:ascii="Arial" w:cs="Arial" w:eastAsia="Arial" w:hAnsi="Arial"/>
          <w:b/>
          <w:bCs/>
          <w:color w:val="FFFFFF"/>
          <w:sz w:val="26"/>
          <w:szCs w:val="26"/>
        </w:rPr>
        <w:t xml:space="preserve">DEACTIVATION, SUSPENSION, AND REINSTATEMENT</w:t>
      </w:r>
    </w:p>
    <w:p>
      <w:pPr>
        <w:pStyle w:val="Heading3"/>
        <w:spacing w:after="120" w:before="240"/>
      </w:pPr>
      <w:r>
        <w:rPr>
          <w:rFonts w:ascii="Arial" w:cs="Arial" w:eastAsia="Arial" w:hAnsi="Arial"/>
          <w:b/>
          <w:bCs/>
          <w:color w:val="1A1A2E"/>
          <w:sz w:val="22"/>
          <w:szCs w:val="22"/>
        </w:rPr>
        <w:t xml:space="preserve">9.1  Grounds for Deactivation</w:t>
      </w:r>
    </w:p>
    <w:p>
      <w:pPr>
        <w:spacing w:after="160" w:before="80" w:line="320"/>
        <w:jc w:val="both"/>
      </w:pPr>
      <w:r>
        <w:rPr>
          <w:rFonts w:ascii="Arial" w:cs="Arial" w:eastAsia="Arial" w:hAnsi="Arial"/>
          <w:b w:val="false"/>
          <w:bCs w:val="false"/>
          <w:i w:val="false"/>
          <w:iCs w:val="false"/>
          <w:color w:val="212529"/>
          <w:sz w:val="20"/>
          <w:szCs w:val="20"/>
        </w:rPr>
        <w:t xml:space="preserve">The Company may Deactivate (temporarily or permanently) a Delivery Partner's account on the following 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9360"/>
            <w:gridSpan w:val="2"/>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Deactivation Grounds</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Immediate Permanent Deactivation (without notice)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Theft of food, cash, or User property; physical assault or abuse of a User, Restaurant Partner staff, or Company employee; sexual harassment or misconduct; criminal conviction; submission of forged documents; confirmed fraud involving fake deliveries or earnings manipulation.</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Deactivation with 24-Hour Notice</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Lapse of vehicle insurance or driving licence; failure to complete BGV re-verification; sustained pattern of false delivery confirmations; repeated customer complaints of tampering, unprofessional behaviour, or misconduct.</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Deactivation with 7-Day Notice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Persistent low delivery completion rate; persistent acceptance rate below the Company's defined minimum threshold; prolonged inactivity without notification; breach of confidentiality obligations.</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Voluntary Deactivation</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A Delivery Partner may voluntarily terminate this Agreement by giving 7 (seven) days' written notice. All pending payments will be settled in the next available Settlement Cycle.</w:t>
            </w:r>
          </w:p>
        </w:tc>
      </w:tr>
    </w:tbl>
    <w:p>
      <w:pPr>
        <w:spacing w:after="60" w:before="60"/>
      </w:pPr>
    </w:p>
    <w:p>
      <w:pPr>
        <w:pStyle w:val="Heading3"/>
        <w:spacing w:after="120" w:before="240"/>
      </w:pPr>
      <w:r>
        <w:rPr>
          <w:rFonts w:ascii="Arial" w:cs="Arial" w:eastAsia="Arial" w:hAnsi="Arial"/>
          <w:b/>
          <w:bCs/>
          <w:color w:val="1A1A2E"/>
          <w:sz w:val="22"/>
          <w:szCs w:val="22"/>
        </w:rPr>
        <w:t xml:space="preserve">9.2  Deactivation Process</w:t>
      </w:r>
    </w:p>
    <w:p>
      <w:pPr>
        <w:spacing w:after="160" w:before="80" w:line="320"/>
        <w:jc w:val="both"/>
      </w:pPr>
      <w:r>
        <w:rPr>
          <w:rFonts w:ascii="Arial" w:cs="Arial" w:eastAsia="Arial" w:hAnsi="Arial"/>
          <w:b w:val="false"/>
          <w:bCs w:val="false"/>
          <w:i w:val="false"/>
          <w:iCs w:val="false"/>
          <w:color w:val="212529"/>
          <w:sz w:val="20"/>
          <w:szCs w:val="20"/>
        </w:rPr>
        <w:t xml:space="preserve">Except in cases warranting immediate deactivation (as set out above), the following process shall be followed: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 shall notify the Delivery Partner of the grounds for intended Deactivation via the Delivery Partner App and/or registered mobile number;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Delivery Partner shall have the right to submit a written response within the notice period specified above;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 will consider the Delivery Partner's response before making a final decision;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Company's decision will be communicated to the Delivery Partner in writing.</w:t>
      </w:r>
    </w:p>
    <w:p>
      <w:pPr>
        <w:pStyle w:val="Heading3"/>
        <w:spacing w:after="120" w:before="240"/>
      </w:pPr>
      <w:r>
        <w:rPr>
          <w:rFonts w:ascii="Arial" w:cs="Arial" w:eastAsia="Arial" w:hAnsi="Arial"/>
          <w:b/>
          <w:bCs/>
          <w:color w:val="1A1A2E"/>
          <w:sz w:val="22"/>
          <w:szCs w:val="22"/>
        </w:rPr>
        <w:t xml:space="preserve">9.3  Appeals Process</w:t>
      </w:r>
    </w:p>
    <w:p>
      <w:pPr>
        <w:spacing w:after="160" w:before="80" w:line="320"/>
        <w:jc w:val="both"/>
      </w:pPr>
      <w:r>
        <w:rPr>
          <w:rFonts w:ascii="Arial" w:cs="Arial" w:eastAsia="Arial" w:hAnsi="Arial"/>
          <w:b w:val="false"/>
          <w:bCs w:val="false"/>
          <w:i w:val="false"/>
          <w:iCs w:val="false"/>
          <w:color w:val="212529"/>
          <w:sz w:val="20"/>
          <w:szCs w:val="20"/>
        </w:rPr>
        <w:t xml:space="preserve">A Delivery Partner who has been Deactivated may appeal the decision as follows: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Submit a written appeal to partner@hivago.in within 14 (fourteen) days of the Deactivation notice;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appeal must include the Delivery Partner's account details, the grounds of appeal, and any supporting evidence;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 designated Company representative (not the original decision-maker) will review the appeal within 21 (twenty-one) days;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Company's decision on appeal is final, subject to the Delivery Partner's rights before courts of competent jurisdiction.</w:t>
      </w:r>
    </w:p>
    <w:p>
      <w:pPr>
        <w:spacing w:after="160" w:before="80" w:line="320"/>
        <w:jc w:val="both"/>
      </w:pPr>
      <w:r>
        <w:rPr>
          <w:rFonts w:ascii="Arial" w:cs="Arial" w:eastAsia="Arial" w:hAnsi="Arial"/>
          <w:b w:val="false"/>
          <w:bCs w:val="false"/>
          <w:i w:val="false"/>
          <w:iCs w:val="false"/>
          <w:color w:val="212529"/>
          <w:sz w:val="20"/>
          <w:szCs w:val="20"/>
        </w:rPr>
        <w:t xml:space="preserve">9.4  Pending earnings accrued up to the date of Deactivation will be settled in the next Settlement Cycle following confirmation of the Deactivation, subject to any deductions for verified losses caused by the Delivery Partner's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0"/>
              <w:left w:val="single" w:color="2D6A4F" w:sz="28"/>
              <w:bottom w:val="single" w:color="2D6A4F" w:sz="10"/>
              <w:right w:val="single" w:color="2D6A4F" w:sz="10"/>
            </w:tcBorders>
            <w:shd w:fill="E8F4F0" w:val="clear"/>
            <w:tcMar>
              <w:top w:type="dxa" w:w="140"/>
              <w:left w:type="dxa" w:w="220"/>
              <w:bottom w:type="dxa" w:w="140"/>
              <w:right w:type="dxa" w:w="220"/>
            </w:tcMar>
          </w:tcPr>
          <w:p>
            <w:pPr>
              <w:spacing w:after="80"/>
            </w:pPr>
            <w:r>
              <w:rPr>
                <w:rFonts w:ascii="Arial" w:cs="Arial" w:eastAsia="Arial" w:hAnsi="Arial"/>
                <w:b/>
                <w:bCs/>
                <w:color w:val="2D6A4F"/>
                <w:sz w:val="18"/>
                <w:szCs w:val="18"/>
              </w:rPr>
              <w:t xml:space="preserve">Platform Worker Rights — Transparency</w:t>
            </w:r>
          </w:p>
          <w:p>
            <w:pPr>
              <w:spacing w:after="40" w:before="40" w:line="280"/>
            </w:pPr>
            <w:r>
              <w:rPr>
                <w:rFonts w:ascii="Arial" w:cs="Arial" w:eastAsia="Arial" w:hAnsi="Arial"/>
                <w:color w:val="212529"/>
                <w:sz w:val="18"/>
                <w:szCs w:val="18"/>
              </w:rPr>
              <w:t xml:space="preserve">HIVAGO is committed to fair and transparent deactivation processes in the spirit of the evolving gig economy governance framework in India.</w:t>
            </w:r>
          </w:p>
          <w:p>
            <w:pPr>
              <w:spacing w:after="40" w:before="40" w:line="280"/>
            </w:pPr>
            <w:r>
              <w:rPr>
                <w:rFonts w:ascii="Arial" w:cs="Arial" w:eastAsia="Arial" w:hAnsi="Arial"/>
                <w:color w:val="212529"/>
                <w:sz w:val="18"/>
                <w:szCs w:val="18"/>
              </w:rPr>
              <w:t xml:space="preserve">The appeals process is designed to ensure natural justice — every Delivery Partner has the right to be heard before a final deactivation decision.</w:t>
            </w:r>
          </w:p>
          <w:p>
            <w:pPr>
              <w:spacing w:after="40" w:before="40" w:line="280"/>
            </w:pPr>
            <w:r>
              <w:rPr>
                <w:rFonts w:ascii="Arial" w:cs="Arial" w:eastAsia="Arial" w:hAnsi="Arial"/>
                <w:color w:val="212529"/>
                <w:sz w:val="18"/>
                <w:szCs w:val="18"/>
              </w:rPr>
              <w:t xml:space="preserve">If a Delivery Partner believes a deactivation was arbitrary or unlawful, they may approach the competent civil court or applicable labour authority.</w:t>
            </w:r>
          </w:p>
        </w:tc>
      </w:tr>
    </w:tbl>
    <w:p>
      <w:pPr>
        <w:pStyle w:val="Heading2"/>
        <w:shd w:fill="1A1A2E" w:val="clear"/>
        <w:spacing w:after="160" w:before="340"/>
        <w:ind w:left="180" w:right="180"/>
      </w:pPr>
      <w:r>
        <w:rPr>
          <w:rFonts w:ascii="Arial" w:cs="Arial" w:eastAsia="Arial" w:hAnsi="Arial"/>
          <w:b/>
          <w:bCs/>
          <w:color w:val="F4A261"/>
          <w:sz w:val="26"/>
          <w:szCs w:val="26"/>
        </w:rPr>
        <w:t xml:space="preserve">CLAUSE 10  —  </w:t>
      </w:r>
      <w:r>
        <w:rPr>
          <w:rFonts w:ascii="Arial" w:cs="Arial" w:eastAsia="Arial" w:hAnsi="Arial"/>
          <w:b/>
          <w:bCs/>
          <w:color w:val="FFFFFF"/>
          <w:sz w:val="26"/>
          <w:szCs w:val="26"/>
        </w:rPr>
        <w:t xml:space="preserve">CODE OF CONDUCT AND PROHIBITED BEHAVIOUR</w:t>
      </w:r>
    </w:p>
    <w:p>
      <w:pPr>
        <w:spacing w:after="160" w:before="80" w:line="320"/>
        <w:jc w:val="both"/>
      </w:pPr>
      <w:r>
        <w:rPr>
          <w:rFonts w:ascii="Arial" w:cs="Arial" w:eastAsia="Arial" w:hAnsi="Arial"/>
          <w:b w:val="false"/>
          <w:bCs w:val="false"/>
          <w:i w:val="false"/>
          <w:iCs w:val="false"/>
          <w:color w:val="212529"/>
          <w:sz w:val="20"/>
          <w:szCs w:val="20"/>
        </w:rPr>
        <w:t xml:space="preserve">10.1  The Delivery Partner agrees to maintain professional and lawful conduct at all times in the performance of Delivery Assignments. Without limiting any other obligation under this Agreement, the Delivery Partner is strictly prohibited from: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Consuming, opening, tampering with, substituting, or stealing any food or beverage item in a delivery package;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Using abusive, threatening, or discriminatory language with Users, Restaurant Partner staff, or Company personnel;</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Making unauthorised or unsolicited contact with Users before, during, or after a delivery outside the Platform;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Retaining, recording, copying, or sharing Users' personal information (name, address, phone number) for any purpose other than completing the current delivery;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Carrying or transporting any illegal substances, weapons, or prohibited goods using the delivery vehicle;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Misrepresenting delivery completion — marking an order as delivered before handing it to the User;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Soliciting tips, gifts, or gratuities in person from Users, Restaurant Partners, or Company employees;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Operating under the influence of alcohol or any impairing substance;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Making false complaints or submitting fabricated evidence to claim Incentives or challenge deductions;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Sharing the Delivery Partner App login credentials with any third party or operating under someone else's account.</w:t>
      </w:r>
    </w:p>
    <w:p>
      <w:pPr>
        <w:spacing w:after="160" w:before="80" w:line="320"/>
        <w:jc w:val="both"/>
      </w:pPr>
      <w:r>
        <w:rPr>
          <w:rFonts w:ascii="Arial" w:cs="Arial" w:eastAsia="Arial" w:hAnsi="Arial"/>
          <w:b w:val="false"/>
          <w:bCs w:val="false"/>
          <w:i w:val="false"/>
          <w:iCs w:val="false"/>
          <w:color w:val="212529"/>
          <w:sz w:val="20"/>
          <w:szCs w:val="20"/>
        </w:rPr>
        <w:t xml:space="preserve">10.2  Violations of this Code of Conduct may result in immediate Deactivation, forfeiture of pending earnings, and/or legal action, depending on the severity of the breach.</w:t>
      </w:r>
    </w:p>
    <w:p>
      <w:pPr>
        <w:pStyle w:val="Heading2"/>
        <w:shd w:fill="1A1A2E" w:val="clear"/>
        <w:spacing w:after="160" w:before="340"/>
        <w:ind w:left="180" w:right="180"/>
      </w:pPr>
      <w:r>
        <w:rPr>
          <w:rFonts w:ascii="Arial" w:cs="Arial" w:eastAsia="Arial" w:hAnsi="Arial"/>
          <w:b/>
          <w:bCs/>
          <w:color w:val="F4A261"/>
          <w:sz w:val="26"/>
          <w:szCs w:val="26"/>
        </w:rPr>
        <w:t xml:space="preserve">CLAUSE 11  —  </w:t>
      </w:r>
      <w:r>
        <w:rPr>
          <w:rFonts w:ascii="Arial" w:cs="Arial" w:eastAsia="Arial" w:hAnsi="Arial"/>
          <w:b/>
          <w:bCs/>
          <w:color w:val="FFFFFF"/>
          <w:sz w:val="26"/>
          <w:szCs w:val="26"/>
        </w:rPr>
        <w:t xml:space="preserve">DATA COLLECTION, PRIVACY, AND USER DATA PROTECTION</w:t>
      </w:r>
    </w:p>
    <w:p>
      <w:pPr>
        <w:spacing w:after="160" w:before="80" w:line="320"/>
        <w:jc w:val="both"/>
      </w:pPr>
      <w:r>
        <w:rPr>
          <w:rFonts w:ascii="Arial" w:cs="Arial" w:eastAsia="Arial" w:hAnsi="Arial"/>
          <w:b w:val="false"/>
          <w:bCs w:val="false"/>
          <w:i w:val="false"/>
          <w:iCs w:val="false"/>
          <w:color w:val="212529"/>
          <w:sz w:val="20"/>
          <w:szCs w:val="20"/>
        </w:rPr>
        <w:t xml:space="preserve">11.1  Data Collected from Delivery Partners: The Company collects the following personal data from the Delivery Partner for the purpose of managing this Agreement: full name, government ID details, PAN, bank account details, vehicle information, BGV results, GPS location data during active assignments, and earnings records.</w:t>
      </w:r>
    </w:p>
    <w:p>
      <w:pPr>
        <w:spacing w:after="160" w:before="80" w:line="320"/>
        <w:jc w:val="both"/>
      </w:pPr>
      <w:r>
        <w:rPr>
          <w:rFonts w:ascii="Arial" w:cs="Arial" w:eastAsia="Arial" w:hAnsi="Arial"/>
          <w:b w:val="false"/>
          <w:bCs w:val="false"/>
          <w:i w:val="false"/>
          <w:iCs w:val="false"/>
          <w:color w:val="212529"/>
          <w:sz w:val="20"/>
          <w:szCs w:val="20"/>
        </w:rPr>
        <w:t xml:space="preserve">11.2  Location Data: The Delivery Partner consents to the Company collecting their real-time GPS location data through the Delivery Partner App during active Delivery Assignments. Location data is used for delivery dispatch, order tracking (internal), fraud prevention, and dispute resolution. Location is not continuously tracked when the Delivery Partner is offline or not on an active assignment.</w:t>
      </w:r>
    </w:p>
    <w:p>
      <w:pPr>
        <w:spacing w:after="160" w:before="80" w:line="320"/>
        <w:jc w:val="both"/>
      </w:pPr>
      <w:r>
        <w:rPr>
          <w:rFonts w:ascii="Arial" w:cs="Arial" w:eastAsia="Arial" w:hAnsi="Arial"/>
          <w:b w:val="false"/>
          <w:bCs w:val="false"/>
          <w:i w:val="false"/>
          <w:iCs w:val="false"/>
          <w:color w:val="212529"/>
          <w:sz w:val="20"/>
          <w:szCs w:val="20"/>
        </w:rPr>
        <w:t xml:space="preserve">11.3  User Data Handling — Critical Obligation: In the course of completing Delivery Assignments, the Delivery Partner will have access to Users' names, phone numbers, and delivery addresses. The Delivery Partner is strictly prohibited from: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Retaining, recording, storing, copying, or transmitting any User personal data beyond the duration of the active delivery;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Using User personal data for any purpose other than completing the specific Delivery Assignment;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Sharing, selling, or disclosing User personal data to any third party under any circumstances.</w:t>
      </w:r>
    </w:p>
    <w:p>
      <w:pPr>
        <w:spacing w:after="160" w:before="80" w:line="320"/>
        <w:jc w:val="both"/>
      </w:pPr>
      <w:r>
        <w:rPr>
          <w:rFonts w:ascii="Arial" w:cs="Arial" w:eastAsia="Arial" w:hAnsi="Arial"/>
          <w:b w:val="false"/>
          <w:bCs w:val="false"/>
          <w:i w:val="false"/>
          <w:iCs w:val="false"/>
          <w:color w:val="212529"/>
          <w:sz w:val="20"/>
          <w:szCs w:val="20"/>
        </w:rPr>
        <w:t xml:space="preserve">11.4  Any breach of Clause 11.3 constitutes a material breach of this Agreement and may attract civil and criminal liability under the Digital Personal Data Protection Act, 2023 and the Information Technology Act, 2000, in addition to immediate Deactivation.</w:t>
      </w:r>
    </w:p>
    <w:p>
      <w:pPr>
        <w:spacing w:after="160" w:before="80" w:line="320"/>
        <w:jc w:val="both"/>
      </w:pPr>
      <w:r>
        <w:rPr>
          <w:rFonts w:ascii="Arial" w:cs="Arial" w:eastAsia="Arial" w:hAnsi="Arial"/>
          <w:b w:val="false"/>
          <w:bCs w:val="false"/>
          <w:i w:val="false"/>
          <w:iCs w:val="false"/>
          <w:color w:val="212529"/>
          <w:sz w:val="20"/>
          <w:szCs w:val="20"/>
        </w:rPr>
        <w:t xml:space="preserve">11.5  The Company's full privacy practices in respect of Delivery Partner data are set out in the HIVAGO Privacy Policy, available on the Platform website, which the Delivery Partner has reviewed and agreed to.</w:t>
      </w:r>
    </w:p>
    <w:p>
      <w:pPr>
        <w:pStyle w:val="Heading2"/>
        <w:shd w:fill="1A1A2E" w:val="clear"/>
        <w:spacing w:after="160" w:before="340"/>
        <w:ind w:left="180" w:right="180"/>
      </w:pPr>
      <w:r>
        <w:rPr>
          <w:rFonts w:ascii="Arial" w:cs="Arial" w:eastAsia="Arial" w:hAnsi="Arial"/>
          <w:b/>
          <w:bCs/>
          <w:color w:val="F4A261"/>
          <w:sz w:val="26"/>
          <w:szCs w:val="26"/>
        </w:rPr>
        <w:t xml:space="preserve">CLAUSE 12  —  </w:t>
      </w:r>
      <w:r>
        <w:rPr>
          <w:rFonts w:ascii="Arial" w:cs="Arial" w:eastAsia="Arial" w:hAnsi="Arial"/>
          <w:b/>
          <w:bCs/>
          <w:color w:val="FFFFFF"/>
          <w:sz w:val="26"/>
          <w:szCs w:val="26"/>
        </w:rPr>
        <w:t xml:space="preserve">INTELLECTUAL PROPERTY</w:t>
      </w:r>
    </w:p>
    <w:p>
      <w:pPr>
        <w:spacing w:after="160" w:before="80" w:line="320"/>
        <w:jc w:val="both"/>
      </w:pPr>
      <w:r>
        <w:rPr>
          <w:rFonts w:ascii="Arial" w:cs="Arial" w:eastAsia="Arial" w:hAnsi="Arial"/>
          <w:b w:val="false"/>
          <w:bCs w:val="false"/>
          <w:i w:val="false"/>
          <w:iCs w:val="false"/>
          <w:color w:val="212529"/>
          <w:sz w:val="20"/>
          <w:szCs w:val="20"/>
        </w:rPr>
        <w:t xml:space="preserve">12.1  All Intellectual Property in and to the Platform, the Delivery Partner App, the HIVAGO brand, trademarks, logos, technology, and all content thereon is exclusively owned by the Company. This Agreement grants the Delivery Partner no rights in or to the Company's Intellectual Property beyond the limited App licence in Clause 7.1.</w:t>
      </w:r>
    </w:p>
    <w:p>
      <w:pPr>
        <w:spacing w:after="160" w:before="80" w:line="320"/>
        <w:jc w:val="both"/>
      </w:pPr>
      <w:r>
        <w:rPr>
          <w:rFonts w:ascii="Arial" w:cs="Arial" w:eastAsia="Arial" w:hAnsi="Arial"/>
          <w:b w:val="false"/>
          <w:bCs w:val="false"/>
          <w:i w:val="false"/>
          <w:iCs w:val="false"/>
          <w:color w:val="212529"/>
          <w:sz w:val="20"/>
          <w:szCs w:val="20"/>
        </w:rPr>
        <w:t xml:space="preserve">12.2  The Delivery Partner must not: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Use the HIVAGO brand name, logo, or any trademark in any communication, social media post, or material without the Company's prior written consent;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Represent themselves as an employee, agent, or official representative of HIVAGO or WaradaVinayaka Private Limited;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Create, operate, or permit to be associated with any account, page, or profile that implies an official affiliation with HIVAGO.</w:t>
      </w:r>
    </w:p>
    <w:p>
      <w:pPr>
        <w:pStyle w:val="Heading2"/>
        <w:shd w:fill="1A1A2E" w:val="clear"/>
        <w:spacing w:after="160" w:before="340"/>
        <w:ind w:left="180" w:right="180"/>
      </w:pPr>
      <w:r>
        <w:rPr>
          <w:rFonts w:ascii="Arial" w:cs="Arial" w:eastAsia="Arial" w:hAnsi="Arial"/>
          <w:b/>
          <w:bCs/>
          <w:color w:val="F4A261"/>
          <w:sz w:val="26"/>
          <w:szCs w:val="26"/>
        </w:rPr>
        <w:t xml:space="preserve">CLAUSE 13  —  </w:t>
      </w:r>
      <w:r>
        <w:rPr>
          <w:rFonts w:ascii="Arial" w:cs="Arial" w:eastAsia="Arial" w:hAnsi="Arial"/>
          <w:b/>
          <w:bCs/>
          <w:color w:val="FFFFFF"/>
          <w:sz w:val="26"/>
          <w:szCs w:val="26"/>
        </w:rPr>
        <w:t xml:space="preserve">INDEMNIFICATION AND LIMITATION OF LIABILITY</w:t>
      </w:r>
    </w:p>
    <w:p>
      <w:pPr>
        <w:spacing w:after="160" w:before="80" w:line="320"/>
        <w:jc w:val="both"/>
      </w:pPr>
      <w:r>
        <w:rPr>
          <w:rFonts w:ascii="Arial" w:cs="Arial" w:eastAsia="Arial" w:hAnsi="Arial"/>
          <w:b w:val="false"/>
          <w:bCs w:val="false"/>
          <w:i w:val="false"/>
          <w:iCs w:val="false"/>
          <w:color w:val="212529"/>
          <w:sz w:val="20"/>
          <w:szCs w:val="20"/>
        </w:rPr>
        <w:t xml:space="preserve">13.1  Delivery Partner Indemnification: The Delivery Partner agrees to indemnify, defend, and hold harmless the Company, its directors, officers, employees, agents, and successors from and against all claims, liabilities, damages, losses, penalties, costs, and expenses (including reasonable legal fees) arising from or relating to:</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Delivery Partner's breach of any provision of this Agreement;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Delivery Partner's violation of any Applicable Law, road traffic rule, or regulatory requirement;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Any road accident, personal injury, property damage, or third-party claim arising from the Delivery Partner's vehicle operations;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Theft, tampering, damage, or loss of food items or User property during a Delivery Assignment;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Delivery Partner's misuse of User personal data;</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Any fraudulent or dishonest act by the Delivery Partner.</w:t>
      </w:r>
    </w:p>
    <w:p>
      <w:pPr>
        <w:spacing w:after="160" w:before="80" w:line="320"/>
        <w:jc w:val="both"/>
      </w:pPr>
      <w:r>
        <w:rPr>
          <w:rFonts w:ascii="Arial" w:cs="Arial" w:eastAsia="Arial" w:hAnsi="Arial"/>
          <w:b w:val="false"/>
          <w:bCs w:val="false"/>
          <w:i w:val="false"/>
          <w:iCs w:val="false"/>
          <w:color w:val="212529"/>
          <w:sz w:val="20"/>
          <w:szCs w:val="20"/>
        </w:rPr>
        <w:t xml:space="preserve">13.2  Limitation of Company's Liability: The Company's maximum liability to the Delivery Partner under this Agreement shall not exceed the total Delivery Fees earned by the Delivery Partner in the one (1) calendar month immediately preceding the event giving rise to the claim. The Company shall not be liable for indirect, consequential, or loss-of-earnings claims.</w:t>
      </w:r>
    </w:p>
    <w:p>
      <w:pPr>
        <w:pStyle w:val="Heading2"/>
        <w:shd w:fill="1A1A2E" w:val="clear"/>
        <w:spacing w:after="160" w:before="340"/>
        <w:ind w:left="180" w:right="180"/>
      </w:pPr>
      <w:r>
        <w:rPr>
          <w:rFonts w:ascii="Arial" w:cs="Arial" w:eastAsia="Arial" w:hAnsi="Arial"/>
          <w:b/>
          <w:bCs/>
          <w:color w:val="F4A261"/>
          <w:sz w:val="26"/>
          <w:szCs w:val="26"/>
        </w:rPr>
        <w:t xml:space="preserve">CLAUSE 14  —  </w:t>
      </w:r>
      <w:r>
        <w:rPr>
          <w:rFonts w:ascii="Arial" w:cs="Arial" w:eastAsia="Arial" w:hAnsi="Arial"/>
          <w:b/>
          <w:bCs/>
          <w:color w:val="FFFFFF"/>
          <w:sz w:val="26"/>
          <w:szCs w:val="26"/>
        </w:rPr>
        <w:t xml:space="preserve">CONFIDENTIALITY</w:t>
      </w:r>
    </w:p>
    <w:p>
      <w:pPr>
        <w:spacing w:after="160" w:before="80" w:line="320"/>
        <w:jc w:val="both"/>
      </w:pPr>
      <w:r>
        <w:rPr>
          <w:rFonts w:ascii="Arial" w:cs="Arial" w:eastAsia="Arial" w:hAnsi="Arial"/>
          <w:b w:val="false"/>
          <w:bCs w:val="false"/>
          <w:i w:val="false"/>
          <w:iCs w:val="false"/>
          <w:color w:val="212529"/>
          <w:sz w:val="20"/>
          <w:szCs w:val="20"/>
        </w:rPr>
        <w:t xml:space="preserve">14.1  The Delivery Partner shall keep strictly confidential and shall not disclose to any third party any information relating to:</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Company's business operations, fee structures, internal policies, or technology infrastructure;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User personal data accessed during Delivery Assignments;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Other Delivery Partners' personal or earnings information;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Any information expressly designated as confidential by the Company.</w:t>
      </w:r>
    </w:p>
    <w:p>
      <w:pPr>
        <w:spacing w:after="160" w:before="80" w:line="320"/>
        <w:jc w:val="both"/>
      </w:pPr>
      <w:r>
        <w:rPr>
          <w:rFonts w:ascii="Arial" w:cs="Arial" w:eastAsia="Arial" w:hAnsi="Arial"/>
          <w:b w:val="false"/>
          <w:bCs w:val="false"/>
          <w:i w:val="false"/>
          <w:iCs w:val="false"/>
          <w:color w:val="212529"/>
          <w:sz w:val="20"/>
          <w:szCs w:val="20"/>
        </w:rPr>
        <w:t xml:space="preserve">14.2  The confidentiality obligation shall survive the termination of this Agreement and shall continue for a period of 2 (two) years from the date of termination.</w:t>
      </w:r>
    </w:p>
    <w:p>
      <w:pPr>
        <w:pStyle w:val="Heading2"/>
        <w:shd w:fill="1A1A2E" w:val="clear"/>
        <w:spacing w:after="160" w:before="340"/>
        <w:ind w:left="180" w:right="180"/>
      </w:pPr>
      <w:r>
        <w:rPr>
          <w:rFonts w:ascii="Arial" w:cs="Arial" w:eastAsia="Arial" w:hAnsi="Arial"/>
          <w:b/>
          <w:bCs/>
          <w:color w:val="F4A261"/>
          <w:sz w:val="26"/>
          <w:szCs w:val="26"/>
        </w:rPr>
        <w:t xml:space="preserve">CLAUSE 15  —  </w:t>
      </w:r>
      <w:r>
        <w:rPr>
          <w:rFonts w:ascii="Arial" w:cs="Arial" w:eastAsia="Arial" w:hAnsi="Arial"/>
          <w:b/>
          <w:bCs/>
          <w:color w:val="FFFFFF"/>
          <w:sz w:val="26"/>
          <w:szCs w:val="26"/>
        </w:rPr>
        <w:t xml:space="preserve">TERM, TERMINATION, AND EFFECT OF TERMINATION</w:t>
      </w:r>
    </w:p>
    <w:p>
      <w:pPr>
        <w:spacing w:after="160" w:before="80" w:line="320"/>
        <w:jc w:val="both"/>
      </w:pPr>
      <w:r>
        <w:rPr>
          <w:rFonts w:ascii="Arial" w:cs="Arial" w:eastAsia="Arial" w:hAnsi="Arial"/>
          <w:b w:val="false"/>
          <w:bCs w:val="false"/>
          <w:i w:val="false"/>
          <w:iCs w:val="false"/>
          <w:color w:val="212529"/>
          <w:sz w:val="20"/>
          <w:szCs w:val="20"/>
        </w:rPr>
        <w:t xml:space="preserve">15.1  Term: This Agreement shall commence on the date of the Delivery Partner's account activation (following successful onboarding and BGV clearance) and shall continue until terminated by either Party.</w:t>
      </w:r>
    </w:p>
    <w:p>
      <w:pPr>
        <w:spacing w:after="160" w:before="80" w:line="320"/>
        <w:jc w:val="both"/>
      </w:pPr>
      <w:r>
        <w:rPr>
          <w:rFonts w:ascii="Arial" w:cs="Arial" w:eastAsia="Arial" w:hAnsi="Arial"/>
          <w:b w:val="false"/>
          <w:bCs w:val="false"/>
          <w:i w:val="false"/>
          <w:iCs w:val="false"/>
          <w:color w:val="212529"/>
          <w:sz w:val="20"/>
          <w:szCs w:val="20"/>
        </w:rPr>
        <w:t xml:space="preserve">15.2  Termination by Delivery Partner: The Delivery Partner may terminate this Agreement at any time by providing 7 (seven) days' written notice to partner@hivago.in. Pending assignments should not be abandoned during the notice period.</w:t>
      </w:r>
    </w:p>
    <w:p>
      <w:pPr>
        <w:spacing w:after="160" w:before="80" w:line="320"/>
        <w:jc w:val="both"/>
      </w:pPr>
      <w:r>
        <w:rPr>
          <w:rFonts w:ascii="Arial" w:cs="Arial" w:eastAsia="Arial" w:hAnsi="Arial"/>
          <w:b w:val="false"/>
          <w:bCs w:val="false"/>
          <w:i w:val="false"/>
          <w:iCs w:val="false"/>
          <w:color w:val="212529"/>
          <w:sz w:val="20"/>
          <w:szCs w:val="20"/>
        </w:rPr>
        <w:t xml:space="preserve">15.3  Termination by Company: The Company may terminate this Agreement: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Immediately, without notice, in cases of fraud, theft, assault, criminal conduct, or material breach by the Delivery Partner;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With 24-hour or 7-day notice for operational or compliance grounds as detailed in Clause 9.1.</w:t>
      </w:r>
    </w:p>
    <w:p>
      <w:pPr>
        <w:spacing w:after="160" w:before="80" w:line="320"/>
        <w:jc w:val="both"/>
      </w:pPr>
      <w:r>
        <w:rPr>
          <w:rFonts w:ascii="Arial" w:cs="Arial" w:eastAsia="Arial" w:hAnsi="Arial"/>
          <w:b w:val="false"/>
          <w:bCs w:val="false"/>
          <w:i w:val="false"/>
          <w:iCs w:val="false"/>
          <w:color w:val="212529"/>
          <w:sz w:val="20"/>
          <w:szCs w:val="20"/>
        </w:rPr>
        <w:t xml:space="preserve">15.4  Effect of Termination: Upon termination of this Agreement: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Delivery Partner's access to the Delivery Partner App will be immediately revoked;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All pending Delivery Fees earned and verified prior to termination will be settled in the next Settlement Cycle, subject to any lawful deductions;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Delivery Partner must immediately cease using the Company's Intellectual Property and Platform;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Confidentiality obligations under Clause 14 shall survive termination.</w:t>
      </w:r>
    </w:p>
    <w:p>
      <w:pPr>
        <w:pStyle w:val="Heading2"/>
        <w:shd w:fill="1A1A2E" w:val="clear"/>
        <w:spacing w:after="160" w:before="340"/>
        <w:ind w:left="180" w:right="180"/>
      </w:pPr>
      <w:r>
        <w:rPr>
          <w:rFonts w:ascii="Arial" w:cs="Arial" w:eastAsia="Arial" w:hAnsi="Arial"/>
          <w:b/>
          <w:bCs/>
          <w:color w:val="F4A261"/>
          <w:sz w:val="26"/>
          <w:szCs w:val="26"/>
        </w:rPr>
        <w:t xml:space="preserve">CLAUSE 16  —  </w:t>
      </w:r>
      <w:r>
        <w:rPr>
          <w:rFonts w:ascii="Arial" w:cs="Arial" w:eastAsia="Arial" w:hAnsi="Arial"/>
          <w:b/>
          <w:bCs/>
          <w:color w:val="FFFFFF"/>
          <w:sz w:val="26"/>
          <w:szCs w:val="26"/>
        </w:rPr>
        <w:t xml:space="preserve">GRIEVANCE REDRESSAL AND DISPUTE RESOLUTION</w:t>
      </w:r>
    </w:p>
    <w:p>
      <w:pPr>
        <w:pStyle w:val="Heading3"/>
        <w:spacing w:after="120" w:before="240"/>
      </w:pPr>
      <w:r>
        <w:rPr>
          <w:rFonts w:ascii="Arial" w:cs="Arial" w:eastAsia="Arial" w:hAnsi="Arial"/>
          <w:b/>
          <w:bCs/>
          <w:color w:val="1A1A2E"/>
          <w:sz w:val="22"/>
          <w:szCs w:val="22"/>
        </w:rPr>
        <w:t xml:space="preserve">16.1  Internal Grievance Process</w:t>
      </w:r>
    </w:p>
    <w:p>
      <w:pPr>
        <w:spacing w:after="160" w:before="80" w:line="320"/>
        <w:jc w:val="both"/>
      </w:pPr>
      <w:r>
        <w:rPr>
          <w:rFonts w:ascii="Arial" w:cs="Arial" w:eastAsia="Arial" w:hAnsi="Arial"/>
          <w:b w:val="false"/>
          <w:bCs w:val="false"/>
          <w:i w:val="false"/>
          <w:iCs w:val="false"/>
          <w:color w:val="212529"/>
          <w:sz w:val="20"/>
          <w:szCs w:val="20"/>
        </w:rPr>
        <w:t xml:space="preserve">Any grievance arising out of or in connection with this Agreement — including payment disputes, Deactivation appeals, or BGV concerns — shall first be addressed through the internal process: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Step 1: Raise the matter via the Delivery Partner App's Help section or by emailing partner@hivago.in;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Step 2: If unresolved within 14 Business Days, escalate to grievance@hivago.in;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Step 3: If still unresolved, the Delivery Partner may initiate legal proceedings as described below.</w:t>
      </w:r>
    </w:p>
    <w:p>
      <w:pPr>
        <w:spacing w:after="160" w:before="80" w:line="320"/>
        <w:jc w:val="both"/>
      </w:pPr>
      <w:r>
        <w:rPr>
          <w:rFonts w:ascii="Arial" w:cs="Arial" w:eastAsia="Arial" w:hAnsi="Arial"/>
          <w:b w:val="false"/>
          <w:bCs w:val="false"/>
          <w:i w:val="false"/>
          <w:iCs w:val="false"/>
          <w:color w:val="212529"/>
          <w:sz w:val="20"/>
          <w:szCs w:val="20"/>
        </w:rPr>
        <w:t xml:space="preserve">16.2  Pre-Litigation Notice: Prior to initiating legal proceedings, the Delivery Partner shall provide the Company with 30 (thirty) days' written notice of the dispute, sent to legal@hivago.in and to the Company's registered office. This notice requirement is a condition precedent to litigation.</w:t>
      </w:r>
    </w:p>
    <w:p>
      <w:pPr>
        <w:spacing w:after="160" w:before="80" w:line="320"/>
        <w:jc w:val="both"/>
      </w:pPr>
      <w:r>
        <w:rPr>
          <w:rFonts w:ascii="Arial" w:cs="Arial" w:eastAsia="Arial" w:hAnsi="Arial"/>
          <w:b w:val="false"/>
          <w:bCs w:val="false"/>
          <w:i w:val="false"/>
          <w:iCs w:val="false"/>
          <w:color w:val="212529"/>
          <w:sz w:val="20"/>
          <w:szCs w:val="20"/>
        </w:rPr>
        <w:t xml:space="preserve">16.3  Governing Law: This Agreement is governed by and construed in accordance with the laws of India.</w:t>
      </w:r>
    </w:p>
    <w:p>
      <w:pPr>
        <w:spacing w:after="160" w:before="80" w:line="320"/>
        <w:jc w:val="both"/>
      </w:pPr>
      <w:r>
        <w:rPr>
          <w:rFonts w:ascii="Arial" w:cs="Arial" w:eastAsia="Arial" w:hAnsi="Arial"/>
          <w:b w:val="false"/>
          <w:bCs w:val="false"/>
          <w:i w:val="false"/>
          <w:iCs w:val="false"/>
          <w:color w:val="212529"/>
          <w:sz w:val="20"/>
          <w:szCs w:val="20"/>
        </w:rPr>
        <w:t xml:space="preserve">16.4  Jurisdiction: Disputes shall be subject to the exclusive jurisdiction of the courts in Navi Mumbai / Thane, Maharashtra.</w:t>
      </w:r>
    </w:p>
    <w:p>
      <w:pPr>
        <w:pStyle w:val="Heading2"/>
        <w:shd w:fill="1A1A2E" w:val="clear"/>
        <w:spacing w:after="160" w:before="340"/>
        <w:ind w:left="180" w:right="180"/>
      </w:pPr>
      <w:r>
        <w:rPr>
          <w:rFonts w:ascii="Arial" w:cs="Arial" w:eastAsia="Arial" w:hAnsi="Arial"/>
          <w:b/>
          <w:bCs/>
          <w:color w:val="F4A261"/>
          <w:sz w:val="26"/>
          <w:szCs w:val="26"/>
        </w:rPr>
        <w:t xml:space="preserve">CLAUSE 17  —  </w:t>
      </w:r>
      <w:r>
        <w:rPr>
          <w:rFonts w:ascii="Arial" w:cs="Arial" w:eastAsia="Arial" w:hAnsi="Arial"/>
          <w:b/>
          <w:bCs/>
          <w:color w:val="FFFFFF"/>
          <w:sz w:val="26"/>
          <w:szCs w:val="26"/>
        </w:rPr>
        <w:t xml:space="preserve">GENERAL PROVISIONS</w:t>
      </w:r>
    </w:p>
    <w:p>
      <w:pPr>
        <w:spacing w:after="160" w:before="80" w:line="320"/>
        <w:jc w:val="both"/>
      </w:pPr>
      <w:r>
        <w:rPr>
          <w:rFonts w:ascii="Arial" w:cs="Arial" w:eastAsia="Arial" w:hAnsi="Arial"/>
          <w:b w:val="false"/>
          <w:bCs w:val="false"/>
          <w:i w:val="false"/>
          <w:iCs w:val="false"/>
          <w:color w:val="212529"/>
          <w:sz w:val="20"/>
          <w:szCs w:val="20"/>
        </w:rPr>
        <w:t xml:space="preserve">17.1  Entire Agreement: This Agreement, together with its Schedules and the Delivery Partner App's published policies, constitutes the entire agreement between the Parties regarding the subject matter hereof.</w:t>
      </w:r>
    </w:p>
    <w:p>
      <w:pPr>
        <w:spacing w:after="160" w:before="80" w:line="320"/>
        <w:jc w:val="both"/>
      </w:pPr>
      <w:r>
        <w:rPr>
          <w:rFonts w:ascii="Arial" w:cs="Arial" w:eastAsia="Arial" w:hAnsi="Arial"/>
          <w:b w:val="false"/>
          <w:bCs w:val="false"/>
          <w:i w:val="false"/>
          <w:iCs w:val="false"/>
          <w:color w:val="212529"/>
          <w:sz w:val="20"/>
          <w:szCs w:val="20"/>
        </w:rPr>
        <w:t xml:space="preserve">17.2  Amendments: The Company may amend this Agreement with 15 (fifteen) days' prior notice via the Delivery Partner App. The Delivery Partner's continued use of the Platform after the effective date constitutes acceptance of the revised terms. If the Delivery Partner does not accept the amendment, they must terminate this Agreement in accordance with Clause 15.2.</w:t>
      </w:r>
    </w:p>
    <w:p>
      <w:pPr>
        <w:spacing w:after="160" w:before="80" w:line="320"/>
        <w:jc w:val="both"/>
      </w:pPr>
      <w:r>
        <w:rPr>
          <w:rFonts w:ascii="Arial" w:cs="Arial" w:eastAsia="Arial" w:hAnsi="Arial"/>
          <w:b w:val="false"/>
          <w:bCs w:val="false"/>
          <w:i w:val="false"/>
          <w:iCs w:val="false"/>
          <w:color w:val="212529"/>
          <w:sz w:val="20"/>
          <w:szCs w:val="20"/>
        </w:rPr>
        <w:t xml:space="preserve">17.3  Severability: If any provision is held invalid or unenforceable, the remaining provisions shall continue in full force.</w:t>
      </w:r>
    </w:p>
    <w:p>
      <w:pPr>
        <w:spacing w:after="160" w:before="80" w:line="320"/>
        <w:jc w:val="both"/>
      </w:pPr>
      <w:r>
        <w:rPr>
          <w:rFonts w:ascii="Arial" w:cs="Arial" w:eastAsia="Arial" w:hAnsi="Arial"/>
          <w:b w:val="false"/>
          <w:bCs w:val="false"/>
          <w:i w:val="false"/>
          <w:iCs w:val="false"/>
          <w:color w:val="212529"/>
          <w:sz w:val="20"/>
          <w:szCs w:val="20"/>
        </w:rPr>
        <w:t xml:space="preserve">17.4  No Waiver: Failure by the Company to enforce any provision shall not constitute a waiver of that provision.</w:t>
      </w:r>
    </w:p>
    <w:p>
      <w:pPr>
        <w:spacing w:after="160" w:before="80" w:line="320"/>
        <w:jc w:val="both"/>
      </w:pPr>
      <w:r>
        <w:rPr>
          <w:rFonts w:ascii="Arial" w:cs="Arial" w:eastAsia="Arial" w:hAnsi="Arial"/>
          <w:b w:val="false"/>
          <w:bCs w:val="false"/>
          <w:i w:val="false"/>
          <w:iCs w:val="false"/>
          <w:color w:val="212529"/>
          <w:sz w:val="20"/>
          <w:szCs w:val="20"/>
        </w:rPr>
        <w:t xml:space="preserve">17.5  Notices: All formal notices under this Agreement to the Company shall be sent by email to legal@hivago.in and a copy to the registered office address. Notices to the Delivery Partner shall be sent to the registered mobile number and/or email on record.</w:t>
      </w:r>
    </w:p>
    <w:p>
      <w:pPr>
        <w:spacing w:after="160" w:before="80" w:line="320"/>
        <w:jc w:val="both"/>
      </w:pPr>
      <w:r>
        <w:rPr>
          <w:rFonts w:ascii="Arial" w:cs="Arial" w:eastAsia="Arial" w:hAnsi="Arial"/>
          <w:b w:val="false"/>
          <w:bCs w:val="false"/>
          <w:i w:val="false"/>
          <w:iCs w:val="false"/>
          <w:color w:val="212529"/>
          <w:sz w:val="20"/>
          <w:szCs w:val="20"/>
        </w:rPr>
        <w:t xml:space="preserve">17.6  Language: This Agreement is executed in English. The Delivery Partner represents that they have read and understood this Agreement, either directly or through a translator.</w:t>
      </w:r>
    </w:p>
    <w:p>
      <w:pPr>
        <w:spacing w:after="160" w:before="80" w:line="320"/>
        <w:jc w:val="both"/>
      </w:pPr>
      <w:r>
        <w:rPr>
          <w:rFonts w:ascii="Arial" w:cs="Arial" w:eastAsia="Arial" w:hAnsi="Arial"/>
          <w:b w:val="false"/>
          <w:bCs w:val="false"/>
          <w:i w:val="false"/>
          <w:iCs w:val="false"/>
          <w:color w:val="212529"/>
          <w:sz w:val="20"/>
          <w:szCs w:val="20"/>
        </w:rPr>
        <w:t xml:space="preserve">17.7  Counterparts: This Agreement may be executed digitally through the Delivery Partner App's e-acceptance mechanism, which shall be binding and legally enforceable to the same extent as a physically signed agreement.</w:t>
      </w:r>
    </w:p>
    <w:p>
      <w:pPr>
        <w:pBdr>
          <w:bottom w:val="single" w:color="E63946" w:sz="6" w:space="1"/>
        </w:pBdr>
        <w:spacing w:after="160" w:before="160"/>
      </w:pPr>
    </w:p>
    <w:p>
      <w:pPr>
        <w:pStyle w:val="Heading1"/>
        <w:shd w:fill="E63946" w:val="clear"/>
        <w:spacing w:after="200" w:before="400"/>
        <w:ind w:left="180" w:right="180"/>
      </w:pPr>
      <w:r>
        <w:rPr>
          <w:rFonts w:ascii="Arial" w:cs="Arial" w:eastAsia="Arial" w:hAnsi="Arial"/>
          <w:b/>
          <w:bCs/>
          <w:color w:val="FFFFFF"/>
          <w:sz w:val="34"/>
          <w:szCs w:val="34"/>
        </w:rPr>
        <w:t xml:space="preserve">SCHEDULE A — DELIVERY FEE STRUCTURE</w:t>
      </w:r>
    </w:p>
    <w:p>
      <w:pPr>
        <w:spacing w:after="160" w:before="80" w:line="320"/>
        <w:jc w:val="both"/>
      </w:pPr>
      <w:r>
        <w:rPr>
          <w:rFonts w:ascii="Arial" w:cs="Arial" w:eastAsia="Arial" w:hAnsi="Arial"/>
          <w:b w:val="false"/>
          <w:bCs w:val="false"/>
          <w:i w:val="false"/>
          <w:iCs w:val="false"/>
          <w:color w:val="212529"/>
          <w:sz w:val="20"/>
          <w:szCs w:val="20"/>
        </w:rPr>
        <w:t xml:space="preserve">The following fee structure is indicative and subject to revision with notice per Clause 5.1. Current rates are always available on the Delivery Partner App's earnings section.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Fee Component</w:t>
            </w:r>
          </w:p>
        </w:tc>
        <w:tc>
          <w:tcPr>
            <w:tcW w:type="dxa" w:w="212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Details</w:t>
            </w:r>
          </w:p>
        </w:tc>
        <w:tc>
          <w:tcPr>
            <w:tcW w:type="dxa" w:w="212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Current Rate</w:t>
            </w:r>
          </w:p>
        </w:tc>
        <w:tc>
          <w:tcPr>
            <w:tcW w:type="dxa" w:w="212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Notes</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Base Delivery Fee</w:t>
            </w:r>
          </w:p>
        </w:tc>
        <w:tc>
          <w:tcPr>
            <w:tcW w:type="dxa" w:w="212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Per completed delivery</w:t>
            </w:r>
          </w:p>
        </w:tc>
        <w:tc>
          <w:tcPr>
            <w:tcW w:type="dxa" w:w="212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INR [•] per delivery</w:t>
            </w:r>
          </w:p>
        </w:tc>
        <w:tc>
          <w:tcPr>
            <w:tcW w:type="dxa" w:w="212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To be set by Company and updated on App</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Surge Fee</w:t>
            </w:r>
          </w:p>
        </w:tc>
        <w:tc>
          <w:tcPr>
            <w:tcW w:type="dxa" w:w="212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High demand / adverse weather</w:t>
            </w:r>
          </w:p>
        </w:tc>
        <w:tc>
          <w:tcPr>
            <w:tcW w:type="dxa" w:w="212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Variable — displayed on App pre-acceptance</w:t>
            </w:r>
          </w:p>
        </w:tc>
        <w:tc>
          <w:tcPr>
            <w:tcW w:type="dxa" w:w="212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Not guaranteed</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Incentives</w:t>
            </w:r>
          </w:p>
        </w:tc>
        <w:tc>
          <w:tcPr>
            <w:tcW w:type="dxa" w:w="212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Performance-based targets</w:t>
            </w:r>
          </w:p>
        </w:tc>
        <w:tc>
          <w:tcPr>
            <w:tcW w:type="dxa" w:w="212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As published per programme</w:t>
            </w:r>
          </w:p>
        </w:tc>
        <w:tc>
          <w:tcPr>
            <w:tcW w:type="dxa" w:w="212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Subject to verification</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Tips</w:t>
            </w:r>
          </w:p>
        </w:tc>
        <w:tc>
          <w:tcPr>
            <w:tcW w:type="dxa" w:w="212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User-voluntary</w:t>
            </w:r>
          </w:p>
        </w:tc>
        <w:tc>
          <w:tcPr>
            <w:tcW w:type="dxa" w:w="212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100% passed to Delivery Partner</w:t>
            </w:r>
          </w:p>
        </w:tc>
        <w:tc>
          <w:tcPr>
            <w:tcW w:type="dxa" w:w="212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No Company deduction</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TDS (deduction)</w:t>
            </w:r>
          </w:p>
        </w:tc>
        <w:tc>
          <w:tcPr>
            <w:tcW w:type="dxa" w:w="212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Section 194C, Income Tax Act</w:t>
            </w:r>
          </w:p>
        </w:tc>
        <w:tc>
          <w:tcPr>
            <w:tcW w:type="dxa" w:w="212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1% (individuals/HUF) or 2% (others)</w:t>
            </w:r>
          </w:p>
        </w:tc>
        <w:tc>
          <w:tcPr>
            <w:tcW w:type="dxa" w:w="212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Reflected in Form 16A</w:t>
            </w:r>
          </w:p>
        </w:tc>
      </w:tr>
    </w:tbl>
    <w:p>
      <w:pPr>
        <w:spacing w:after="60" w:before="60"/>
      </w:pPr>
    </w:p>
    <w:p>
      <w:pPr>
        <w:spacing w:after="60" w:before="60"/>
      </w:pPr>
    </w:p>
    <w:p>
      <w:pPr>
        <w:pBdr>
          <w:bottom w:val="single" w:color="E63946" w:sz="6" w:space="1"/>
        </w:pBdr>
        <w:spacing w:after="160" w:before="160"/>
      </w:pPr>
    </w:p>
    <w:p>
      <w:pPr>
        <w:pStyle w:val="Heading1"/>
        <w:shd w:fill="E63946" w:val="clear"/>
        <w:spacing w:after="200" w:before="400"/>
        <w:ind w:left="180" w:right="180"/>
      </w:pPr>
      <w:r>
        <w:rPr>
          <w:rFonts w:ascii="Arial" w:cs="Arial" w:eastAsia="Arial" w:hAnsi="Arial"/>
          <w:b/>
          <w:bCs/>
          <w:color w:val="FFFFFF"/>
          <w:sz w:val="34"/>
          <w:szCs w:val="34"/>
        </w:rPr>
        <w:t xml:space="preserve">EXECUTION AND DIGITAL ACCEPTANCE</w:t>
      </w:r>
    </w:p>
    <w:p>
      <w:pPr>
        <w:spacing w:after="160" w:before="80" w:line="320"/>
        <w:jc w:val="both"/>
      </w:pPr>
      <w:r>
        <w:rPr>
          <w:rFonts w:ascii="Arial" w:cs="Arial" w:eastAsia="Arial" w:hAnsi="Arial"/>
          <w:b w:val="false"/>
          <w:bCs w:val="false"/>
          <w:i w:val="false"/>
          <w:iCs w:val="false"/>
          <w:color w:val="212529"/>
          <w:sz w:val="20"/>
          <w:szCs w:val="20"/>
        </w:rPr>
        <w:t xml:space="preserve">This Agreement is entered into as of the date of the Delivery Partner's digital acceptance through the HIVAGO Delivery Partner App, or as of the date manually executed below by both Parties, whichever is earlier.</w:t>
      </w:r>
    </w:p>
    <w:p>
      <w:pPr>
        <w:spacing w:after="160" w:before="80" w:line="320"/>
        <w:jc w:val="both"/>
      </w:pPr>
      <w:r>
        <w:rPr>
          <w:rFonts w:ascii="Arial" w:cs="Arial" w:eastAsia="Arial" w:hAnsi="Arial"/>
          <w:b w:val="false"/>
          <w:bCs w:val="false"/>
          <w:i w:val="false"/>
          <w:iCs w:val="false"/>
          <w:color w:val="212529"/>
          <w:sz w:val="20"/>
          <w:szCs w:val="20"/>
        </w:rPr>
        <w:t xml:space="preserve">By signing below (or by clicking 'Accept' on the Delivery Partner App), both Parties confirm that they have read, understood, and agree to be bound by all terms of this Agreement and its Schedule.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2E6" w:sz="4"/>
              <w:left w:val="single" w:color="DEE2E6" w:sz="4"/>
              <w:bottom w:val="single" w:color="DEE2E6" w:sz="4"/>
              <w:right w:val="single" w:color="DEE2E6" w:sz="4"/>
            </w:tcBorders>
            <w:shd w:fill="F8F9FA" w:val="clear"/>
            <w:tcMar>
              <w:top w:type="dxa" w:w="120"/>
              <w:left w:type="dxa" w:w="160"/>
              <w:bottom w:type="dxa" w:w="200"/>
              <w:right w:type="dxa" w:w="160"/>
            </w:tcMar>
          </w:tcPr>
          <w:p>
            <w:pPr>
              <w:spacing w:after="240" w:before="80"/>
            </w:pPr>
            <w:r>
              <w:rPr>
                <w:rFonts w:ascii="Arial" w:cs="Arial" w:eastAsia="Arial" w:hAnsi="Arial"/>
                <w:color w:val="212529"/>
                <w:sz w:val="18"/>
                <w:szCs w:val="18"/>
              </w:rPr>
              <w:t xml:space="preserve">_______________________________</w:t>
            </w:r>
          </w:p>
          <w:p>
            <w:pPr>
              <w:spacing w:after="60" w:before="0"/>
            </w:pPr>
            <w:r>
              <w:rPr>
                <w:rFonts w:ascii="Arial" w:cs="Arial" w:eastAsia="Arial" w:hAnsi="Arial"/>
                <w:b/>
                <w:bCs/>
                <w:color w:val="1A1A2E"/>
                <w:sz w:val="18"/>
                <w:szCs w:val="18"/>
              </w:rPr>
              <w:t xml:space="preserve">FOR WaradaVinayaka Pvt Ltd (HIVAGO)
Authorised Signatory</w:t>
            </w:r>
          </w:p>
          <w:p>
            <w:pPr>
              <w:spacing w:after="60" w:before="0"/>
            </w:pPr>
            <w:r>
              <w:rPr>
                <w:rFonts w:ascii="Arial" w:cs="Arial" w:eastAsia="Arial" w:hAnsi="Arial"/>
                <w:color w:val="212529"/>
                <w:sz w:val="16"/>
                <w:szCs w:val="16"/>
              </w:rPr>
              <w:t xml:space="preserve">Name: _______________________</w:t>
            </w:r>
          </w:p>
          <w:p>
            <w:pPr>
              <w:spacing w:after="60" w:before="0"/>
            </w:pPr>
            <w:r>
              <w:rPr>
                <w:rFonts w:ascii="Arial" w:cs="Arial" w:eastAsia="Arial" w:hAnsi="Arial"/>
                <w:color w:val="212529"/>
                <w:sz w:val="16"/>
                <w:szCs w:val="16"/>
              </w:rPr>
              <w:t xml:space="preserve">Date:  _______________________</w:t>
            </w:r>
          </w:p>
        </w:tc>
        <w:tc>
          <w:tcPr>
            <w:tcW w:type="dxa" w:w="4680"/>
            <w:tcBorders>
              <w:top w:val="single" w:color="DEE2E6" w:sz="4"/>
              <w:left w:val="single" w:color="DEE2E6" w:sz="4"/>
              <w:bottom w:val="single" w:color="DEE2E6" w:sz="4"/>
              <w:right w:val="single" w:color="DEE2E6" w:sz="4"/>
            </w:tcBorders>
            <w:shd w:fill="F8F9FA" w:val="clear"/>
            <w:tcMar>
              <w:top w:type="dxa" w:w="120"/>
              <w:left w:type="dxa" w:w="160"/>
              <w:bottom w:type="dxa" w:w="200"/>
              <w:right w:type="dxa" w:w="160"/>
            </w:tcMar>
          </w:tcPr>
          <w:p>
            <w:pPr>
              <w:spacing w:after="240" w:before="80"/>
            </w:pPr>
            <w:r>
              <w:rPr>
                <w:rFonts w:ascii="Arial" w:cs="Arial" w:eastAsia="Arial" w:hAnsi="Arial"/>
                <w:color w:val="212529"/>
                <w:sz w:val="18"/>
                <w:szCs w:val="18"/>
              </w:rPr>
              <w:t xml:space="preserve">_______________________________</w:t>
            </w:r>
          </w:p>
          <w:p>
            <w:pPr>
              <w:spacing w:after="60" w:before="0"/>
            </w:pPr>
            <w:r>
              <w:rPr>
                <w:rFonts w:ascii="Arial" w:cs="Arial" w:eastAsia="Arial" w:hAnsi="Arial"/>
                <w:b/>
                <w:bCs/>
                <w:color w:val="1A1A2E"/>
                <w:sz w:val="18"/>
                <w:szCs w:val="18"/>
              </w:rPr>
              <w:t xml:space="preserve">DELIVERY PARTNER
(Individual / Self)</w:t>
            </w:r>
          </w:p>
          <w:p>
            <w:pPr>
              <w:spacing w:after="60" w:before="0"/>
            </w:pPr>
            <w:r>
              <w:rPr>
                <w:rFonts w:ascii="Arial" w:cs="Arial" w:eastAsia="Arial" w:hAnsi="Arial"/>
                <w:color w:val="212529"/>
                <w:sz w:val="16"/>
                <w:szCs w:val="16"/>
              </w:rPr>
              <w:t xml:space="preserve">Name: _______________________</w:t>
            </w:r>
          </w:p>
          <w:p>
            <w:pPr>
              <w:spacing w:after="60" w:before="0"/>
            </w:pPr>
            <w:r>
              <w:rPr>
                <w:rFonts w:ascii="Arial" w:cs="Arial" w:eastAsia="Arial" w:hAnsi="Arial"/>
                <w:color w:val="212529"/>
                <w:sz w:val="16"/>
                <w:szCs w:val="16"/>
              </w:rPr>
              <w:t xml:space="preserve">Date:  _______________________</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0"/>
              <w:left w:val="single" w:color="DEE2E6" w:sz="28"/>
              <w:bottom w:val="single" w:color="DEE2E6" w:sz="10"/>
              <w:right w:val="single" w:color="DEE2E6" w:sz="10"/>
            </w:tcBorders>
            <w:shd w:fill="F8F9FA" w:val="clear"/>
            <w:tcMar>
              <w:top w:type="dxa" w:w="140"/>
              <w:left w:type="dxa" w:w="220"/>
              <w:bottom w:type="dxa" w:w="140"/>
              <w:right w:type="dxa" w:w="220"/>
            </w:tcMar>
          </w:tcPr>
          <w:p>
            <w:pPr>
              <w:spacing w:after="80"/>
            </w:pPr>
            <w:r>
              <w:rPr>
                <w:rFonts w:ascii="Arial" w:cs="Arial" w:eastAsia="Arial" w:hAnsi="Arial"/>
                <w:b/>
                <w:bCs/>
                <w:color w:val="DEE2E6"/>
                <w:sz w:val="18"/>
                <w:szCs w:val="18"/>
              </w:rPr>
              <w:t xml:space="preserve">WITNESS (Optional but Recommended)</w:t>
            </w:r>
          </w:p>
          <w:p>
            <w:pPr>
              <w:spacing w:after="40" w:before="40" w:line="280"/>
            </w:pPr>
            <w:r>
              <w:rPr>
                <w:rFonts w:ascii="Arial" w:cs="Arial" w:eastAsia="Arial" w:hAnsi="Arial"/>
                <w:color w:val="212529"/>
                <w:sz w:val="18"/>
                <w:szCs w:val="18"/>
              </w:rPr>
              <w:t xml:space="preserve">Witness 1 — Name: ________________________  Signature: __________________  Date: __________</w:t>
            </w:r>
          </w:p>
          <w:p>
            <w:pPr>
              <w:spacing w:after="40" w:before="40" w:line="280"/>
            </w:pPr>
            <w:r>
              <w:rPr>
                <w:rFonts w:ascii="Arial" w:cs="Arial" w:eastAsia="Arial" w:hAnsi="Arial"/>
                <w:color w:val="212529"/>
                <w:sz w:val="18"/>
                <w:szCs w:val="18"/>
              </w:rPr>
              <w:t xml:space="preserve">Witness 2 — Name: ________________________  Signature: __________________  Date: __________</w:t>
            </w:r>
          </w:p>
        </w:tc>
      </w:tr>
    </w:tbl>
    <w:p>
      <w:pPr>
        <w:spacing w:after="60" w:before="60"/>
      </w:pPr>
    </w:p>
    <w:p>
      <w:pPr>
        <w:spacing w:after="160" w:before="80" w:line="320"/>
        <w:jc w:val="both"/>
      </w:pPr>
      <w:r>
        <w:rPr>
          <w:rFonts w:ascii="Arial" w:cs="Arial" w:eastAsia="Arial" w:hAnsi="Arial"/>
          <w:b/>
          <w:bCs/>
          <w:i w:val="false"/>
          <w:iCs w:val="false"/>
          <w:color w:val="212529"/>
          <w:sz w:val="20"/>
          <w:szCs w:val="20"/>
        </w:rPr>
        <w:t xml:space="preserve">Last Updated: [DATE]</w:t>
      </w:r>
    </w:p>
    <w:p>
      <w:pPr>
        <w:spacing w:after="160" w:before="80" w:line="320"/>
        <w:jc w:val="both"/>
      </w:pPr>
      <w:r>
        <w:rPr>
          <w:rFonts w:ascii="Arial" w:cs="Arial" w:eastAsia="Arial" w:hAnsi="Arial"/>
          <w:b w:val="false"/>
          <w:bCs w:val="false"/>
          <w:i w:val="false"/>
          <w:iCs w:val="false"/>
          <w:color w:val="212529"/>
          <w:sz w:val="20"/>
          <w:szCs w:val="20"/>
        </w:rPr>
        <w:t xml:space="preserve">Version: 1.0</w:t>
      </w:r>
    </w:p>
    <w:p>
      <w:pPr>
        <w:spacing w:after="160" w:before="80" w:line="320"/>
        <w:jc w:val="both"/>
      </w:pPr>
      <w:r>
        <w:rPr>
          <w:rFonts w:ascii="Arial" w:cs="Arial" w:eastAsia="Arial" w:hAnsi="Arial"/>
          <w:b w:val="false"/>
          <w:bCs w:val="false"/>
          <w:i w:val="false"/>
          <w:iCs w:val="false"/>
          <w:color w:val="212529"/>
          <w:sz w:val="20"/>
          <w:szCs w:val="20"/>
        </w:rPr>
        <w:t xml:space="preserve">WaradaVinayaka Private Limited | HIVAGO Platform | partner@hivago.in | legal@hivago.in</w:t>
      </w:r>
    </w:p>
    <w:sectPr>
      <w:headerReference w:type="default" r:id="rId7"/>
      <w:footerReference w:type="default" r:id="rId8"/>
      <w:pgSz w:w="12240" w:h="15840" w:orient="portrait"/>
      <w:pgMar w:top="1200" w:right="1440" w:bottom="12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space="2"/>
      </w:pBdr>
    </w:pPr>
    <w:r>
      <w:rPr>
        <w:rFonts w:ascii="Arial" w:cs="Arial" w:eastAsia="Arial" w:hAnsi="Arial"/>
        <w:color w:val="1A1A2E"/>
        <w:sz w:val="14"/>
        <w:szCs w:val="14"/>
      </w:rPr>
      <w:t xml:space="preserve">Strictly Confidential — Binding Legal Agreement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6" w:space="2"/>
      </w:pBdr>
    </w:pPr>
    <w:r>
      <w:rPr>
        <w:rFonts w:ascii="Arial" w:cs="Arial" w:eastAsia="Arial" w:hAnsi="Arial"/>
        <w:b/>
        <w:bCs/>
        <w:color w:val="1A1A2E"/>
        <w:sz w:val="15"/>
        <w:szCs w:val="15"/>
      </w:rPr>
      <w:t xml:space="preserve">HIVAGO  |  Delivery Partner Agreement  |  WaradaVinayaka Private Limited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4"/>
      <w:szCs w:val="34"/>
    </w:rPr>
  </w:style>
  <w:style w:type="paragraph" w:styleId="Heading2">
    <w:name w:val="Heading 2"/>
    <w:basedOn w:val="Normal"/>
    <w:next w:val="Normal"/>
    <w:qFormat/>
    <w:pPr>
      <w:spacing w:after="160" w:before="340"/>
      <w:outlineLvl w:val="1"/>
    </w:pPr>
    <w:rPr>
      <w:rFonts w:ascii="Arial" w:cs="Arial" w:eastAsia="Arial" w:hAnsi="Arial"/>
      <w:b/>
      <w:bCs/>
      <w:color w:val="FFFFFF"/>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2E"/>
      <w:sz w:val="22"/>
      <w:szCs w:val="22"/>
    </w:rPr>
  </w:style>
  <w:style w:type="paragraph" w:styleId="Heading4">
    <w:name w:val="Heading 4"/>
    <w:basedOn w:val="Normal"/>
    <w:next w:val="Normal"/>
    <w:qFormat/>
    <w:pPr>
      <w:spacing w:after="80" w:before="180"/>
      <w:outlineLvl w:val="3"/>
    </w:pPr>
    <w:rPr>
      <w:rFonts w:ascii="Arial" w:cs="Arial" w:eastAsia="Arial" w:hAnsi="Arial"/>
      <w:b/>
      <w:bCs/>
      <w:color w:val="E6394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2026-05-19T15:42:25.185Z</dcterms:created>
  <dcterms:modified xsi:type="dcterms:W3CDTF">2026-05-19T15:42:25.185Z</dcterms:modified>
</cp:coreProperties>
</file>

<file path=docProps/custom.xml><?xml version="1.0" encoding="utf-8"?>
<Properties xmlns="http://schemas.openxmlformats.org/officeDocument/2006/custom-properties" xmlns:vt="http://schemas.openxmlformats.org/officeDocument/2006/docPropsVTypes"/>
</file>