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E63946"/>
          <w:sz w:val="96"/>
          <w:szCs w:val="96"/>
        </w:rPr>
        <w:t xml:space="preserve">HIVAGO</w:t>
      </w:r>
    </w:p>
    <w:p>
      <w:pPr>
        <w:spacing w:after="60" w:before="0"/>
        <w:jc w:val="center"/>
      </w:pPr>
      <w:r>
        <w:rPr>
          <w:rFonts w:ascii="Arial" w:cs="Arial" w:eastAsia="Arial" w:hAnsi="Arial"/>
          <w:color w:val="DEE2E6"/>
          <w:sz w:val="22"/>
          <w:szCs w:val="22"/>
        </w:rPr>
        <w:t xml:space="preserve">Operated by WaradaVinayaka Private Limited</w:t>
      </w:r>
    </w:p>
    <w:p>
      <w:pPr>
        <w:pBdr>
          <w:bottom w:val="single" w:color="E63946" w:sz="6" w:space="1"/>
        </w:pBdr>
        <w:spacing w:after="160" w:before="160"/>
      </w:pPr>
    </w:p>
    <w:p>
      <w:pPr>
        <w:shd w:fill="1A1A2E" w:val="clear"/>
        <w:spacing w:after="60" w:before="200"/>
        <w:jc w:val="center"/>
      </w:pPr>
      <w:r>
        <w:rPr>
          <w:rFonts w:ascii="Arial" w:cs="Arial" w:eastAsia="Arial" w:hAnsi="Arial"/>
          <w:b/>
          <w:bCs/>
          <w:color w:val="FFFFFF"/>
          <w:sz w:val="46"/>
          <w:szCs w:val="46"/>
        </w:rPr>
        <w:t xml:space="preserve">RESTAURANT PARTNER AGREEMENT</w:t>
      </w:r>
    </w:p>
    <w:p>
      <w:pPr>
        <w:spacing w:after="40" w:before="60"/>
        <w:jc w:val="center"/>
      </w:pPr>
      <w:r>
        <w:rPr>
          <w:rFonts w:ascii="Arial" w:cs="Arial" w:eastAsia="Arial" w:hAnsi="Arial"/>
          <w:b/>
          <w:bCs/>
          <w:color w:val="E63946"/>
          <w:sz w:val="24"/>
          <w:szCs w:val="24"/>
        </w:rPr>
        <w:t xml:space="preserve">Marketplace Listing and Service Agreement</w:t>
      </w:r>
    </w:p>
    <w:p>
      <w:pPr>
        <w:spacing w:after="200" w:before="0"/>
        <w:jc w:val="center"/>
      </w:pPr>
      <w:r>
        <w:rPr>
          <w:rFonts w:ascii="Arial" w:cs="Arial" w:eastAsia="Arial" w:hAnsi="Arial"/>
          <w:i/>
          <w:iCs/>
          <w:color w:val="F4A261"/>
          <w:sz w:val="18"/>
          <w:szCs w:val="18"/>
        </w:rPr>
        <w:t xml:space="preserve">Governing the listing, order fulfilment, settlement, and obligations of Restaurant Partners on the HIVAGO Platform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Document Type</w:t>
            </w:r>
          </w:p>
          <w:p>
            <w:pPr>
              <w:jc w:val="center"/>
            </w:pPr>
            <w:r>
              <w:rPr>
                <w:rFonts w:ascii="Arial" w:cs="Arial" w:eastAsia="Arial" w:hAnsi="Arial"/>
                <w:b/>
                <w:bCs/>
                <w:color w:val="FFFFFF"/>
                <w:sz w:val="17"/>
                <w:szCs w:val="17"/>
              </w:rPr>
              <w:t xml:space="preserve">Service Agreement</w:t>
            </w:r>
          </w:p>
        </w:tc>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Version</w:t>
            </w:r>
          </w:p>
          <w:p>
            <w:pPr>
              <w:jc w:val="center"/>
            </w:pPr>
            <w:r>
              <w:rPr>
                <w:rFonts w:ascii="Arial" w:cs="Arial" w:eastAsia="Arial" w:hAnsi="Arial"/>
                <w:b/>
                <w:bCs/>
                <w:color w:val="FFFFFF"/>
                <w:sz w:val="17"/>
                <w:szCs w:val="17"/>
              </w:rPr>
              <w:t xml:space="preserve">1.0</w:t>
            </w:r>
          </w:p>
        </w:tc>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Jurisdiction</w:t>
            </w:r>
          </w:p>
          <w:p>
            <w:pPr>
              <w:jc w:val="center"/>
            </w:pPr>
            <w:r>
              <w:rPr>
                <w:rFonts w:ascii="Arial" w:cs="Arial" w:eastAsia="Arial" w:hAnsi="Arial"/>
                <w:b/>
                <w:bCs/>
                <w:color w:val="FFFFFF"/>
                <w:sz w:val="17"/>
                <w:szCs w:val="17"/>
              </w:rPr>
              <w:t xml:space="preserve">Maharashtra, India</w:t>
            </w:r>
          </w:p>
        </w:tc>
        <w:tc>
          <w:tcPr>
            <w:tcW w:type="dxa" w:w="2340"/>
            <w:tcBorders>
              <w:top w:val="single" w:color="E63946" w:sz="4"/>
              <w:left w:val="single" w:color="E63946" w:sz="4"/>
              <w:bottom w:val="single" w:color="E63946" w:sz="4"/>
              <w:right w:val="single" w:color="E63946" w:sz="4"/>
            </w:tcBorders>
            <w:shd w:fill="1A1A2E" w:val="clear"/>
            <w:tcMar>
              <w:top w:type="dxa" w:w="120"/>
              <w:left w:type="dxa" w:w="100"/>
              <w:bottom w:type="dxa" w:w="120"/>
              <w:right w:type="dxa" w:w="100"/>
            </w:tcMar>
          </w:tcPr>
          <w:p>
            <w:pPr>
              <w:jc w:val="center"/>
            </w:pPr>
            <w:r>
              <w:rPr>
                <w:rFonts w:ascii="Arial" w:cs="Arial" w:eastAsia="Arial" w:hAnsi="Arial"/>
                <w:b/>
                <w:bCs/>
                <w:color w:val="F4A261"/>
                <w:sz w:val="15"/>
                <w:szCs w:val="15"/>
              </w:rPr>
              <w:t xml:space="preserve">Governing Law</w:t>
            </w:r>
          </w:p>
          <w:p>
            <w:pPr>
              <w:jc w:val="center"/>
            </w:pPr>
            <w:r>
              <w:rPr>
                <w:rFonts w:ascii="Arial" w:cs="Arial" w:eastAsia="Arial" w:hAnsi="Arial"/>
                <w:b/>
                <w:bCs/>
                <w:color w:val="FFFFFF"/>
                <w:sz w:val="17"/>
                <w:szCs w:val="17"/>
              </w:rPr>
              <w:t xml:space="preserve">Laws of India</w:t>
            </w:r>
          </w:p>
        </w:tc>
      </w:tr>
    </w:tbl>
    <w:p>
      <w:pPr>
        <w:spacing w:after="60" w:before="60"/>
      </w:pPr>
    </w:p>
    <w:p>
      <w:pPr>
        <w:spacing w:after="60" w:before="60"/>
      </w:pPr>
    </w:p>
    <w:p>
      <w:pPr>
        <w:spacing w:after="80" w:before="160"/>
        <w:jc w:val="center"/>
      </w:pPr>
      <w:r>
        <w:rPr>
          <w:rFonts w:ascii="Arial" w:cs="Arial" w:eastAsia="Arial" w:hAnsi="Arial"/>
          <w:b/>
          <w:bCs/>
          <w:color w:val="1A1A2E"/>
          <w:sz w:val="20"/>
          <w:szCs w:val="20"/>
        </w:rPr>
        <w:t xml:space="preserve">PARTIES TO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63946" w:sz="4"/>
              <w:left w:val="single" w:color="E63946" w:sz="4"/>
              <w:bottom w:val="single" w:color="E63946" w:sz="4"/>
              <w:right w:val="single" w:color="E63946" w:sz="4"/>
            </w:tcBorders>
            <w:shd w:fill="1A1A2E" w:val="clear"/>
            <w:tcMar>
              <w:top w:type="dxa" w:w="120"/>
              <w:left w:type="dxa" w:w="160"/>
              <w:bottom w:type="dxa" w:w="120"/>
              <w:right w:type="dxa" w:w="160"/>
            </w:tcMar>
          </w:tcPr>
          <w:p>
            <w:pPr>
              <w:jc w:val="center"/>
            </w:pPr>
            <w:r>
              <w:rPr>
                <w:rFonts w:ascii="Arial" w:cs="Arial" w:eastAsia="Arial" w:hAnsi="Arial"/>
                <w:b/>
                <w:bCs/>
                <w:color w:val="F4A261"/>
                <w:sz w:val="18"/>
                <w:szCs w:val="18"/>
              </w:rPr>
              <w:t xml:space="preserve">PARTY A — THE COMPANY</w:t>
            </w:r>
          </w:p>
        </w:tc>
        <w:tc>
          <w:tcPr>
            <w:tcW w:type="dxa" w:w="4680"/>
            <w:tcBorders>
              <w:top w:val="single" w:color="E63946" w:sz="4"/>
              <w:left w:val="single" w:color="E63946" w:sz="4"/>
              <w:bottom w:val="single" w:color="E63946" w:sz="4"/>
              <w:right w:val="single" w:color="E63946" w:sz="4"/>
            </w:tcBorders>
            <w:shd w:fill="1A1A2E" w:val="clear"/>
            <w:tcMar>
              <w:top w:type="dxa" w:w="120"/>
              <w:left w:type="dxa" w:w="160"/>
              <w:bottom w:type="dxa" w:w="120"/>
              <w:right w:type="dxa" w:w="160"/>
            </w:tcMar>
          </w:tcPr>
          <w:p>
            <w:pPr>
              <w:jc w:val="center"/>
            </w:pPr>
            <w:r>
              <w:rPr>
                <w:rFonts w:ascii="Arial" w:cs="Arial" w:eastAsia="Arial" w:hAnsi="Arial"/>
                <w:b/>
                <w:bCs/>
                <w:color w:val="F4A261"/>
                <w:sz w:val="18"/>
                <w:szCs w:val="18"/>
              </w:rPr>
              <w:t xml:space="preserve">PARTY B — THE RESTAURANT PARTNER</w:t>
            </w:r>
          </w:p>
        </w:tc>
      </w:tr>
      <w:tr>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140"/>
              <w:right w:type="dxa" w:w="160"/>
            </w:tcMar>
          </w:tcPr>
          <w:p>
            <w:pPr>
              <w:spacing w:after="40" w:before="60"/>
            </w:pPr>
            <w:r>
              <w:rPr>
                <w:rFonts w:ascii="Arial" w:cs="Arial" w:eastAsia="Arial" w:hAnsi="Arial"/>
                <w:b/>
                <w:bCs/>
                <w:color w:val="1A1A2E"/>
                <w:sz w:val="18"/>
                <w:szCs w:val="18"/>
              </w:rPr>
              <w:t xml:space="preserve">WaradaVinayaka Private Limited</w:t>
            </w:r>
          </w:p>
          <w:p>
            <w:pPr>
              <w:spacing w:after="40" w:before="0"/>
            </w:pPr>
            <w:r>
              <w:rPr>
                <w:rFonts w:ascii="Arial" w:cs="Arial" w:eastAsia="Arial" w:hAnsi="Arial"/>
                <w:color w:val="212529"/>
                <w:sz w:val="17"/>
                <w:szCs w:val="17"/>
              </w:rPr>
              <w:t xml:space="preserve">CIN: [•]</w:t>
            </w:r>
          </w:p>
          <w:p>
            <w:pPr>
              <w:spacing w:after="40" w:before="0"/>
            </w:pPr>
            <w:r>
              <w:rPr>
                <w:rFonts w:ascii="Arial" w:cs="Arial" w:eastAsia="Arial" w:hAnsi="Arial"/>
                <w:color w:val="212529"/>
                <w:sz w:val="17"/>
                <w:szCs w:val="17"/>
              </w:rPr>
              <w:t xml:space="preserve">GSTIN: 27AAECW3756G1Z3</w:t>
            </w:r>
          </w:p>
          <w:p>
            <w:pPr>
              <w:spacing w:after="40" w:before="0"/>
            </w:pPr>
            <w:r>
              <w:rPr>
                <w:rFonts w:ascii="Arial" w:cs="Arial" w:eastAsia="Arial" w:hAnsi="Arial"/>
                <w:color w:val="212529"/>
                <w:sz w:val="17"/>
                <w:szCs w:val="17"/>
              </w:rPr>
              <w:t xml:space="preserve">AL-5-13/9, Sneh Sagar Apt, Sector-17,</w:t>
            </w:r>
          </w:p>
          <w:p>
            <w:pPr>
              <w:spacing w:after="40" w:before="0"/>
            </w:pPr>
            <w:r>
              <w:rPr>
                <w:rFonts w:ascii="Arial" w:cs="Arial" w:eastAsia="Arial" w:hAnsi="Arial"/>
                <w:color w:val="212529"/>
                <w:sz w:val="17"/>
                <w:szCs w:val="17"/>
              </w:rPr>
              <w:t xml:space="preserve">Airoli, Navi Mumbai – 400708, Maharashtra</w:t>
            </w:r>
          </w:p>
          <w:p>
            <w:pPr>
              <w:spacing w:after="40" w:before="0"/>
            </w:pPr>
            <w:r>
              <w:rPr>
                <w:rFonts w:ascii="Arial" w:cs="Arial" w:eastAsia="Arial" w:hAnsi="Arial"/>
                <w:i/>
                <w:iCs/>
                <w:color w:val="212529"/>
                <w:sz w:val="17"/>
                <w:szCs w:val="17"/>
              </w:rPr>
              <w:t xml:space="preserve">Represented by its authorised signatory</w:t>
            </w:r>
          </w:p>
        </w:tc>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140"/>
              <w:right w:type="dxa" w:w="160"/>
            </w:tcMar>
          </w:tcPr>
          <w:p>
            <w:pPr>
              <w:spacing w:after="40" w:before="60"/>
            </w:pPr>
            <w:r>
              <w:rPr>
                <w:rFonts w:ascii="Arial" w:cs="Arial" w:eastAsia="Arial" w:hAnsi="Arial"/>
                <w:color w:val="212529"/>
                <w:sz w:val="17"/>
                <w:szCs w:val="17"/>
              </w:rPr>
              <w:t xml:space="preserve">Restaurant / Business Name: ______________</w:t>
            </w:r>
          </w:p>
          <w:p>
            <w:pPr>
              <w:spacing w:after="40" w:before="0"/>
            </w:pPr>
            <w:r>
              <w:rPr>
                <w:rFonts w:ascii="Arial" w:cs="Arial" w:eastAsia="Arial" w:hAnsi="Arial"/>
                <w:color w:val="212529"/>
                <w:sz w:val="17"/>
                <w:szCs w:val="17"/>
              </w:rPr>
              <w:t xml:space="preserve">Legal Entity Name: _______________________</w:t>
            </w:r>
          </w:p>
          <w:p>
            <w:pPr>
              <w:spacing w:after="40" w:before="0"/>
            </w:pPr>
            <w:r>
              <w:rPr>
                <w:rFonts w:ascii="Arial" w:cs="Arial" w:eastAsia="Arial" w:hAnsi="Arial"/>
                <w:color w:val="212529"/>
                <w:sz w:val="17"/>
                <w:szCs w:val="17"/>
              </w:rPr>
              <w:t xml:space="preserve">FSSAI Licence No.: _______________________</w:t>
            </w:r>
          </w:p>
          <w:p>
            <w:pPr>
              <w:spacing w:after="40" w:before="0"/>
            </w:pPr>
            <w:r>
              <w:rPr>
                <w:rFonts w:ascii="Arial" w:cs="Arial" w:eastAsia="Arial" w:hAnsi="Arial"/>
                <w:color w:val="212529"/>
                <w:sz w:val="17"/>
                <w:szCs w:val="17"/>
              </w:rPr>
              <w:t xml:space="preserve">GSTIN: __________________________________</w:t>
            </w:r>
          </w:p>
          <w:p>
            <w:pPr>
              <w:spacing w:after="40" w:before="0"/>
            </w:pPr>
            <w:r>
              <w:rPr>
                <w:rFonts w:ascii="Arial" w:cs="Arial" w:eastAsia="Arial" w:hAnsi="Arial"/>
                <w:color w:val="212529"/>
                <w:sz w:val="17"/>
                <w:szCs w:val="17"/>
              </w:rPr>
              <w:t xml:space="preserve">Address: ________________________________</w:t>
            </w:r>
          </w:p>
          <w:p>
            <w:pPr>
              <w:spacing w:after="40" w:before="0"/>
            </w:pPr>
            <w:r>
              <w:rPr>
                <w:rFonts w:ascii="Arial" w:cs="Arial" w:eastAsia="Arial" w:hAnsi="Arial"/>
                <w:color w:val="212529"/>
                <w:sz w:val="17"/>
                <w:szCs w:val="17"/>
              </w:rPr>
              <w:t xml:space="preserve">Authorised Contact Name: _________________</w:t>
            </w:r>
          </w:p>
          <w:p>
            <w:pPr>
              <w:spacing w:after="40" w:before="0"/>
            </w:pPr>
            <w:r>
              <w:rPr>
                <w:rFonts w:ascii="Arial" w:cs="Arial" w:eastAsia="Arial" w:hAnsi="Arial"/>
                <w:color w:val="212529"/>
                <w:sz w:val="17"/>
                <w:szCs w:val="17"/>
              </w:rPr>
              <w:t xml:space="preserve">Mobile No.: _____________________________</w:t>
            </w:r>
          </w:p>
          <w:p>
            <w:pPr>
              <w:spacing w:after="40" w:before="0"/>
            </w:pPr>
            <w:r>
              <w:rPr>
                <w:rFonts w:ascii="Arial" w:cs="Arial" w:eastAsia="Arial" w:hAnsi="Arial"/>
                <w:color w:val="212529"/>
                <w:sz w:val="17"/>
                <w:szCs w:val="17"/>
              </w:rPr>
              <w:t xml:space="preserve">Email: __________________________________</w:t>
            </w:r>
          </w:p>
        </w:tc>
      </w:tr>
    </w:tbl>
    <w:p>
      <w:pPr>
        <w:spacing w:after="60" w:before="60"/>
      </w:pPr>
    </w:p>
    <w:p>
      <w:pPr>
        <w:spacing w:after="60" w:before="120"/>
        <w:jc w:val="center"/>
      </w:pPr>
      <w:r>
        <w:rPr>
          <w:rFonts w:ascii="Arial" w:cs="Arial" w:eastAsia="Arial" w:hAnsi="Arial"/>
          <w:b/>
          <w:bCs/>
          <w:color w:val="212529"/>
          <w:sz w:val="18"/>
          <w:szCs w:val="18"/>
        </w:rPr>
        <w:t xml:space="preserve">Agreement Date: _______________________________</w:t>
      </w:r>
    </w:p>
    <w:p>
      <w:pPr>
        <w:pageBreakBefore/>
      </w:pPr>
    </w:p>
    <w:p>
      <w:pPr>
        <w:sectPr>
          <w:pgSz w:w="12240" w:h="15840" w:orient="portrait"/>
          <w:pgMar w:top="1440" w:right="1440" w:bottom="1440" w:left="1440" w:header="708" w:footer="708" w:gutter="0"/>
          <w:pgNumType/>
          <w:docGrid w:linePitch="360"/>
        </w:sectPr>
      </w:pPr>
    </w:p>
    <w:p>
      <w:pPr>
        <w:pStyle w:val="Heading1"/>
        <w:shd w:fill="E63946" w:val="clear"/>
        <w:spacing w:after="200" w:before="400"/>
        <w:ind w:left="180" w:right="180"/>
      </w:pPr>
      <w:r>
        <w:rPr>
          <w:rFonts w:ascii="Arial" w:cs="Arial" w:eastAsia="Arial" w:hAnsi="Arial"/>
          <w:b/>
          <w:bCs/>
          <w:color w:val="FFFFFF"/>
          <w:sz w:val="34"/>
          <w:szCs w:val="34"/>
        </w:rPr>
        <w:t xml:space="preserve">RECITALS</w:t>
      </w:r>
    </w:p>
    <w:p>
      <w:pPr>
        <w:spacing w:after="160" w:before="80" w:line="320"/>
        <w:jc w:val="both"/>
      </w:pPr>
      <w:r>
        <w:rPr>
          <w:rFonts w:ascii="Arial" w:cs="Arial" w:eastAsia="Arial" w:hAnsi="Arial"/>
          <w:b w:val="false"/>
          <w:bCs w:val="false"/>
          <w:i w:val="false"/>
          <w:iCs w:val="false"/>
          <w:color w:val="212529"/>
          <w:sz w:val="20"/>
          <w:szCs w:val="20"/>
        </w:rPr>
        <w:t xml:space="preserve">WHEREAS, the Company operates HIVAGO, an on-demand food delivery marketplace technology platform ('Platform') that connects customers ('Users') with restaurant and food service establishments for the discovery, ordering, and last-mile delivery of food and beverages, currently operating in Airoli, Navi Mumbai, Maharashtra, and such other locations as may be designated by the Company from time to time;</w:t>
      </w:r>
    </w:p>
    <w:p>
      <w:pPr>
        <w:spacing w:after="160" w:before="80" w:line="320"/>
        <w:jc w:val="both"/>
      </w:pPr>
      <w:r>
        <w:rPr>
          <w:rFonts w:ascii="Arial" w:cs="Arial" w:eastAsia="Arial" w:hAnsi="Arial"/>
          <w:b w:val="false"/>
          <w:bCs w:val="false"/>
          <w:i w:val="false"/>
          <w:iCs w:val="false"/>
          <w:color w:val="212529"/>
          <w:sz w:val="20"/>
          <w:szCs w:val="20"/>
        </w:rPr>
        <w:t xml:space="preserve">WHEREAS, the Restaurant Partner is a food service business duly licensed under the Food Safety and Standards Act, 2006, and desires to list its food products and menu items on the Platform to make them available for ordering and delivery to Users;</w:t>
      </w:r>
    </w:p>
    <w:p>
      <w:pPr>
        <w:spacing w:after="160" w:before="80" w:line="320"/>
        <w:jc w:val="both"/>
      </w:pPr>
      <w:r>
        <w:rPr>
          <w:rFonts w:ascii="Arial" w:cs="Arial" w:eastAsia="Arial" w:hAnsi="Arial"/>
          <w:b w:val="false"/>
          <w:bCs w:val="false"/>
          <w:i w:val="false"/>
          <w:iCs w:val="false"/>
          <w:color w:val="212529"/>
          <w:sz w:val="20"/>
          <w:szCs w:val="20"/>
        </w:rPr>
        <w:t xml:space="preserve">WHEREAS, the Company desires to provide the Restaurant Partner with access to its marketplace technology infrastructure, order management tools, and delivery services, and the Restaurant Partner desires to avail of the same, subject to the terms and conditions set out in this Agreement;</w:t>
      </w:r>
    </w:p>
    <w:p>
      <w:pPr>
        <w:spacing w:after="160" w:before="80" w:line="320"/>
        <w:jc w:val="both"/>
      </w:pPr>
      <w:r>
        <w:rPr>
          <w:rFonts w:ascii="Arial" w:cs="Arial" w:eastAsia="Arial" w:hAnsi="Arial"/>
          <w:b w:val="false"/>
          <w:bCs w:val="false"/>
          <w:i w:val="false"/>
          <w:iCs w:val="false"/>
          <w:color w:val="212529"/>
          <w:sz w:val="20"/>
          <w:szCs w:val="20"/>
        </w:rPr>
        <w:t xml:space="preserve">NOW, THEREFORE, in consideration of the mutual covenants, obligations, and undertakings contained herein, and for good and valuable consideration, the receipt and sufficiency of which are hereby acknowledged, the Parties agree as follows:</w:t>
      </w:r>
    </w:p>
    <w:p>
      <w:pPr>
        <w:spacing w:after="60" w:before="60"/>
      </w:pPr>
    </w:p>
    <w:p>
      <w:pPr>
        <w:pStyle w:val="Heading2"/>
        <w:shd w:fill="1A1A2E" w:val="clear"/>
        <w:spacing w:after="160" w:before="340"/>
        <w:ind w:left="180" w:right="180"/>
      </w:pPr>
      <w:r>
        <w:rPr>
          <w:rFonts w:ascii="Arial" w:cs="Arial" w:eastAsia="Arial" w:hAnsi="Arial"/>
          <w:b/>
          <w:bCs/>
          <w:color w:val="F4A261"/>
          <w:sz w:val="26"/>
          <w:szCs w:val="26"/>
        </w:rPr>
        <w:t xml:space="preserve">CLAUSE 1  —  </w:t>
      </w:r>
      <w:r>
        <w:rPr>
          <w:rFonts w:ascii="Arial" w:cs="Arial" w:eastAsia="Arial" w:hAnsi="Arial"/>
          <w:b/>
          <w:bCs/>
          <w:color w:val="FFFFFF"/>
          <w:sz w:val="26"/>
          <w:szCs w:val="26"/>
        </w:rPr>
        <w:t xml:space="preserve">DEFINITIONS AND INTERPRETATION</w:t>
      </w:r>
    </w:p>
    <w:p>
      <w:pPr>
        <w:spacing w:after="160" w:before="80" w:line="320"/>
        <w:jc w:val="both"/>
      </w:pPr>
      <w:r>
        <w:rPr>
          <w:rFonts w:ascii="Arial" w:cs="Arial" w:eastAsia="Arial" w:hAnsi="Arial"/>
          <w:b w:val="false"/>
          <w:bCs w:val="false"/>
          <w:i w:val="false"/>
          <w:iCs w:val="false"/>
          <w:color w:val="212529"/>
          <w:sz w:val="20"/>
          <w:szCs w:val="20"/>
        </w:rPr>
        <w:t xml:space="preserve">1.1  In this Agreement, the following terms shall have the meanings set out below, unless the context otherwise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Defined Terms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"Agreement"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This Restaurant Partner Agreement, together with all Schedules, annexures, and policies incorporated by reference, as amended from time to time.</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"Platform"</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HIVAGO mobile application (Customer App), Delivery Partner App, Restaurant Partner Dashboard, associated website, and all underlying technology infrastructure operated by the Company.</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"Restaurant Partner Dashboard" / "Dashboard"</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The web-based and/or app-based portal provided by the Company to the Restaurant Partner to manage menu listings, receive and process orders, view payout reports, and access platform communications.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"Order"</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A confirmed request placed by a User through the Platform for the purchase of food and beverage items listed by the Restaurant Partner.</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"Menu Content"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All food item names, descriptions, photographs, prices, availability information, customisation options, allergen details, and any other content submitted by the Restaurant Partner for listing on the Platform.</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"Flat Platform Fee"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fixed fee per Order charged by the Company to the Restaurant Partner for access to and use of the Platform's marketplace technology, customer reach, and order management infrastructure, as specified in Schedule A.</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"Flat Delivery Fee"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The fixed logistics fee per Order retained or charged by the Company in respect of last-mile delivery services facilitated through the Platform, as specified in Schedule A.</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"Payment Gateway Charges"</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Fees levied by the payment gateway provider (PayU) for processing digital payment transactions on the Platform, borne by the Restaurant Partner per Clause 8.</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"Settlement Amount"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The net amount payable to the Restaurant Partner per Order after deduction of the Flat Platform Fee, Flat Delivery Fee, Payment Gateway Charges, and any other applicable deductions as specified in this Agreement.</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"Settlement Cycle"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The T+2 Business Day payout cycle on which the Company remits the Settlement Amount to the Restaurant Partner's registered bank account.</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"Suspension"</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Temporary removal of the Restaurant Partner's listing from the Platform, during which no Orders can be placed.</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"Termination"</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Permanent removal of the Restaurant Partner from the Platform and closure of the Restaurant Partner's account.</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"FSSAI Licence"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 valid food business operator licence issued under the Food Safety and Standards Act, 2006, held by the Restaurant Partner.</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"Sponsored Listing"</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Enhanced visibility, priority placement, or promotional feature purchased by the Restaurant Partner on the Platform as described in Clause 10.</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"Applicable Laws"</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All laws, regulations, rules, notifications, and guidelines applicable in the Republic of India, including the Food Safety and Standards Act, 2006; FSSAI Regulations; the Consumer Protection Act, 2019; the CGST Act, 2017 and relevant GST laws; the Information Technology Act, 2000; the DPDP Act, 2023; and all rules thereunder, as amended.</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"Business Day"</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Any day other than a Sunday or a public holiday declared under Maharashtra or Central Government notification.</w:t>
            </w:r>
          </w:p>
        </w:tc>
      </w:tr>
    </w:tbl>
    <w:p>
      <w:pPr>
        <w:spacing w:after="60" w:before="60"/>
      </w:pPr>
    </w:p>
    <w:p>
      <w:pPr>
        <w:spacing w:after="160" w:before="80" w:line="320"/>
        <w:jc w:val="both"/>
      </w:pPr>
      <w:r>
        <w:rPr>
          <w:rFonts w:ascii="Arial" w:cs="Arial" w:eastAsia="Arial" w:hAnsi="Arial"/>
          <w:b w:val="false"/>
          <w:bCs w:val="false"/>
          <w:i w:val="false"/>
          <w:iCs w:val="false"/>
          <w:color w:val="212529"/>
          <w:sz w:val="20"/>
          <w:szCs w:val="20"/>
        </w:rPr>
        <w:t xml:space="preserve">1.2  References to Clauses and Schedules are to this Agreement's clauses and schedules. Headings are for convenience only. Words importing one gender include all genders. References to law include amendments and re-enactments.</w:t>
      </w:r>
    </w:p>
    <w:p>
      <w:pPr>
        <w:pStyle w:val="Heading2"/>
        <w:shd w:fill="1A1A2E" w:val="clear"/>
        <w:spacing w:after="160" w:before="340"/>
        <w:ind w:left="180" w:right="180"/>
      </w:pPr>
      <w:r>
        <w:rPr>
          <w:rFonts w:ascii="Arial" w:cs="Arial" w:eastAsia="Arial" w:hAnsi="Arial"/>
          <w:b/>
          <w:bCs/>
          <w:color w:val="F4A261"/>
          <w:sz w:val="26"/>
          <w:szCs w:val="26"/>
        </w:rPr>
        <w:t xml:space="preserve">CLAUSE 2  —  </w:t>
      </w:r>
      <w:r>
        <w:rPr>
          <w:rFonts w:ascii="Arial" w:cs="Arial" w:eastAsia="Arial" w:hAnsi="Arial"/>
          <w:b/>
          <w:bCs/>
          <w:color w:val="FFFFFF"/>
          <w:sz w:val="26"/>
          <w:szCs w:val="26"/>
        </w:rPr>
        <w:t xml:space="preserve">NATURE OF RELATIONSHIP AND PLATFORM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MARKETPLACE INTERMEDIARY — IMPORTANT NOTICE TO RESTAURANT PARTNER</w:t>
            </w:r>
          </w:p>
          <w:p>
            <w:pPr>
              <w:spacing w:after="40" w:before="40" w:line="280"/>
            </w:pPr>
            <w:r>
              <w:rPr>
                <w:rFonts w:ascii="Arial" w:cs="Arial" w:eastAsia="Arial" w:hAnsi="Arial"/>
                <w:color w:val="212529"/>
                <w:sz w:val="18"/>
                <w:szCs w:val="18"/>
              </w:rPr>
              <w:t xml:space="preserve">HIVAGO is a technology-enabled marketplace platform. The Company acts as an intermediary facilitating transactions between Users and Restaurant Partners.</w:t>
            </w:r>
          </w:p>
          <w:p>
            <w:pPr>
              <w:spacing w:after="40" w:before="40" w:line="280"/>
            </w:pPr>
            <w:r>
              <w:rPr>
                <w:rFonts w:ascii="Arial" w:cs="Arial" w:eastAsia="Arial" w:hAnsi="Arial"/>
                <w:color w:val="212529"/>
                <w:sz w:val="18"/>
                <w:szCs w:val="18"/>
              </w:rPr>
              <w:t xml:space="preserve">The Company is NOT the buyer, reseller, or agent of the Restaurant Partner's food products. The contract for sale of food is directly between the Restaurant Partner and the User.</w:t>
            </w:r>
          </w:p>
          <w:p>
            <w:pPr>
              <w:spacing w:after="40" w:before="40" w:line="280"/>
            </w:pPr>
            <w:r>
              <w:rPr>
                <w:rFonts w:ascii="Arial" w:cs="Arial" w:eastAsia="Arial" w:hAnsi="Arial"/>
                <w:color w:val="212529"/>
                <w:sz w:val="18"/>
                <w:szCs w:val="18"/>
              </w:rPr>
              <w:t xml:space="preserve">The Company facilitates payment collection on behalf of the Restaurant Partner and remits the Settlement Amount after deductions.</w:t>
            </w:r>
          </w:p>
          <w:p>
            <w:pPr>
              <w:spacing w:after="40" w:before="40" w:line="280"/>
            </w:pPr>
            <w:r>
              <w:rPr>
                <w:rFonts w:ascii="Arial" w:cs="Arial" w:eastAsia="Arial" w:hAnsi="Arial"/>
                <w:color w:val="212529"/>
                <w:sz w:val="18"/>
                <w:szCs w:val="18"/>
              </w:rPr>
              <w:t xml:space="preserve">The Company acts as an e-commerce operator under Section 9(5) of the CGST Act, 2017 and is liable to collect and remit GST on restaurant-supplied services. The Restaurant Partner's GST obligations are separate and are described in Clause 9.</w:t>
            </w:r>
          </w:p>
        </w:tc>
      </w:tr>
    </w:tbl>
    <w:p>
      <w:pPr>
        <w:spacing w:after="160" w:before="80" w:line="320"/>
        <w:jc w:val="both"/>
      </w:pPr>
      <w:r>
        <w:rPr>
          <w:rFonts w:ascii="Arial" w:cs="Arial" w:eastAsia="Arial" w:hAnsi="Arial"/>
          <w:b w:val="false"/>
          <w:bCs w:val="false"/>
          <w:i w:val="false"/>
          <w:iCs w:val="false"/>
          <w:color w:val="212529"/>
          <w:sz w:val="20"/>
          <w:szCs w:val="20"/>
        </w:rPr>
        <w:t xml:space="preserve">2.1  Marketplace Platform: The Company provides a technology marketplace that enables the Restaurant Partner to list its menu, receive Orders from Users, and utilise the Company's Delivery Partner network for last-mile delivery. The Company's role is limited to that of a marketplace intermediary and technology service provider.</w:t>
      </w:r>
    </w:p>
    <w:p>
      <w:pPr>
        <w:spacing w:after="160" w:before="80" w:line="320"/>
        <w:jc w:val="both"/>
      </w:pPr>
      <w:r>
        <w:rPr>
          <w:rFonts w:ascii="Arial" w:cs="Arial" w:eastAsia="Arial" w:hAnsi="Arial"/>
          <w:b w:val="false"/>
          <w:bCs w:val="false"/>
          <w:i w:val="false"/>
          <w:iCs w:val="false"/>
          <w:color w:val="212529"/>
          <w:sz w:val="20"/>
          <w:szCs w:val="20"/>
        </w:rPr>
        <w:t xml:space="preserve">2.2  No Employment or Agency: Nothing in this Agreement creates an employment, agency, franchise, partnership, or joint venture relationship between the Company and the Restaurant Partner or any of its personnel.</w:t>
      </w:r>
    </w:p>
    <w:p>
      <w:pPr>
        <w:spacing w:after="160" w:before="80" w:line="320"/>
        <w:jc w:val="both"/>
      </w:pPr>
      <w:r>
        <w:rPr>
          <w:rFonts w:ascii="Arial" w:cs="Arial" w:eastAsia="Arial" w:hAnsi="Arial"/>
          <w:b w:val="false"/>
          <w:bCs w:val="false"/>
          <w:i w:val="false"/>
          <w:iCs w:val="false"/>
          <w:color w:val="212529"/>
          <w:sz w:val="20"/>
          <w:szCs w:val="20"/>
        </w:rPr>
        <w:t xml:space="preserve">2.3  Open Marketplace: The Company operates an open marketplace and does not grant exclusivity to any Restaurant Partner. The Company reserves the right to list competing food businesses and similar cuisine types on the Platform without restriction.</w:t>
      </w:r>
    </w:p>
    <w:p>
      <w:pPr>
        <w:spacing w:after="160" w:before="80" w:line="320"/>
        <w:jc w:val="both"/>
      </w:pPr>
      <w:r>
        <w:rPr>
          <w:rFonts w:ascii="Arial" w:cs="Arial" w:eastAsia="Arial" w:hAnsi="Arial"/>
          <w:b w:val="false"/>
          <w:bCs w:val="false"/>
          <w:i w:val="false"/>
          <w:iCs w:val="false"/>
          <w:color w:val="212529"/>
          <w:sz w:val="20"/>
          <w:szCs w:val="20"/>
        </w:rPr>
        <w:t xml:space="preserve">2.4  Intermediary Protection: The Company is entitled to intermediary protections under Section 79 of the Information Technology Act, 2000 and the IT (Intermediary Guidelines and Digital Media Ethics Code) Rules, 2021, in respect of content and transactions on the Platform.</w:t>
      </w:r>
    </w:p>
    <w:p>
      <w:pPr>
        <w:pStyle w:val="Heading2"/>
        <w:shd w:fill="1A1A2E" w:val="clear"/>
        <w:spacing w:after="160" w:before="340"/>
        <w:ind w:left="180" w:right="180"/>
      </w:pPr>
      <w:r>
        <w:rPr>
          <w:rFonts w:ascii="Arial" w:cs="Arial" w:eastAsia="Arial" w:hAnsi="Arial"/>
          <w:b/>
          <w:bCs/>
          <w:color w:val="F4A261"/>
          <w:sz w:val="26"/>
          <w:szCs w:val="26"/>
        </w:rPr>
        <w:t xml:space="preserve">CLAUSE 3  —  </w:t>
      </w:r>
      <w:r>
        <w:rPr>
          <w:rFonts w:ascii="Arial" w:cs="Arial" w:eastAsia="Arial" w:hAnsi="Arial"/>
          <w:b/>
          <w:bCs/>
          <w:color w:val="FFFFFF"/>
          <w:sz w:val="26"/>
          <w:szCs w:val="26"/>
        </w:rPr>
        <w:t xml:space="preserve">ONBOARDING, KYC, AND ELIGIBILITY</w:t>
      </w:r>
    </w:p>
    <w:p>
      <w:pPr>
        <w:pStyle w:val="Heading3"/>
        <w:spacing w:after="120" w:before="240"/>
      </w:pPr>
      <w:r>
        <w:rPr>
          <w:rFonts w:ascii="Arial" w:cs="Arial" w:eastAsia="Arial" w:hAnsi="Arial"/>
          <w:b/>
          <w:bCs/>
          <w:color w:val="1A1A2E"/>
          <w:sz w:val="22"/>
          <w:szCs w:val="22"/>
        </w:rPr>
        <w:t xml:space="preserve">3.1  Onboarding Channels</w:t>
      </w:r>
    </w:p>
    <w:p>
      <w:pPr>
        <w:spacing w:after="160" w:before="80" w:line="320"/>
        <w:jc w:val="both"/>
      </w:pPr>
      <w:r>
        <w:rPr>
          <w:rFonts w:ascii="Arial" w:cs="Arial" w:eastAsia="Arial" w:hAnsi="Arial"/>
          <w:b w:val="false"/>
          <w:bCs w:val="false"/>
          <w:i w:val="false"/>
          <w:iCs w:val="false"/>
          <w:color w:val="212529"/>
          <w:sz w:val="20"/>
          <w:szCs w:val="20"/>
        </w:rPr>
        <w:t xml:space="preserve">Restaurant Partners may initiate onboarding through: (a) the Company's self-service portal on the Platform website; or (b) a Company sales representative. Regardless of the onboarding channel, all Restaurant Partners must satisfy the eligibility criteria and submit the documents specified in this Clause.</w:t>
      </w:r>
    </w:p>
    <w:p>
      <w:pPr>
        <w:pStyle w:val="Heading3"/>
        <w:spacing w:after="120" w:before="240"/>
      </w:pPr>
      <w:r>
        <w:rPr>
          <w:rFonts w:ascii="Arial" w:cs="Arial" w:eastAsia="Arial" w:hAnsi="Arial"/>
          <w:b/>
          <w:bCs/>
          <w:color w:val="1A1A2E"/>
          <w:sz w:val="22"/>
          <w:szCs w:val="22"/>
        </w:rPr>
        <w:t xml:space="preserve">3.2  Eligibility Criteria</w:t>
      </w:r>
    </w:p>
    <w:p>
      <w:pPr>
        <w:spacing w:after="160" w:before="80" w:line="320"/>
        <w:jc w:val="both"/>
      </w:pPr>
      <w:r>
        <w:rPr>
          <w:rFonts w:ascii="Arial" w:cs="Arial" w:eastAsia="Arial" w:hAnsi="Arial"/>
          <w:b w:val="false"/>
          <w:bCs w:val="false"/>
          <w:i w:val="false"/>
          <w:iCs w:val="false"/>
          <w:color w:val="212529"/>
          <w:sz w:val="20"/>
          <w:szCs w:val="20"/>
        </w:rPr>
        <w:t xml:space="preserve">To be eligible for listing on the Platform, the Restaurant Partner must, at all times during the term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Mandatory Eligibility Requirements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Valid FSSAI Licence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Hold and maintain a current, valid FSSAI licence (Basic, State, or Central as applicable to the scale of operations) for the specific food business premises listed on the Platform.</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GST Registration</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Be registered under the Goods and Services Tax Act if required by applicable turnover thresholds. Where registered, provide a valid GSTIN.</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Bank Account</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Maintain an active current or savings bank account in the Restaurant Partner's name or legal entity name for receipt of Settlement Amounts.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Lawful Business Operation</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Operate a lawful food service business from a physical premises at the address registered with the Company.</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Food Safety Compliance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Comply with all applicable FSSAI regulations, guidelines, and food safety standards at all times.</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Authorised Representative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Designate an authorised individual to execute this Agreement and manage the Restaurant Partner's account on the Dashboard.</w:t>
            </w:r>
          </w:p>
        </w:tc>
      </w:tr>
    </w:tbl>
    <w:p>
      <w:pPr>
        <w:spacing w:after="60" w:before="60"/>
      </w:pPr>
    </w:p>
    <w:p>
      <w:pPr>
        <w:pStyle w:val="Heading3"/>
        <w:spacing w:after="120" w:before="240"/>
      </w:pPr>
      <w:r>
        <w:rPr>
          <w:rFonts w:ascii="Arial" w:cs="Arial" w:eastAsia="Arial" w:hAnsi="Arial"/>
          <w:b/>
          <w:bCs/>
          <w:color w:val="1A1A2E"/>
          <w:sz w:val="22"/>
          <w:szCs w:val="22"/>
        </w:rPr>
        <w:t xml:space="preserve">3.3  KYC Documents Required at Onboarding</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must submit the following documents as a condition of onboarding. Original documents may be required for verification: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valid FSSAI Licence (front and back, showing licence number, expiry date, and licensed premises address);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GST Registration Certificate (if registered) showing GSTIN;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Cancelled cheque or recent bank account statement (showing account holder name, account number, IFSC code, and bank branch);</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Copy of government-issued photo identity of the authorised signatory (Aadhaar / PAN / Passport);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Photograph of the restaurant premises (exterior and kitchen — optional but recommended for quality assurance purposes);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Completed and signed copy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0"/>
              <w:left w:val="single" w:color="E6A817" w:sz="28"/>
              <w:bottom w:val="single" w:color="E6A817" w:sz="10"/>
              <w:right w:val="single" w:color="E6A817" w:sz="10"/>
            </w:tcBorders>
            <w:shd w:fill="FFF3CD" w:val="clear"/>
            <w:tcMar>
              <w:top w:type="dxa" w:w="140"/>
              <w:left w:type="dxa" w:w="220"/>
              <w:bottom w:type="dxa" w:w="140"/>
              <w:right w:type="dxa" w:w="220"/>
            </w:tcMar>
          </w:tcPr>
          <w:p>
            <w:pPr>
              <w:spacing w:after="80"/>
            </w:pPr>
            <w:r>
              <w:rPr>
                <w:rFonts w:ascii="Arial" w:cs="Arial" w:eastAsia="Arial" w:hAnsi="Arial"/>
                <w:b/>
                <w:bCs/>
                <w:color w:val="E6A817"/>
                <w:sz w:val="18"/>
                <w:szCs w:val="18"/>
              </w:rPr>
              <w:t xml:space="preserve">PAN Collection — Recommended</w:t>
            </w:r>
          </w:p>
          <w:p>
            <w:pPr>
              <w:spacing w:after="40" w:before="40" w:line="280"/>
            </w:pPr>
            <w:r>
              <w:rPr>
                <w:rFonts w:ascii="Arial" w:cs="Arial" w:eastAsia="Arial" w:hAnsi="Arial"/>
                <w:color w:val="212529"/>
                <w:sz w:val="18"/>
                <w:szCs w:val="18"/>
              </w:rPr>
              <w:t xml:space="preserve">The Restaurant Partner is encouraged to provide a copy of the entity's or proprietor's PAN as part of onboarding.</w:t>
            </w:r>
          </w:p>
          <w:p>
            <w:pPr>
              <w:spacing w:after="40" w:before="40" w:line="280"/>
            </w:pPr>
            <w:r>
              <w:rPr>
                <w:rFonts w:ascii="Arial" w:cs="Arial" w:eastAsia="Arial" w:hAnsi="Arial"/>
                <w:color w:val="212529"/>
                <w:sz w:val="18"/>
                <w:szCs w:val="18"/>
              </w:rPr>
              <w:t xml:space="preserve">PAN may be required for future compliance purposes including GST reconciliation, TDS obligations, and regulatory reporting.</w:t>
            </w:r>
          </w:p>
          <w:p>
            <w:pPr>
              <w:spacing w:after="40" w:before="40" w:line="280"/>
            </w:pPr>
            <w:r>
              <w:rPr>
                <w:rFonts w:ascii="Arial" w:cs="Arial" w:eastAsia="Arial" w:hAnsi="Arial"/>
                <w:color w:val="212529"/>
                <w:sz w:val="18"/>
                <w:szCs w:val="18"/>
              </w:rPr>
              <w:t xml:space="preserve">Failure to provide PAN when required by applicable law may result in higher TDS deductions or other statutory consequences.</w:t>
            </w:r>
          </w:p>
        </w:tc>
      </w:tr>
    </w:tbl>
    <w:p>
      <w:pPr>
        <w:pStyle w:val="Heading3"/>
        <w:spacing w:after="120" w:before="240"/>
      </w:pPr>
      <w:r>
        <w:rPr>
          <w:rFonts w:ascii="Arial" w:cs="Arial" w:eastAsia="Arial" w:hAnsi="Arial"/>
          <w:b/>
          <w:bCs/>
          <w:color w:val="1A1A2E"/>
          <w:sz w:val="22"/>
          <w:szCs w:val="22"/>
        </w:rPr>
        <w:t xml:space="preserve">3.4  Ongoing Document Currency</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is solely responsible for maintaining the validity of all submitted documents, particularly the FSSAI Licence. The Restaurant Partner must: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Upload a renewed FSSAI Licence to the Dashboard at least 5 (five) Business Days before expiry;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Notify the Company within 2 (two) Business Days of any material change to the Restaurant Partner's business, address, bank account, GSTIN, or FSSAI registration;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Update the Dashboard with the revised documents promptly upon any renewal or change.</w:t>
      </w:r>
    </w:p>
    <w:p>
      <w:pPr>
        <w:spacing w:after="160" w:before="80" w:line="320"/>
        <w:jc w:val="both"/>
      </w:pPr>
      <w:r>
        <w:rPr>
          <w:rFonts w:ascii="Arial" w:cs="Arial" w:eastAsia="Arial" w:hAnsi="Arial"/>
          <w:b w:val="false"/>
          <w:bCs w:val="false"/>
          <w:i w:val="false"/>
          <w:iCs w:val="false"/>
          <w:color w:val="212529"/>
          <w:sz w:val="20"/>
          <w:szCs w:val="20"/>
        </w:rPr>
        <w:t xml:space="preserve">Failure to maintain valid FSSAI Licence is grounds for immediate Suspension pending renewal confirmation, as operating an unlicensed food business is a criminal offence under the Food Safety and Standards Act, 2006.</w:t>
      </w:r>
    </w:p>
    <w:p>
      <w:pPr>
        <w:pStyle w:val="Heading2"/>
        <w:shd w:fill="1A1A2E" w:val="clear"/>
        <w:spacing w:after="160" w:before="340"/>
        <w:ind w:left="180" w:right="180"/>
      </w:pPr>
      <w:r>
        <w:rPr>
          <w:rFonts w:ascii="Arial" w:cs="Arial" w:eastAsia="Arial" w:hAnsi="Arial"/>
          <w:b/>
          <w:bCs/>
          <w:color w:val="F4A261"/>
          <w:sz w:val="26"/>
          <w:szCs w:val="26"/>
        </w:rPr>
        <w:t xml:space="preserve">CLAUSE 4  —  </w:t>
      </w:r>
      <w:r>
        <w:rPr>
          <w:rFonts w:ascii="Arial" w:cs="Arial" w:eastAsia="Arial" w:hAnsi="Arial"/>
          <w:b/>
          <w:bCs/>
          <w:color w:val="FFFFFF"/>
          <w:sz w:val="26"/>
          <w:szCs w:val="26"/>
        </w:rPr>
        <w:t xml:space="preserve">MENU LISTINGS, CONTENT, AND PRICING</w:t>
      </w:r>
    </w:p>
    <w:p>
      <w:pPr>
        <w:pStyle w:val="Heading3"/>
        <w:spacing w:after="120" w:before="240"/>
      </w:pPr>
      <w:r>
        <w:rPr>
          <w:rFonts w:ascii="Arial" w:cs="Arial" w:eastAsia="Arial" w:hAnsi="Arial"/>
          <w:b/>
          <w:bCs/>
          <w:color w:val="1A1A2E"/>
          <w:sz w:val="22"/>
          <w:szCs w:val="22"/>
        </w:rPr>
        <w:t xml:space="preserve">4.1  Menu Setup and Management</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shall be responsible for creating, maintaining, and updating its menu listing on the Platform through the Restaurant Partner Dashboard. The Restaurant Partner shall ensure at all times that: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food item names, descriptions, and photographs accurately represent the actual items offered;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Item availability is kept current — unavailable items must be marked as out-of-stock on the Dashboard promptly;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Prices listed on the Platform correspond exactly to the Restaurant Partner's standard dine-in or counter prices, with no mark-up for Platform orders;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vegetarian and non-vegetarian items are clearly identified using the standard FSSAI green dot (vegetarian) and brown dot (non-vegetarian) symbols;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Allergen information, where known, is included in item descriptions;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changes to menu, prices, or availability are updated on the Dashboard before the next service period.</w:t>
      </w:r>
    </w:p>
    <w:p>
      <w:pPr>
        <w:pStyle w:val="Heading3"/>
        <w:spacing w:after="120" w:before="240"/>
      </w:pPr>
      <w:r>
        <w:rPr>
          <w:rFonts w:ascii="Arial" w:cs="Arial" w:eastAsia="Arial" w:hAnsi="Arial"/>
          <w:b/>
          <w:bCs/>
          <w:color w:val="1A1A2E"/>
          <w:sz w:val="22"/>
          <w:szCs w:val="22"/>
        </w:rPr>
        <w:t xml:space="preserve">4.2  No Price Mark-Up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IMPORTANT — PRICING PARITY COMMITMENT</w:t>
            </w:r>
          </w:p>
          <w:p>
            <w:pPr>
              <w:spacing w:after="40" w:before="40" w:line="280"/>
            </w:pPr>
            <w:r>
              <w:rPr>
                <w:rFonts w:ascii="Arial" w:cs="Arial" w:eastAsia="Arial" w:hAnsi="Arial"/>
                <w:color w:val="212529"/>
                <w:sz w:val="18"/>
                <w:szCs w:val="18"/>
              </w:rPr>
              <w:t xml:space="preserve">A core principle of HIVAGO's marketplace is that Users pay the same price for food items as they would at the Restaurant Partner's dine-in counter.</w:t>
            </w:r>
          </w:p>
          <w:p>
            <w:pPr>
              <w:spacing w:after="40" w:before="40" w:line="280"/>
            </w:pPr>
            <w:r>
              <w:rPr>
                <w:rFonts w:ascii="Arial" w:cs="Arial" w:eastAsia="Arial" w:hAnsi="Arial"/>
                <w:color w:val="212529"/>
                <w:sz w:val="18"/>
                <w:szCs w:val="18"/>
              </w:rPr>
              <w:t xml:space="preserve">The Restaurant Partner expressly agrees that the prices listed on the Platform shall not exceed the Restaurant Partner's standard dine-in prices for equivalent items.</w:t>
            </w:r>
          </w:p>
          <w:p>
            <w:pPr>
              <w:spacing w:after="40" w:before="40" w:line="280"/>
            </w:pPr>
            <w:r>
              <w:rPr>
                <w:rFonts w:ascii="Arial" w:cs="Arial" w:eastAsia="Arial" w:hAnsi="Arial"/>
                <w:color w:val="212529"/>
                <w:sz w:val="18"/>
                <w:szCs w:val="18"/>
              </w:rPr>
              <w:t xml:space="preserve">Any violation of this pricing parity commitment — including listing items at inflated prices on the Platform — constitutes a material breach of this Agreement and grounds for Suspension.</w:t>
            </w:r>
          </w:p>
          <w:p>
            <w:pPr>
              <w:spacing w:after="40" w:before="40" w:line="280"/>
            </w:pPr>
            <w:r>
              <w:rPr>
                <w:rFonts w:ascii="Arial" w:cs="Arial" w:eastAsia="Arial" w:hAnsi="Arial"/>
                <w:color w:val="212529"/>
                <w:sz w:val="18"/>
                <w:szCs w:val="18"/>
              </w:rPr>
              <w:t xml:space="preserve">HIVAGO reserves the right to conduct random price audits by comparing Platform prices against in-store menus or published price lists.</w:t>
            </w:r>
          </w:p>
        </w:tc>
      </w:tr>
    </w:tbl>
    <w:p>
      <w:pPr>
        <w:spacing w:after="160" w:before="80" w:line="320"/>
        <w:jc w:val="both"/>
      </w:pPr>
      <w:r>
        <w:rPr>
          <w:rFonts w:ascii="Arial" w:cs="Arial" w:eastAsia="Arial" w:hAnsi="Arial"/>
          <w:b w:val="false"/>
          <w:bCs w:val="false"/>
          <w:i w:val="false"/>
          <w:iCs w:val="false"/>
          <w:color w:val="212529"/>
          <w:sz w:val="20"/>
          <w:szCs w:val="20"/>
        </w:rPr>
        <w:t xml:space="preserve">4.2.1  The Restaurant Partner may list prices on the Platform that are equal to or lower than its standard dine-in prices. Under no circumstances may Platform prices exceed standard dine-in prices.</w:t>
      </w:r>
    </w:p>
    <w:p>
      <w:pPr>
        <w:spacing w:after="160" w:before="80" w:line="320"/>
        <w:jc w:val="both"/>
      </w:pPr>
      <w:r>
        <w:rPr>
          <w:rFonts w:ascii="Arial" w:cs="Arial" w:eastAsia="Arial" w:hAnsi="Arial"/>
          <w:b w:val="false"/>
          <w:bCs w:val="false"/>
          <w:i w:val="false"/>
          <w:iCs w:val="false"/>
          <w:color w:val="212529"/>
          <w:sz w:val="20"/>
          <w:szCs w:val="20"/>
        </w:rPr>
        <w:t xml:space="preserve">4.2.2  The Company may, at its sole discretion, conduct periodic price audits and require the Restaurant Partner to rectify any pricing discrepancy within 24 (twenty-four) hours of notice.</w:t>
      </w:r>
    </w:p>
    <w:p>
      <w:pPr>
        <w:pStyle w:val="Heading3"/>
        <w:spacing w:after="120" w:before="240"/>
      </w:pPr>
      <w:r>
        <w:rPr>
          <w:rFonts w:ascii="Arial" w:cs="Arial" w:eastAsia="Arial" w:hAnsi="Arial"/>
          <w:b/>
          <w:bCs/>
          <w:color w:val="1A1A2E"/>
          <w:sz w:val="22"/>
          <w:szCs w:val="22"/>
        </w:rPr>
        <w:t xml:space="preserve">4.3  Content Ownership and Licence</w:t>
      </w:r>
    </w:p>
    <w:p>
      <w:pPr>
        <w:spacing w:after="160" w:before="80" w:line="320"/>
        <w:jc w:val="both"/>
      </w:pPr>
      <w:r>
        <w:rPr>
          <w:rFonts w:ascii="Arial" w:cs="Arial" w:eastAsia="Arial" w:hAnsi="Arial"/>
          <w:b w:val="false"/>
          <w:bCs w:val="false"/>
          <w:i w:val="false"/>
          <w:iCs w:val="false"/>
          <w:color w:val="212529"/>
          <w:sz w:val="20"/>
          <w:szCs w:val="20"/>
        </w:rPr>
        <w:t xml:space="preserve">4.3.1  The Restaurant Partner retains ownership of all Menu Content submitted to the Platform, including food photographs, item descriptions, and branding. By submitting Menu Content, the Restaurant Partner grants the Company a non-exclusive, royalty-free, worldwide licence to use, display, reproduce, and adapt the Menu Content on the Platform and in the Company's marketing and promotional materials for the duration of this Agreement and for a reasonable period thereafter for archival or reference purposes.</w:t>
      </w:r>
    </w:p>
    <w:p>
      <w:pPr>
        <w:spacing w:after="160" w:before="80" w:line="320"/>
        <w:jc w:val="both"/>
      </w:pPr>
      <w:r>
        <w:rPr>
          <w:rFonts w:ascii="Arial" w:cs="Arial" w:eastAsia="Arial" w:hAnsi="Arial"/>
          <w:b w:val="false"/>
          <w:bCs w:val="false"/>
          <w:i w:val="false"/>
          <w:iCs w:val="false"/>
          <w:color w:val="212529"/>
          <w:sz w:val="20"/>
          <w:szCs w:val="20"/>
        </w:rPr>
        <w:t xml:space="preserve">4.3.2  The Restaurant Partner warrants that all Menu Content submitted is original, does not infringe any third-party intellectual property rights, and does not contain any false, misleading, or deceptive information.</w:t>
      </w:r>
    </w:p>
    <w:p>
      <w:pPr>
        <w:spacing w:after="160" w:before="80" w:line="320"/>
        <w:jc w:val="both"/>
      </w:pPr>
      <w:r>
        <w:rPr>
          <w:rFonts w:ascii="Arial" w:cs="Arial" w:eastAsia="Arial" w:hAnsi="Arial"/>
          <w:b w:val="false"/>
          <w:bCs w:val="false"/>
          <w:i w:val="false"/>
          <w:iCs w:val="false"/>
          <w:color w:val="212529"/>
          <w:sz w:val="20"/>
          <w:szCs w:val="20"/>
        </w:rPr>
        <w:t xml:space="preserve">4.3.3  The Company reserves the right to remove, modify, or reject any Menu Content that it determines is inaccurate, misleading, in violation of applicable law, or inconsistent with the Platform's community standards, without prior notice to the Restaurant Partner.</w:t>
      </w:r>
    </w:p>
    <w:p>
      <w:pPr>
        <w:pStyle w:val="Heading3"/>
        <w:spacing w:after="120" w:before="240"/>
      </w:pPr>
      <w:r>
        <w:rPr>
          <w:rFonts w:ascii="Arial" w:cs="Arial" w:eastAsia="Arial" w:hAnsi="Arial"/>
          <w:b/>
          <w:bCs/>
          <w:color w:val="1A1A2E"/>
          <w:sz w:val="22"/>
          <w:szCs w:val="22"/>
        </w:rPr>
        <w:t xml:space="preserve">4.4  Menu Photography</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is responsible for providing food photographs of acceptable quality for Platform listing. Where the Restaurant Partner's photographs are of insufficient quality, the Company may request improved images or may substitute standard placeholder images. The Company does not bear the cost of professional food photography for Restaurant Partners.</w:t>
      </w:r>
    </w:p>
    <w:p>
      <w:pPr>
        <w:pStyle w:val="Heading2"/>
        <w:shd w:fill="1A1A2E" w:val="clear"/>
        <w:spacing w:after="160" w:before="340"/>
        <w:ind w:left="180" w:right="180"/>
      </w:pPr>
      <w:r>
        <w:rPr>
          <w:rFonts w:ascii="Arial" w:cs="Arial" w:eastAsia="Arial" w:hAnsi="Arial"/>
          <w:b/>
          <w:bCs/>
          <w:color w:val="F4A261"/>
          <w:sz w:val="26"/>
          <w:szCs w:val="26"/>
        </w:rPr>
        <w:t xml:space="preserve">CLAUSE 5  —  </w:t>
      </w:r>
      <w:r>
        <w:rPr>
          <w:rFonts w:ascii="Arial" w:cs="Arial" w:eastAsia="Arial" w:hAnsi="Arial"/>
          <w:b/>
          <w:bCs/>
          <w:color w:val="FFFFFF"/>
          <w:sz w:val="26"/>
          <w:szCs w:val="26"/>
        </w:rPr>
        <w:t xml:space="preserve">ORDER FULFILMENT OBLIGATIONS</w:t>
      </w:r>
    </w:p>
    <w:p>
      <w:pPr>
        <w:pStyle w:val="Heading3"/>
        <w:spacing w:after="120" w:before="240"/>
      </w:pPr>
      <w:r>
        <w:rPr>
          <w:rFonts w:ascii="Arial" w:cs="Arial" w:eastAsia="Arial" w:hAnsi="Arial"/>
          <w:b/>
          <w:bCs/>
          <w:color w:val="1A1A2E"/>
          <w:sz w:val="22"/>
          <w:szCs w:val="22"/>
        </w:rPr>
        <w:t xml:space="preserve">5.1  Order Acceptance and Processing</w:t>
      </w:r>
    </w:p>
    <w:p>
      <w:pPr>
        <w:spacing w:after="160" w:before="80" w:line="320"/>
        <w:jc w:val="both"/>
      </w:pPr>
      <w:r>
        <w:rPr>
          <w:rFonts w:ascii="Arial" w:cs="Arial" w:eastAsia="Arial" w:hAnsi="Arial"/>
          <w:b w:val="false"/>
          <w:bCs w:val="false"/>
          <w:i w:val="false"/>
          <w:iCs w:val="false"/>
          <w:color w:val="212529"/>
          <w:sz w:val="20"/>
          <w:szCs w:val="20"/>
        </w:rPr>
        <w:t xml:space="preserve">5.1.1  Upon receipt of an Order notification through the Dashboard, the Restaurant Partner shall accept or reject the Order within 3 (three) minutes. Failure to acknowledge an Order within this window may result in automatic order cancellation. The Company reserves the right to adjust this acceptance window with notice.</w:t>
      </w:r>
    </w:p>
    <w:p>
      <w:pPr>
        <w:spacing w:after="160" w:before="80" w:line="320"/>
        <w:jc w:val="both"/>
      </w:pPr>
      <w:r>
        <w:rPr>
          <w:rFonts w:ascii="Arial" w:cs="Arial" w:eastAsia="Arial" w:hAnsi="Arial"/>
          <w:b w:val="false"/>
          <w:bCs w:val="false"/>
          <w:i w:val="false"/>
          <w:iCs w:val="false"/>
          <w:color w:val="212529"/>
          <w:sz w:val="20"/>
          <w:szCs w:val="20"/>
        </w:rPr>
        <w:t xml:space="preserve">5.1.2  By accepting an Order, the Restaurant Partner enters into a binding contract with the User for the supply of the specified food items at the listed prices. The Restaurant Partner must fulfil accepted Orders promptly and within the estimated preparation time.</w:t>
      </w:r>
    </w:p>
    <w:p>
      <w:pPr>
        <w:pStyle w:val="Heading3"/>
        <w:spacing w:after="120" w:before="240"/>
      </w:pPr>
      <w:r>
        <w:rPr>
          <w:rFonts w:ascii="Arial" w:cs="Arial" w:eastAsia="Arial" w:hAnsi="Arial"/>
          <w:b/>
          <w:bCs/>
          <w:color w:val="1A1A2E"/>
          <w:sz w:val="22"/>
          <w:szCs w:val="22"/>
        </w:rPr>
        <w:t xml:space="preserve">5.2  Preparation Standards and Food Safety</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is solely and entirely responsible for: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Preparing, packaging, and ensuring the food safety, hygiene, quality, freshness, and fitness for human consumption of all items in an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Complying with all FSSAI regulations, food safety guidelines, and hygiene standards applicable to food preparation and packaging;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Ensuring that food items are packaged securely and appropriately to prevent spillage, contamination, or degradation during delivery;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Accurately fulfilling Order contents — providing all items, quantities, variants, and customisations as specified in the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Ensuring that items marked as vegetarian contain no non-vegetarian ingredients and that allergen information is accurate;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Maintaining the licensed premises in compliance with all applicable health, sanitation, and local authority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THE COMPANY IS NOT RESPONSIBLE FOR FOOD QUALITY OR SAFETY</w:t>
            </w:r>
          </w:p>
          <w:p>
            <w:pPr>
              <w:spacing w:after="40" w:before="40" w:line="280"/>
            </w:pPr>
            <w:r>
              <w:rPr>
                <w:rFonts w:ascii="Arial" w:cs="Arial" w:eastAsia="Arial" w:hAnsi="Arial"/>
                <w:color w:val="212529"/>
                <w:sz w:val="18"/>
                <w:szCs w:val="18"/>
              </w:rPr>
              <w:t xml:space="preserve">The Company is a technology marketplace intermediary and does not prepare, handle, inspect, or supervise the preparation of any food item.</w:t>
            </w:r>
          </w:p>
          <w:p>
            <w:pPr>
              <w:spacing w:after="40" w:before="40" w:line="280"/>
            </w:pPr>
            <w:r>
              <w:rPr>
                <w:rFonts w:ascii="Arial" w:cs="Arial" w:eastAsia="Arial" w:hAnsi="Arial"/>
                <w:color w:val="212529"/>
                <w:sz w:val="18"/>
                <w:szCs w:val="18"/>
              </w:rPr>
              <w:t xml:space="preserve">All responsibility for food quality, safety, hygiene, ingredient accuracy, allergen content, and fitness for consumption lies exclusively and entirely with the Restaurant Partner.</w:t>
            </w:r>
          </w:p>
          <w:p>
            <w:pPr>
              <w:spacing w:after="40" w:before="40" w:line="280"/>
            </w:pPr>
            <w:r>
              <w:rPr>
                <w:rFonts w:ascii="Arial" w:cs="Arial" w:eastAsia="Arial" w:hAnsi="Arial"/>
                <w:color w:val="212529"/>
                <w:sz w:val="18"/>
                <w:szCs w:val="18"/>
              </w:rPr>
              <w:t xml:space="preserve">The Restaurant Partner agrees to fully indemnify and hold harmless the Company from any and all claims, liabilities, damages, regulatory actions, or penalties arising from food quality, safety, hygiene, or food-borne illness complaints relating to Orders fulfilled by the Restaurant Partner.</w:t>
            </w:r>
          </w:p>
        </w:tc>
      </w:tr>
    </w:tbl>
    <w:p>
      <w:pPr>
        <w:pStyle w:val="Heading3"/>
        <w:spacing w:after="120" w:before="240"/>
      </w:pPr>
      <w:r>
        <w:rPr>
          <w:rFonts w:ascii="Arial" w:cs="Arial" w:eastAsia="Arial" w:hAnsi="Arial"/>
          <w:b/>
          <w:bCs/>
          <w:color w:val="1A1A2E"/>
          <w:sz w:val="22"/>
          <w:szCs w:val="22"/>
        </w:rPr>
        <w:t xml:space="preserve">5.3  Preparation Time Accuracy</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shall set accurate and realistic estimated preparation times on the Dashboard. Consistently exceeding the stated preparation time adversely affects User experience and may result in poor ratings and, in persistent cases, Platform action. The Company reserves the right to adjust displayed preparation time estimates based on historical performance data.</w:t>
      </w:r>
    </w:p>
    <w:p>
      <w:pPr>
        <w:pStyle w:val="Heading3"/>
        <w:spacing w:after="120" w:before="240"/>
      </w:pPr>
      <w:r>
        <w:rPr>
          <w:rFonts w:ascii="Arial" w:cs="Arial" w:eastAsia="Arial" w:hAnsi="Arial"/>
          <w:b/>
          <w:bCs/>
          <w:color w:val="1A1A2E"/>
          <w:sz w:val="22"/>
          <w:szCs w:val="22"/>
        </w:rPr>
        <w:t xml:space="preserve">5.4  Order Cancellations by Restaurant Partner</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should not cancel accepted Orders except in genuine operational emergencies. Restaurant Partner-initiated cancellations have the following consequences: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User is entitled to a full refund (food value + Delivery Fee) as per the Refund and Cancellation Policy;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Restaurant Partner forfeits the settlement for the cancelled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Repeated cancellations will be monitored. More than [3] cancellations per week or a cancellation rate exceeding [5%] of accepted orders in any 30-day period may result in Suspension or additional review.</w:t>
      </w:r>
    </w:p>
    <w:p>
      <w:pPr>
        <w:pStyle w:val="Heading3"/>
        <w:spacing w:after="120" w:before="240"/>
      </w:pPr>
      <w:r>
        <w:rPr>
          <w:rFonts w:ascii="Arial" w:cs="Arial" w:eastAsia="Arial" w:hAnsi="Arial"/>
          <w:b/>
          <w:bCs/>
          <w:color w:val="1A1A2E"/>
          <w:sz w:val="22"/>
          <w:szCs w:val="22"/>
        </w:rPr>
        <w:t xml:space="preserve">5.5  Delivery Handover</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is responsible for: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Having the Order ready for collection by the Delivery Partner within the stated preparation time;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Handing the Order to the assigned Delivery Partner in a properly sealed and complete condition;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Verifying the Order ID displayed on the Delivery Partner's app before handing over the package;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Not releasing the Order to any individual other than the assigned HIVAGO Delivery Partner or a User collecting directly (if applicable).</w:t>
      </w:r>
    </w:p>
    <w:p>
      <w:pPr>
        <w:pStyle w:val="Heading2"/>
        <w:shd w:fill="1A1A2E" w:val="clear"/>
        <w:spacing w:after="160" w:before="340"/>
        <w:ind w:left="180" w:right="180"/>
      </w:pPr>
      <w:r>
        <w:rPr>
          <w:rFonts w:ascii="Arial" w:cs="Arial" w:eastAsia="Arial" w:hAnsi="Arial"/>
          <w:b/>
          <w:bCs/>
          <w:color w:val="F4A261"/>
          <w:sz w:val="26"/>
          <w:szCs w:val="26"/>
        </w:rPr>
        <w:t xml:space="preserve">CLAUSE 6  —  </w:t>
      </w:r>
      <w:r>
        <w:rPr>
          <w:rFonts w:ascii="Arial" w:cs="Arial" w:eastAsia="Arial" w:hAnsi="Arial"/>
          <w:b/>
          <w:bCs/>
          <w:color w:val="FFFFFF"/>
          <w:sz w:val="26"/>
          <w:szCs w:val="26"/>
        </w:rPr>
        <w:t xml:space="preserve">RATINGS, REVIEWS, AND PERFORMANCE MONITORING</w:t>
      </w:r>
    </w:p>
    <w:p>
      <w:pPr>
        <w:spacing w:after="160" w:before="80" w:line="320"/>
        <w:jc w:val="both"/>
      </w:pPr>
      <w:r>
        <w:rPr>
          <w:rFonts w:ascii="Arial" w:cs="Arial" w:eastAsia="Arial" w:hAnsi="Arial"/>
          <w:b w:val="false"/>
          <w:bCs w:val="false"/>
          <w:i w:val="false"/>
          <w:iCs w:val="false"/>
          <w:color w:val="212529"/>
          <w:sz w:val="20"/>
          <w:szCs w:val="20"/>
        </w:rPr>
        <w:t xml:space="preserve">6.1  Users may submit ratings (1–5 stars) and written reviews for the Restaurant Partner following Order delivery. These ratings and reviews are displayed publicly on the Platform.</w:t>
      </w:r>
    </w:p>
    <w:p>
      <w:pPr>
        <w:spacing w:after="160" w:before="80" w:line="320"/>
        <w:jc w:val="both"/>
      </w:pPr>
      <w:r>
        <w:rPr>
          <w:rFonts w:ascii="Arial" w:cs="Arial" w:eastAsia="Arial" w:hAnsi="Arial"/>
          <w:b w:val="false"/>
          <w:bCs w:val="false"/>
          <w:i w:val="false"/>
          <w:iCs w:val="false"/>
          <w:color w:val="212529"/>
          <w:sz w:val="20"/>
          <w:szCs w:val="20"/>
        </w:rPr>
        <w:t xml:space="preserve">6.2  The Company does not remove genuine negative reviews. The Restaurant Partner acknowledges that User feedback — both positive and negative — is a fair and transparent reflection of service quality.</w:t>
      </w:r>
    </w:p>
    <w:p>
      <w:pPr>
        <w:spacing w:after="160" w:before="80" w:line="320"/>
        <w:jc w:val="both"/>
      </w:pPr>
      <w:r>
        <w:rPr>
          <w:rFonts w:ascii="Arial" w:cs="Arial" w:eastAsia="Arial" w:hAnsi="Arial"/>
          <w:b w:val="false"/>
          <w:bCs w:val="false"/>
          <w:i w:val="false"/>
          <w:iCs w:val="false"/>
          <w:color w:val="212529"/>
          <w:sz w:val="20"/>
          <w:szCs w:val="20"/>
        </w:rPr>
        <w:t xml:space="preserve">6.3  The Restaurant Partner may not: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Offer incentives, discounts, or gifts to Users in exchange for positive reviews;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Solicit removal of negative reviews through direct contact with Users;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Submit fake or incentivised reviews through third-party accounts.</w:t>
      </w:r>
    </w:p>
    <w:p>
      <w:pPr>
        <w:spacing w:after="160" w:before="80" w:line="320"/>
        <w:jc w:val="both"/>
      </w:pPr>
      <w:r>
        <w:rPr>
          <w:rFonts w:ascii="Arial" w:cs="Arial" w:eastAsia="Arial" w:hAnsi="Arial"/>
          <w:b w:val="false"/>
          <w:bCs w:val="false"/>
          <w:i w:val="false"/>
          <w:iCs w:val="false"/>
          <w:color w:val="212529"/>
          <w:sz w:val="20"/>
          <w:szCs w:val="20"/>
        </w:rPr>
        <w:t xml:space="preserve">6.4  Performance Monitoring: The Company monitors Restaurant Partner performance metrics including order acceptance rate, cancellation rate, preparation time adherence, food quality complaint rate, and Customer ratings. The Company may share performance summaries with the Restaurant Partner through the Dashboard.</w:t>
      </w:r>
    </w:p>
    <w:p>
      <w:pPr>
        <w:spacing w:after="160" w:before="80" w:line="320"/>
        <w:jc w:val="both"/>
      </w:pPr>
      <w:r>
        <w:rPr>
          <w:rFonts w:ascii="Arial" w:cs="Arial" w:eastAsia="Arial" w:hAnsi="Arial"/>
          <w:b w:val="false"/>
          <w:bCs w:val="false"/>
          <w:i w:val="false"/>
          <w:iCs w:val="false"/>
          <w:color w:val="212529"/>
          <w:sz w:val="20"/>
          <w:szCs w:val="20"/>
        </w:rPr>
        <w:t xml:space="preserve">6.5  Persistent low performance — particularly a sustained average rating below [3.0 out of 5.0] or a food quality complaint rate above [5%] of Orders over a 30-day period — may result in: (a) a formal performance improvement notice; (b) temporary de-ranking in search results; or (c) Suspension, at the Company's discretion.</w:t>
      </w:r>
    </w:p>
    <w:p>
      <w:pPr>
        <w:pStyle w:val="Heading2"/>
        <w:shd w:fill="1A1A2E" w:val="clear"/>
        <w:spacing w:after="160" w:before="340"/>
        <w:ind w:left="180" w:right="180"/>
      </w:pPr>
      <w:r>
        <w:rPr>
          <w:rFonts w:ascii="Arial" w:cs="Arial" w:eastAsia="Arial" w:hAnsi="Arial"/>
          <w:b/>
          <w:bCs/>
          <w:color w:val="F4A261"/>
          <w:sz w:val="26"/>
          <w:szCs w:val="26"/>
        </w:rPr>
        <w:t xml:space="preserve">CLAUSE 7  —  </w:t>
      </w:r>
      <w:r>
        <w:rPr>
          <w:rFonts w:ascii="Arial" w:cs="Arial" w:eastAsia="Arial" w:hAnsi="Arial"/>
          <w:b/>
          <w:bCs/>
          <w:color w:val="FFFFFF"/>
          <w:sz w:val="26"/>
          <w:szCs w:val="26"/>
        </w:rPr>
        <w:t xml:space="preserve">FEES, CHARGES, AND DEDUCTIONS</w:t>
      </w:r>
    </w:p>
    <w:p>
      <w:pPr>
        <w:pStyle w:val="Heading3"/>
        <w:spacing w:after="120" w:before="240"/>
      </w:pPr>
      <w:r>
        <w:rPr>
          <w:rFonts w:ascii="Arial" w:cs="Arial" w:eastAsia="Arial" w:hAnsi="Arial"/>
          <w:b/>
          <w:bCs/>
          <w:color w:val="1A1A2E"/>
          <w:sz w:val="22"/>
          <w:szCs w:val="22"/>
        </w:rPr>
        <w:t xml:space="preserve">7.1  Fee Structure</w:t>
      </w:r>
    </w:p>
    <w:p>
      <w:pPr>
        <w:spacing w:after="160" w:before="80" w:line="320"/>
        <w:jc w:val="both"/>
      </w:pPr>
      <w:r>
        <w:rPr>
          <w:rFonts w:ascii="Arial" w:cs="Arial" w:eastAsia="Arial" w:hAnsi="Arial"/>
          <w:b w:val="false"/>
          <w:bCs w:val="false"/>
          <w:i w:val="false"/>
          <w:iCs w:val="false"/>
          <w:color w:val="212529"/>
          <w:sz w:val="20"/>
          <w:szCs w:val="20"/>
        </w:rPr>
        <w:t xml:space="preserve">The following fees and charges apply per Order and are deducted from the gross Order value before the Settlement Amount is remitted to the Restaurant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Charge</w:t>
            </w:r>
          </w:p>
        </w:tc>
        <w:tc>
          <w:tcPr>
            <w:tcW w:type="dxa" w:w="33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Description</w:t>
            </w:r>
          </w:p>
        </w:tc>
        <w:tc>
          <w:tcPr>
            <w:tcW w:type="dxa" w:w="3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Rate / Amount</w:t>
            </w:r>
          </w:p>
        </w:tc>
      </w:tr>
      <w:tr>
        <w:tc>
          <w:tcPr>
            <w:tcW w:type="dxa" w:w="2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7"/>
                <w:szCs w:val="17"/>
              </w:rPr>
              <w:t xml:space="preserve">Flat Platform Fee</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Per-order fee for marketplace technology access, customer reach, order routing, and dashboard tools.</w:t>
            </w:r>
          </w:p>
        </w:tc>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INR [•] per Order (see Schedule A)</w:t>
            </w:r>
          </w:p>
        </w:tc>
      </w:tr>
      <w:tr>
        <w:tc>
          <w:tcPr>
            <w:tcW w:type="dxa" w:w="2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7"/>
                <w:szCs w:val="17"/>
              </w:rPr>
              <w:t xml:space="preserve">Flat Delivery Fee</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Per-order logistics fee for last-mile delivery facilitated by HIVAGO's Delivery Partner network.</w:t>
            </w:r>
          </w:p>
        </w:tc>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INR [•] per Order (see Schedule A)</w:t>
            </w:r>
          </w:p>
        </w:tc>
      </w:tr>
      <w:tr>
        <w:tc>
          <w:tcPr>
            <w:tcW w:type="dxa" w:w="2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7"/>
                <w:szCs w:val="17"/>
              </w:rPr>
              <w:t xml:space="preserve">Payment Gateway Charges</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Transaction processing fees levied by PayU for digital payment collection on each Order.</w:t>
            </w:r>
          </w:p>
        </w:tc>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As per PayU prevailing rates (currently approx. [•]% per transaction)</w:t>
            </w:r>
          </w:p>
        </w:tc>
      </w:tr>
      <w:tr>
        <w:tc>
          <w:tcPr>
            <w:tcW w:type="dxa" w:w="2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7"/>
                <w:szCs w:val="17"/>
              </w:rPr>
              <w:t xml:space="preserve">Refund Deductions</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Where a User refund is approved for a Restaurant Partner-attributed issue (wrong/missing items, quality defect), the refund amount is deducted from the Restaurant Partner's next settlement.</w:t>
            </w:r>
          </w:p>
        </w:tc>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As applicable per Order</w:t>
            </w:r>
          </w:p>
        </w:tc>
      </w:tr>
    </w:tbl>
    <w:p>
      <w:pPr>
        <w:spacing w:after="60" w:before="60"/>
      </w:pPr>
    </w:p>
    <w:p>
      <w:pPr>
        <w:spacing w:after="160" w:before="80" w:line="320"/>
        <w:jc w:val="both"/>
      </w:pPr>
      <w:r>
        <w:rPr>
          <w:rFonts w:ascii="Arial" w:cs="Arial" w:eastAsia="Arial" w:hAnsi="Arial"/>
          <w:b w:val="false"/>
          <w:bCs w:val="false"/>
          <w:i w:val="false"/>
          <w:iCs w:val="false"/>
          <w:color w:val="212529"/>
          <w:sz w:val="20"/>
          <w:szCs w:val="20"/>
        </w:rPr>
        <w:t xml:space="preserve">7.2  Fee Revision: The Company reserves the right to revise the Flat Platform Fee and Flat Delivery Fee with 15 (fifteen) days' prior written notice to the Restaurant Partner via the Dashboard or registered email. Continued use of the Platform after the effective date of a revised fee constitutes the Restaurant Partner's acceptance of the revised rates.</w:t>
      </w:r>
    </w:p>
    <w:p>
      <w:pPr>
        <w:spacing w:after="160" w:before="80" w:line="320"/>
        <w:jc w:val="both"/>
      </w:pPr>
      <w:r>
        <w:rPr>
          <w:rFonts w:ascii="Arial" w:cs="Arial" w:eastAsia="Arial" w:hAnsi="Arial"/>
          <w:b w:val="false"/>
          <w:bCs w:val="false"/>
          <w:i w:val="false"/>
          <w:iCs w:val="false"/>
          <w:color w:val="212529"/>
          <w:sz w:val="20"/>
          <w:szCs w:val="20"/>
        </w:rPr>
        <w:t xml:space="preserve">7.3  Settlement Amount Calculation: For each Order, the Settlement Amount is calculated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Settlement Amount Formula</w:t>
            </w:r>
          </w:p>
          <w:p>
            <w:pPr>
              <w:spacing w:after="40" w:before="40" w:line="280"/>
            </w:pPr>
            <w:r>
              <w:rPr>
                <w:rFonts w:ascii="Arial" w:cs="Arial" w:eastAsia="Arial" w:hAnsi="Arial"/>
                <w:color w:val="212529"/>
                <w:sz w:val="18"/>
                <w:szCs w:val="18"/>
              </w:rPr>
              <w:t xml:space="preserve">Settlement Amount = Order Food Value  —  Flat Platform Fee  —  Flat Delivery Fee  —  Payment Gateway Charges  —  Applicable Refund Deductions</w:t>
            </w:r>
          </w:p>
          <w:p>
            <w:pPr>
              <w:spacing w:after="40" w:before="40" w:line="280"/>
            </w:pPr>
            <w:r>
              <w:rPr>
                <w:rFonts w:ascii="Arial" w:cs="Arial" w:eastAsia="Arial" w:hAnsi="Arial"/>
                <w:color w:val="212529"/>
                <w:sz w:val="18"/>
                <w:szCs w:val="18"/>
              </w:rPr>
              <w:t xml:space="preserve">Example (illustrative): Order Value = INR 300 | Platform Fee = INR [•] | Delivery Fee = INR [•] | PG Charges = INR [•] | Settlement = INR 300 minus all deductions</w:t>
            </w:r>
          </w:p>
          <w:p>
            <w:pPr>
              <w:spacing w:after="40" w:before="40" w:line="280"/>
            </w:pPr>
            <w:r>
              <w:rPr>
                <w:rFonts w:ascii="Arial" w:cs="Arial" w:eastAsia="Arial" w:hAnsi="Arial"/>
                <w:color w:val="212529"/>
                <w:sz w:val="18"/>
                <w:szCs w:val="18"/>
              </w:rPr>
              <w:t xml:space="preserve">The exact Settlement Amount for each Order is visible on the Restaurant Partner Dashboard's payout section.</w:t>
            </w:r>
          </w:p>
        </w:tc>
      </w:tr>
    </w:tbl>
    <w:p>
      <w:pPr>
        <w:pStyle w:val="Heading2"/>
        <w:shd w:fill="1A1A2E" w:val="clear"/>
        <w:spacing w:after="160" w:before="340"/>
        <w:ind w:left="180" w:right="180"/>
      </w:pPr>
      <w:r>
        <w:rPr>
          <w:rFonts w:ascii="Arial" w:cs="Arial" w:eastAsia="Arial" w:hAnsi="Arial"/>
          <w:b/>
          <w:bCs/>
          <w:color w:val="F4A261"/>
          <w:sz w:val="26"/>
          <w:szCs w:val="26"/>
        </w:rPr>
        <w:t xml:space="preserve">CLAUSE 8  —  </w:t>
      </w:r>
      <w:r>
        <w:rPr>
          <w:rFonts w:ascii="Arial" w:cs="Arial" w:eastAsia="Arial" w:hAnsi="Arial"/>
          <w:b/>
          <w:bCs/>
          <w:color w:val="FFFFFF"/>
          <w:sz w:val="26"/>
          <w:szCs w:val="26"/>
        </w:rPr>
        <w:t xml:space="preserve">PAYMENT SETTLEMENT AND ESCROW</w:t>
      </w:r>
    </w:p>
    <w:p>
      <w:pPr>
        <w:pStyle w:val="Heading3"/>
        <w:spacing w:after="120" w:before="240"/>
      </w:pPr>
      <w:r>
        <w:rPr>
          <w:rFonts w:ascii="Arial" w:cs="Arial" w:eastAsia="Arial" w:hAnsi="Arial"/>
          <w:b/>
          <w:bCs/>
          <w:color w:val="1A1A2E"/>
          <w:sz w:val="22"/>
          <w:szCs w:val="22"/>
        </w:rPr>
        <w:t xml:space="preserve">8.1  Escrow Arrangement</w:t>
      </w:r>
    </w:p>
    <w:p>
      <w:pPr>
        <w:spacing w:after="160" w:before="80" w:line="320"/>
        <w:jc w:val="both"/>
      </w:pPr>
      <w:r>
        <w:rPr>
          <w:rFonts w:ascii="Arial" w:cs="Arial" w:eastAsia="Arial" w:hAnsi="Arial"/>
          <w:b w:val="false"/>
          <w:bCs w:val="false"/>
          <w:i w:val="false"/>
          <w:iCs w:val="false"/>
          <w:color w:val="212529"/>
          <w:sz w:val="20"/>
          <w:szCs w:val="20"/>
        </w:rPr>
        <w:t xml:space="preserve">All customer payments are collected by the Company through PayU and held in an operational escrow-type arrangement pending successful delivery confirmation. The Company holds these funds as a collection agent on behalf of the Restaurant Partner, subject to the deductions specified in Clause 7.</w:t>
      </w:r>
    </w:p>
    <w:p>
      <w:pPr>
        <w:pStyle w:val="Heading3"/>
        <w:spacing w:after="120" w:before="240"/>
      </w:pPr>
      <w:r>
        <w:rPr>
          <w:rFonts w:ascii="Arial" w:cs="Arial" w:eastAsia="Arial" w:hAnsi="Arial"/>
          <w:b/>
          <w:bCs/>
          <w:color w:val="1A1A2E"/>
          <w:sz w:val="22"/>
          <w:szCs w:val="22"/>
        </w:rPr>
        <w:t xml:space="preserve">8.2  Settlement Cycle — T+2</w:t>
      </w:r>
    </w:p>
    <w:p>
      <w:pPr>
        <w:spacing w:after="160" w:before="80" w:line="320"/>
        <w:jc w:val="both"/>
      </w:pPr>
      <w:r>
        <w:rPr>
          <w:rFonts w:ascii="Arial" w:cs="Arial" w:eastAsia="Arial" w:hAnsi="Arial"/>
          <w:b w:val="false"/>
          <w:bCs w:val="false"/>
          <w:i w:val="false"/>
          <w:iCs w:val="false"/>
          <w:color w:val="212529"/>
          <w:sz w:val="20"/>
          <w:szCs w:val="20"/>
        </w:rPr>
        <w:t xml:space="preserve">The Company shall remit the Settlement Amount to the Restaurant Partner's registered bank account within T+2 (2 Business Days) of the delivery of the relevant Order being confirmed on the Platform. 'T' refers to the date on which delivery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T+2 Settlement — What This Means</w:t>
            </w:r>
          </w:p>
          <w:p>
            <w:pPr>
              <w:spacing w:after="40" w:before="40" w:line="280"/>
            </w:pPr>
            <w:r>
              <w:rPr>
                <w:rFonts w:ascii="Arial" w:cs="Arial" w:eastAsia="Arial" w:hAnsi="Arial"/>
                <w:color w:val="212529"/>
                <w:sz w:val="18"/>
                <w:szCs w:val="18"/>
              </w:rPr>
              <w:t xml:space="preserve">If your Order is delivered and confirmed on Monday (T = Monday), the Settlement Amount will be remitted by Wednesday (T+2 Business Days).</w:t>
            </w:r>
          </w:p>
          <w:p>
            <w:pPr>
              <w:spacing w:after="40" w:before="40" w:line="280"/>
            </w:pPr>
            <w:r>
              <w:rPr>
                <w:rFonts w:ascii="Arial" w:cs="Arial" w:eastAsia="Arial" w:hAnsi="Arial"/>
                <w:color w:val="212529"/>
                <w:sz w:val="18"/>
                <w:szCs w:val="18"/>
              </w:rPr>
              <w:t xml:space="preserve">Multiple Orders settled in a single transfer may be batched by the Company at its operational discretion.</w:t>
            </w:r>
          </w:p>
          <w:p>
            <w:pPr>
              <w:spacing w:after="40" w:before="40" w:line="280"/>
            </w:pPr>
            <w:r>
              <w:rPr>
                <w:rFonts w:ascii="Arial" w:cs="Arial" w:eastAsia="Arial" w:hAnsi="Arial"/>
                <w:color w:val="212529"/>
                <w:sz w:val="18"/>
                <w:szCs w:val="18"/>
              </w:rPr>
              <w:t xml:space="preserve">Settlement amounts below a minimum threshold (if any, as specified on the Dashboard) may be carried forward to the next settlement date.</w:t>
            </w:r>
          </w:p>
        </w:tc>
      </w:tr>
    </w:tbl>
    <w:p>
      <w:pPr>
        <w:pStyle w:val="Heading3"/>
        <w:spacing w:after="120" w:before="240"/>
      </w:pPr>
      <w:r>
        <w:rPr>
          <w:rFonts w:ascii="Arial" w:cs="Arial" w:eastAsia="Arial" w:hAnsi="Arial"/>
          <w:b/>
          <w:bCs/>
          <w:color w:val="1A1A2E"/>
          <w:sz w:val="22"/>
          <w:szCs w:val="22"/>
        </w:rPr>
        <w:t xml:space="preserve">8.3  Bank Account Details</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is solely responsible for providing accurate and current bank account details (account number and IFSC code) on the Dashboard. The Company shall not be liable for failed or misdirected settlements resulting from incorrect or outdated bank details provided by the Restaurant Partner. Any bank account change must be submitted through the Dashboard and verified by the Company before the change takes effect.</w:t>
      </w:r>
    </w:p>
    <w:p>
      <w:pPr>
        <w:pStyle w:val="Heading3"/>
        <w:spacing w:after="120" w:before="240"/>
      </w:pPr>
      <w:r>
        <w:rPr>
          <w:rFonts w:ascii="Arial" w:cs="Arial" w:eastAsia="Arial" w:hAnsi="Arial"/>
          <w:b/>
          <w:bCs/>
          <w:color w:val="1A1A2E"/>
          <w:sz w:val="22"/>
          <w:szCs w:val="22"/>
        </w:rPr>
        <w:t xml:space="preserve">8.4  Settlement Disputes</w:t>
      </w:r>
    </w:p>
    <w:p>
      <w:pPr>
        <w:spacing w:after="160" w:before="80" w:line="320"/>
        <w:jc w:val="both"/>
      </w:pPr>
      <w:r>
        <w:rPr>
          <w:rFonts w:ascii="Arial" w:cs="Arial" w:eastAsia="Arial" w:hAnsi="Arial"/>
          <w:b w:val="false"/>
          <w:bCs w:val="false"/>
          <w:i w:val="false"/>
          <w:iCs w:val="false"/>
          <w:color w:val="212529"/>
          <w:sz w:val="20"/>
          <w:szCs w:val="20"/>
        </w:rPr>
        <w:t xml:space="preserve">If the Restaurant Partner believes there is a discrepancy in a settlement amount, they must raise a dispute via the Dashboard or by emailing partner@hivago.in within 7 (seven) Business Days of the settlement date. The Company will investigate and resolve valid settlement disputes within 14 (fourteen) Business Days.</w:t>
      </w:r>
    </w:p>
    <w:p>
      <w:pPr>
        <w:pStyle w:val="Heading3"/>
        <w:spacing w:after="120" w:before="240"/>
      </w:pPr>
      <w:r>
        <w:rPr>
          <w:rFonts w:ascii="Arial" w:cs="Arial" w:eastAsia="Arial" w:hAnsi="Arial"/>
          <w:b/>
          <w:bCs/>
          <w:color w:val="1A1A2E"/>
          <w:sz w:val="22"/>
          <w:szCs w:val="22"/>
        </w:rPr>
        <w:t xml:space="preserve">8.5  Withholding of Settlement</w:t>
      </w:r>
    </w:p>
    <w:p>
      <w:pPr>
        <w:spacing w:after="160" w:before="80" w:line="320"/>
        <w:jc w:val="both"/>
      </w:pPr>
      <w:r>
        <w:rPr>
          <w:rFonts w:ascii="Arial" w:cs="Arial" w:eastAsia="Arial" w:hAnsi="Arial"/>
          <w:b w:val="false"/>
          <w:bCs w:val="false"/>
          <w:i w:val="false"/>
          <w:iCs w:val="false"/>
          <w:color w:val="212529"/>
          <w:sz w:val="20"/>
          <w:szCs w:val="20"/>
        </w:rPr>
        <w:t xml:space="preserve">The Company reserves the right to temporarily withhold or delay settlement of amounts to the Restaurant Partner in the following circumstances: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Where there is a pending investigation into food quality complaints, consumer grievances, or FSSAI compliance concerns related to the Restaurant Partner's Orders;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Where the Restaurant Partner's account is under Suspension or review;</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Where a chargeback or payment dispute has been raised by a User or through the payment gateway;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Where the Company is required to withhold payment by a court order, government authority, or law enforcement agency.</w:t>
      </w:r>
    </w:p>
    <w:p>
      <w:pPr>
        <w:spacing w:after="160" w:before="80" w:line="320"/>
        <w:jc w:val="both"/>
      </w:pPr>
      <w:r>
        <w:rPr>
          <w:rFonts w:ascii="Arial" w:cs="Arial" w:eastAsia="Arial" w:hAnsi="Arial"/>
          <w:b w:val="false"/>
          <w:bCs w:val="false"/>
          <w:i w:val="false"/>
          <w:iCs w:val="false"/>
          <w:color w:val="212529"/>
          <w:sz w:val="20"/>
          <w:szCs w:val="20"/>
        </w:rPr>
        <w:t xml:space="preserve">Any withheld amounts will be released upon resolution of the relevant matter, subject to applicable deductions.</w:t>
      </w:r>
    </w:p>
    <w:p>
      <w:pPr>
        <w:pStyle w:val="Heading2"/>
        <w:shd w:fill="1A1A2E" w:val="clear"/>
        <w:spacing w:after="160" w:before="340"/>
        <w:ind w:left="180" w:right="180"/>
      </w:pPr>
      <w:r>
        <w:rPr>
          <w:rFonts w:ascii="Arial" w:cs="Arial" w:eastAsia="Arial" w:hAnsi="Arial"/>
          <w:b/>
          <w:bCs/>
          <w:color w:val="F4A261"/>
          <w:sz w:val="26"/>
          <w:szCs w:val="26"/>
        </w:rPr>
        <w:t xml:space="preserve">CLAUSE 9  —  </w:t>
      </w:r>
      <w:r>
        <w:rPr>
          <w:rFonts w:ascii="Arial" w:cs="Arial" w:eastAsia="Arial" w:hAnsi="Arial"/>
          <w:b/>
          <w:bCs/>
          <w:color w:val="FFFFFF"/>
          <w:sz w:val="26"/>
          <w:szCs w:val="26"/>
        </w:rPr>
        <w:t xml:space="preserve">GST OBLIGATIONS, INVOICING, AND TAX COMPLIANCE</w:t>
      </w:r>
    </w:p>
    <w:p>
      <w:pPr>
        <w:pStyle w:val="Heading3"/>
        <w:spacing w:after="120" w:before="240"/>
      </w:pPr>
      <w:r>
        <w:rPr>
          <w:rFonts w:ascii="Arial" w:cs="Arial" w:eastAsia="Arial" w:hAnsi="Arial"/>
          <w:b/>
          <w:bCs/>
          <w:color w:val="1A1A2E"/>
          <w:sz w:val="22"/>
          <w:szCs w:val="22"/>
        </w:rPr>
        <w:t xml:space="preserve">9.1  Company's GST Role — Section 9(5) CGST</w:t>
      </w:r>
    </w:p>
    <w:p>
      <w:pPr>
        <w:spacing w:after="160" w:before="80" w:line="320"/>
        <w:jc w:val="both"/>
      </w:pPr>
      <w:r>
        <w:rPr>
          <w:rFonts w:ascii="Arial" w:cs="Arial" w:eastAsia="Arial" w:hAnsi="Arial"/>
          <w:b w:val="false"/>
          <w:bCs w:val="false"/>
          <w:i w:val="false"/>
          <w:iCs w:val="false"/>
          <w:color w:val="212529"/>
          <w:sz w:val="20"/>
          <w:szCs w:val="20"/>
        </w:rPr>
        <w:t xml:space="preserve">The Company, as an e-commerce operator under Section 9(5) of the Central Goods and Services Tax Act, 2017 ('CGST Act'), is liable to collect and remit GST on restaurant services facilitated through the Platform. Accordingly: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issues GST-compliant tax invoices to Users on each Order, reflecting the Company's GSTIN (27AAECW3756G1Z3);</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collects GST on the food value component from Users and remits it to the government;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Settlement Amount remitted to the Restaurant Partner is the net amount after GST has been accounted for at the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Impact of Section 9(5) on Restaurant Partners</w:t>
            </w:r>
          </w:p>
          <w:p>
            <w:pPr>
              <w:spacing w:after="40" w:before="40" w:line="280"/>
            </w:pPr>
            <w:r>
              <w:rPr>
                <w:rFonts w:ascii="Arial" w:cs="Arial" w:eastAsia="Arial" w:hAnsi="Arial"/>
                <w:color w:val="212529"/>
                <w:sz w:val="18"/>
                <w:szCs w:val="18"/>
              </w:rPr>
              <w:t xml:space="preserve">Because HIVAGO is liable to remit GST on restaurant services under Section 9(5), the tax compliance burden for Platform-facilitated orders shifts to HIVAGO as the e-commerce operator.</w:t>
            </w:r>
          </w:p>
          <w:p>
            <w:pPr>
              <w:spacing w:after="40" w:before="40" w:line="280"/>
            </w:pPr>
            <w:r>
              <w:rPr>
                <w:rFonts w:ascii="Arial" w:cs="Arial" w:eastAsia="Arial" w:hAnsi="Arial"/>
                <w:color w:val="212529"/>
                <w:sz w:val="18"/>
                <w:szCs w:val="18"/>
              </w:rPr>
              <w:t xml:space="preserve">Restaurant Partners should consult their chartered accountant or GST advisor to understand how Platform orders interact with their own GST filings and whether any adjustment, credit, or reconciliation is required.</w:t>
            </w:r>
          </w:p>
          <w:p>
            <w:pPr>
              <w:spacing w:after="40" w:before="40" w:line="280"/>
            </w:pPr>
            <w:r>
              <w:rPr>
                <w:rFonts w:ascii="Arial" w:cs="Arial" w:eastAsia="Arial" w:hAnsi="Arial"/>
                <w:color w:val="212529"/>
                <w:sz w:val="18"/>
                <w:szCs w:val="18"/>
              </w:rPr>
              <w:t xml:space="preserve">Restaurant Partners are advised to disclose their HIVAGO listing and earnings to their GST advisor for accurate tax filing.</w:t>
            </w:r>
          </w:p>
        </w:tc>
      </w:tr>
    </w:tbl>
    <w:p>
      <w:pPr>
        <w:pStyle w:val="Heading3"/>
        <w:spacing w:after="120" w:before="240"/>
      </w:pPr>
      <w:r>
        <w:rPr>
          <w:rFonts w:ascii="Arial" w:cs="Arial" w:eastAsia="Arial" w:hAnsi="Arial"/>
          <w:b/>
          <w:bCs/>
          <w:color w:val="1A1A2E"/>
          <w:sz w:val="22"/>
          <w:szCs w:val="22"/>
        </w:rPr>
        <w:t xml:space="preserve">9.2  Restaurant Partner's Independent GST Obligations</w:t>
      </w:r>
    </w:p>
    <w:p>
      <w:pPr>
        <w:spacing w:after="160" w:before="80" w:line="320"/>
        <w:jc w:val="both"/>
      </w:pPr>
      <w:r>
        <w:rPr>
          <w:rFonts w:ascii="Arial" w:cs="Arial" w:eastAsia="Arial" w:hAnsi="Arial"/>
          <w:b w:val="false"/>
          <w:bCs w:val="false"/>
          <w:i w:val="false"/>
          <w:iCs w:val="false"/>
          <w:color w:val="212529"/>
          <w:sz w:val="20"/>
          <w:szCs w:val="20"/>
        </w:rPr>
        <w:t xml:space="preserve">The Company's discharge of GST obligations under Section 9(5) applies only to food supply services facilitated through the Platform. The Restaurant Partner remains independently responsible for: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Filing its own GST returns (GSTR-1, GSTR-3B) for all its business activities, including those conducted outside the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Maintaining proper books of accounts and GST records for all sales, whether on-Platform or off-Platform;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Paying its own GST liability on non-Platform sales and other taxable supplies;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Complying with all other obligations under the CGST Act, IGST Act, and applicable State GST laws.</w:t>
      </w:r>
    </w:p>
    <w:p>
      <w:pPr>
        <w:spacing w:after="160" w:before="80" w:line="320"/>
        <w:jc w:val="both"/>
      </w:pPr>
      <w:r>
        <w:rPr>
          <w:rFonts w:ascii="Arial" w:cs="Arial" w:eastAsia="Arial" w:hAnsi="Arial"/>
          <w:b w:val="false"/>
          <w:bCs w:val="false"/>
          <w:i w:val="false"/>
          <w:iCs w:val="false"/>
          <w:color w:val="212529"/>
          <w:sz w:val="20"/>
          <w:szCs w:val="20"/>
        </w:rPr>
        <w:t xml:space="preserve">9.3  The Company is not responsible for the Restaurant Partner's individual GST compliance obligations and shall not be held liable for any penalties, interest, or assessments arising from the Restaurant Partner's failure to comply with its GST obligations.</w:t>
      </w:r>
    </w:p>
    <w:p>
      <w:pPr>
        <w:spacing w:after="160" w:before="80" w:line="320"/>
        <w:jc w:val="both"/>
      </w:pPr>
      <w:r>
        <w:rPr>
          <w:rFonts w:ascii="Arial" w:cs="Arial" w:eastAsia="Arial" w:hAnsi="Arial"/>
          <w:b w:val="false"/>
          <w:bCs w:val="false"/>
          <w:i w:val="false"/>
          <w:iCs w:val="false"/>
          <w:color w:val="212529"/>
          <w:sz w:val="20"/>
          <w:szCs w:val="20"/>
        </w:rPr>
        <w:t xml:space="preserve">9.4  Invoicing: The Company shall provide the Restaurant Partner with a settlement statement for each Settlement Cycle through the Dashboard, summarising Order values, deductions, and net Settlement Amounts. This is not a GST invoice — it is an internal settlement reconciliation statement.</w:t>
      </w:r>
    </w:p>
    <w:p>
      <w:pPr>
        <w:pStyle w:val="Heading2"/>
        <w:shd w:fill="1A1A2E" w:val="clear"/>
        <w:spacing w:after="160" w:before="340"/>
        <w:ind w:left="180" w:right="180"/>
      </w:pPr>
      <w:r>
        <w:rPr>
          <w:rFonts w:ascii="Arial" w:cs="Arial" w:eastAsia="Arial" w:hAnsi="Arial"/>
          <w:b/>
          <w:bCs/>
          <w:color w:val="F4A261"/>
          <w:sz w:val="26"/>
          <w:szCs w:val="26"/>
        </w:rPr>
        <w:t xml:space="preserve">CLAUSE 10  —  </w:t>
      </w:r>
      <w:r>
        <w:rPr>
          <w:rFonts w:ascii="Arial" w:cs="Arial" w:eastAsia="Arial" w:hAnsi="Arial"/>
          <w:b/>
          <w:bCs/>
          <w:color w:val="FFFFFF"/>
          <w:sz w:val="26"/>
          <w:szCs w:val="26"/>
        </w:rPr>
        <w:t xml:space="preserve">SPONSORED LISTINGS AND PROMOTIONAL FEATURES</w:t>
      </w:r>
    </w:p>
    <w:p>
      <w:pPr>
        <w:pStyle w:val="Heading3"/>
        <w:spacing w:after="120" w:before="240"/>
      </w:pPr>
      <w:r>
        <w:rPr>
          <w:rFonts w:ascii="Arial" w:cs="Arial" w:eastAsia="Arial" w:hAnsi="Arial"/>
          <w:b/>
          <w:bCs/>
          <w:color w:val="1A1A2E"/>
          <w:sz w:val="22"/>
          <w:szCs w:val="22"/>
        </w:rPr>
        <w:t xml:space="preserve">10.1  Availability of Sponsored Listings</w:t>
      </w:r>
    </w:p>
    <w:p>
      <w:pPr>
        <w:spacing w:after="160" w:before="80" w:line="320"/>
        <w:jc w:val="both"/>
      </w:pPr>
      <w:r>
        <w:rPr>
          <w:rFonts w:ascii="Arial" w:cs="Arial" w:eastAsia="Arial" w:hAnsi="Arial"/>
          <w:b w:val="false"/>
          <w:bCs w:val="false"/>
          <w:i w:val="false"/>
          <w:iCs w:val="false"/>
          <w:color w:val="212529"/>
          <w:sz w:val="20"/>
          <w:szCs w:val="20"/>
        </w:rPr>
        <w:t xml:space="preserve">The Company offers Restaurant Partners the option to purchase enhanced visibility on the Platform through Sponsored Listings, which may include priority placement in search results, banner advertisements, highlighted tags ('Recommended', 'Popular'), and other promotional features as made available from time to time on the Dashboard.</w:t>
      </w:r>
    </w:p>
    <w:p>
      <w:pPr>
        <w:pStyle w:val="Heading3"/>
        <w:spacing w:after="120" w:before="240"/>
      </w:pPr>
      <w:r>
        <w:rPr>
          <w:rFonts w:ascii="Arial" w:cs="Arial" w:eastAsia="Arial" w:hAnsi="Arial"/>
          <w:b/>
          <w:bCs/>
          <w:color w:val="1A1A2E"/>
          <w:sz w:val="22"/>
          <w:szCs w:val="22"/>
        </w:rPr>
        <w:t xml:space="preserve">10.2  Labelling and Transparency</w:t>
      </w:r>
    </w:p>
    <w:p>
      <w:pPr>
        <w:spacing w:after="160" w:before="80" w:line="320"/>
        <w:jc w:val="both"/>
      </w:pPr>
      <w:r>
        <w:rPr>
          <w:rFonts w:ascii="Arial" w:cs="Arial" w:eastAsia="Arial" w:hAnsi="Arial"/>
          <w:b w:val="false"/>
          <w:bCs w:val="false"/>
          <w:i w:val="false"/>
          <w:iCs w:val="false"/>
          <w:color w:val="212529"/>
          <w:sz w:val="20"/>
          <w:szCs w:val="20"/>
        </w:rPr>
        <w:t xml:space="preserve">All Sponsored Listings shall be clearly identified with a 'Sponsored' or 'Ad' label to distinguish them from organic search and discovery results. The Company complies with the Advertising Standards Council of India (ASCI) guidelines and applicable Consumer Protection rules requiring disclosure of paid promotional content.</w:t>
      </w:r>
    </w:p>
    <w:p>
      <w:pPr>
        <w:pStyle w:val="Heading3"/>
        <w:spacing w:after="120" w:before="240"/>
      </w:pPr>
      <w:r>
        <w:rPr>
          <w:rFonts w:ascii="Arial" w:cs="Arial" w:eastAsia="Arial" w:hAnsi="Arial"/>
          <w:b/>
          <w:bCs/>
          <w:color w:val="1A1A2E"/>
          <w:sz w:val="22"/>
          <w:szCs w:val="22"/>
        </w:rPr>
        <w:t xml:space="preserve">10.3  Sponsored Listing Fees</w:t>
      </w:r>
    </w:p>
    <w:p>
      <w:pPr>
        <w:spacing w:after="160" w:before="80" w:line="320"/>
        <w:jc w:val="both"/>
      </w:pPr>
      <w:r>
        <w:rPr>
          <w:rFonts w:ascii="Arial" w:cs="Arial" w:eastAsia="Arial" w:hAnsi="Arial"/>
          <w:b w:val="false"/>
          <w:bCs w:val="false"/>
          <w:i w:val="false"/>
          <w:iCs w:val="false"/>
          <w:color w:val="212529"/>
          <w:sz w:val="20"/>
          <w:szCs w:val="20"/>
        </w:rPr>
        <w:t xml:space="preserve">Sponsored Listing fees are separate from the Flat Platform Fee and Flat Delivery Fee. The applicable rates, formats, and billing cycles for Sponsored Listings are published on the Dashboard and are subject to change with notice. Sponsored Listing fees are invoiced separately and are non-refundable once a campaign has commenced.</w:t>
      </w:r>
    </w:p>
    <w:p>
      <w:pPr>
        <w:pStyle w:val="Heading3"/>
        <w:spacing w:after="120" w:before="240"/>
      </w:pPr>
      <w:r>
        <w:rPr>
          <w:rFonts w:ascii="Arial" w:cs="Arial" w:eastAsia="Arial" w:hAnsi="Arial"/>
          <w:b/>
          <w:bCs/>
          <w:color w:val="1A1A2E"/>
          <w:sz w:val="22"/>
          <w:szCs w:val="22"/>
        </w:rPr>
        <w:t xml:space="preserve">10.4  No Guaranteed Results</w:t>
      </w:r>
    </w:p>
    <w:p>
      <w:pPr>
        <w:spacing w:after="160" w:before="80" w:line="320"/>
        <w:jc w:val="both"/>
      </w:pPr>
      <w:r>
        <w:rPr>
          <w:rFonts w:ascii="Arial" w:cs="Arial" w:eastAsia="Arial" w:hAnsi="Arial"/>
          <w:b w:val="false"/>
          <w:bCs w:val="false"/>
          <w:i w:val="false"/>
          <w:iCs w:val="false"/>
          <w:color w:val="212529"/>
          <w:sz w:val="20"/>
          <w:szCs w:val="20"/>
        </w:rPr>
        <w:t xml:space="preserve">The Company does not guarantee any specific level of visibility, Order volume, revenue, or return on investment from Sponsored Listings. Visibility and placement are algorithmic and may vary based on User search terms, zone, time, and competitive activity.</w:t>
      </w:r>
    </w:p>
    <w:p>
      <w:pPr>
        <w:pStyle w:val="Heading3"/>
        <w:spacing w:after="120" w:before="240"/>
      </w:pPr>
      <w:r>
        <w:rPr>
          <w:rFonts w:ascii="Arial" w:cs="Arial" w:eastAsia="Arial" w:hAnsi="Arial"/>
          <w:b/>
          <w:bCs/>
          <w:color w:val="1A1A2E"/>
          <w:sz w:val="22"/>
          <w:szCs w:val="22"/>
        </w:rPr>
        <w:t xml:space="preserve">10.5  Restaurant Partner-Funded Promotional Offers</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may offer User-facing discounts, combo deals, or promotional prices on its Platform listing. Such promotions are funded entirely by the Restaurant Partner and have the following implications: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Settlement Amount is calculated on the discounted (promotional) price paid by the User, not on the original menu price;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Restaurant Partner bears the full cost of the promotional discount;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Promotions must comply with the Consumer Protection Act, 2019 and must not be misleading;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must be notified via the Dashboard of any promotion before it is activated.</w:t>
      </w:r>
    </w:p>
    <w:p>
      <w:pPr>
        <w:pStyle w:val="Heading2"/>
        <w:shd w:fill="1A1A2E" w:val="clear"/>
        <w:spacing w:after="160" w:before="340"/>
        <w:ind w:left="180" w:right="180"/>
      </w:pPr>
      <w:r>
        <w:rPr>
          <w:rFonts w:ascii="Arial" w:cs="Arial" w:eastAsia="Arial" w:hAnsi="Arial"/>
          <w:b/>
          <w:bCs/>
          <w:color w:val="F4A261"/>
          <w:sz w:val="26"/>
          <w:szCs w:val="26"/>
        </w:rPr>
        <w:t xml:space="preserve">CLAUSE 11  —  </w:t>
      </w:r>
      <w:r>
        <w:rPr>
          <w:rFonts w:ascii="Arial" w:cs="Arial" w:eastAsia="Arial" w:hAnsi="Arial"/>
          <w:b/>
          <w:bCs/>
          <w:color w:val="FFFFFF"/>
          <w:sz w:val="26"/>
          <w:szCs w:val="26"/>
        </w:rPr>
        <w:t xml:space="preserve">DATA SHARING, PRIVACY, AND CONFIDENTIALITY</w:t>
      </w:r>
    </w:p>
    <w:p>
      <w:pPr>
        <w:pStyle w:val="Heading3"/>
        <w:spacing w:after="120" w:before="240"/>
      </w:pPr>
      <w:r>
        <w:rPr>
          <w:rFonts w:ascii="Arial" w:cs="Arial" w:eastAsia="Arial" w:hAnsi="Arial"/>
          <w:b/>
          <w:bCs/>
          <w:color w:val="1A1A2E"/>
          <w:sz w:val="22"/>
          <w:szCs w:val="22"/>
        </w:rPr>
        <w:t xml:space="preserve">11.1  Data Shared with Restaurant Partners</w:t>
      </w:r>
    </w:p>
    <w:p>
      <w:pPr>
        <w:spacing w:after="160" w:before="80" w:line="320"/>
        <w:jc w:val="both"/>
      </w:pPr>
      <w:r>
        <w:rPr>
          <w:rFonts w:ascii="Arial" w:cs="Arial" w:eastAsia="Arial" w:hAnsi="Arial"/>
          <w:b w:val="false"/>
          <w:bCs w:val="false"/>
          <w:i w:val="false"/>
          <w:iCs w:val="false"/>
          <w:color w:val="212529"/>
          <w:sz w:val="20"/>
          <w:szCs w:val="20"/>
        </w:rPr>
        <w:t xml:space="preserve">For the purpose of Order fulfilment, the Company shares the following User data with the Restaurant Partner on a need-to-know basis through the password-protected Dashboard: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User's name;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User's mobile phone number;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Delivery address (for contextual reference only — delivery is managed by the Company's Delivery Partners);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Order details (items, quantities, customisations, special instructions).</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shall implement reasonable technical and operational measures to ensure that access to the Dashboard and User data is restricted to authorised personnel only.</w:t>
      </w:r>
    </w:p>
    <w:p>
      <w:pPr>
        <w:pStyle w:val="Heading3"/>
        <w:spacing w:after="120" w:before="240"/>
      </w:pPr>
      <w:r>
        <w:rPr>
          <w:rFonts w:ascii="Arial" w:cs="Arial" w:eastAsia="Arial" w:hAnsi="Arial"/>
          <w:b/>
          <w:bCs/>
          <w:color w:val="1A1A2E"/>
          <w:sz w:val="22"/>
          <w:szCs w:val="22"/>
        </w:rPr>
        <w:t xml:space="preserve">11.2  Prohibited Use of User Data</w:t>
      </w:r>
    </w:p>
    <w:p>
      <w:pPr>
        <w:spacing w:after="160" w:before="80" w:line="320"/>
        <w:jc w:val="both"/>
      </w:pPr>
      <w:r>
        <w:rPr>
          <w:rFonts w:ascii="Arial" w:cs="Arial" w:eastAsia="Arial" w:hAnsi="Arial"/>
          <w:b w:val="false"/>
          <w:bCs w:val="false"/>
          <w:i w:val="false"/>
          <w:iCs w:val="false"/>
          <w:color w:val="212529"/>
          <w:sz w:val="20"/>
          <w:szCs w:val="20"/>
        </w:rPr>
        <w:t xml:space="preserve">The Restaurant Partner is strictly prohibited from using User data for any purpose other than fulfilling the specific Order for which it was shared. The Restaurant Partner must NOT: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Contact Users directly for marketing, promotional, or any non-Order purpose;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Store, copy, transfer, or retain User personal data beyond the duration of the active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Share User data with any third party, affiliate, or associate for any purpose;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Use User data to build a customer database, mailing list, or marketing profile.</w:t>
      </w:r>
    </w:p>
    <w:p>
      <w:pPr>
        <w:spacing w:after="160" w:before="80" w:line="320"/>
        <w:jc w:val="both"/>
      </w:pPr>
      <w:r>
        <w:rPr>
          <w:rFonts w:ascii="Arial" w:cs="Arial" w:eastAsia="Arial" w:hAnsi="Arial"/>
          <w:b w:val="false"/>
          <w:bCs w:val="false"/>
          <w:i w:val="false"/>
          <w:iCs w:val="false"/>
          <w:color w:val="212529"/>
          <w:sz w:val="20"/>
          <w:szCs w:val="20"/>
        </w:rPr>
        <w:t xml:space="preserve">Any breach of this Clause constitutes a material breach of this Agreement and attracts liability under the Digital Personal Data Protection Act, 2023 and the Information Technology Act, 2000, in addition to Suspension or Termination from the Platform.</w:t>
      </w:r>
    </w:p>
    <w:p>
      <w:pPr>
        <w:pStyle w:val="Heading3"/>
        <w:spacing w:after="120" w:before="240"/>
      </w:pPr>
      <w:r>
        <w:rPr>
          <w:rFonts w:ascii="Arial" w:cs="Arial" w:eastAsia="Arial" w:hAnsi="Arial"/>
          <w:b/>
          <w:bCs/>
          <w:color w:val="1A1A2E"/>
          <w:sz w:val="22"/>
          <w:szCs w:val="22"/>
        </w:rPr>
        <w:t xml:space="preserve">11.3  Restaurant Partner Data</w:t>
      </w:r>
    </w:p>
    <w:p>
      <w:pPr>
        <w:spacing w:after="160" w:before="80" w:line="320"/>
        <w:jc w:val="both"/>
      </w:pPr>
      <w:r>
        <w:rPr>
          <w:rFonts w:ascii="Arial" w:cs="Arial" w:eastAsia="Arial" w:hAnsi="Arial"/>
          <w:b w:val="false"/>
          <w:bCs w:val="false"/>
          <w:i w:val="false"/>
          <w:iCs w:val="false"/>
          <w:color w:val="212529"/>
          <w:sz w:val="20"/>
          <w:szCs w:val="20"/>
        </w:rPr>
        <w:t xml:space="preserve">The Company collects and processes the Restaurant Partner's business data (FSSAI, GSTIN, bank details, contact details, menu content) for the purpose of managing this Agreement and the Platform listing. The Company's full privacy practices are set out in the HIVAGO Privacy Policy, available on the Platform website.</w:t>
      </w:r>
    </w:p>
    <w:p>
      <w:pPr>
        <w:pStyle w:val="Heading3"/>
        <w:spacing w:after="120" w:before="240"/>
      </w:pPr>
      <w:r>
        <w:rPr>
          <w:rFonts w:ascii="Arial" w:cs="Arial" w:eastAsia="Arial" w:hAnsi="Arial"/>
          <w:b/>
          <w:bCs/>
          <w:color w:val="1A1A2E"/>
          <w:sz w:val="22"/>
          <w:szCs w:val="22"/>
        </w:rPr>
        <w:t xml:space="preserve">11.4  Confidentiality</w:t>
      </w:r>
    </w:p>
    <w:p>
      <w:pPr>
        <w:spacing w:after="160" w:before="80" w:line="320"/>
        <w:jc w:val="both"/>
      </w:pPr>
      <w:r>
        <w:rPr>
          <w:rFonts w:ascii="Arial" w:cs="Arial" w:eastAsia="Arial" w:hAnsi="Arial"/>
          <w:b w:val="false"/>
          <w:bCs w:val="false"/>
          <w:i w:val="false"/>
          <w:iCs w:val="false"/>
          <w:color w:val="212529"/>
          <w:sz w:val="20"/>
          <w:szCs w:val="20"/>
        </w:rPr>
        <w:t xml:space="preserve">Each Party agrees to keep confidential all non-public information of the other Party obtained through this Agreement, including fee structures, settlement data, business strategies, and technology details. This obligation survives termination for 2 (two) years.</w:t>
      </w:r>
    </w:p>
    <w:p>
      <w:pPr>
        <w:pStyle w:val="Heading2"/>
        <w:shd w:fill="1A1A2E" w:val="clear"/>
        <w:spacing w:after="160" w:before="340"/>
        <w:ind w:left="180" w:right="180"/>
      </w:pPr>
      <w:r>
        <w:rPr>
          <w:rFonts w:ascii="Arial" w:cs="Arial" w:eastAsia="Arial" w:hAnsi="Arial"/>
          <w:b/>
          <w:bCs/>
          <w:color w:val="F4A261"/>
          <w:sz w:val="26"/>
          <w:szCs w:val="26"/>
        </w:rPr>
        <w:t xml:space="preserve">CLAUSE 12  —  </w:t>
      </w:r>
      <w:r>
        <w:rPr>
          <w:rFonts w:ascii="Arial" w:cs="Arial" w:eastAsia="Arial" w:hAnsi="Arial"/>
          <w:b/>
          <w:bCs/>
          <w:color w:val="FFFFFF"/>
          <w:sz w:val="26"/>
          <w:szCs w:val="26"/>
        </w:rPr>
        <w:t xml:space="preserve">REPRESENTATIONS AND WARRANTIES</w:t>
      </w:r>
    </w:p>
    <w:p>
      <w:pPr>
        <w:spacing w:after="160" w:before="80" w:line="320"/>
        <w:jc w:val="both"/>
      </w:pPr>
      <w:r>
        <w:rPr>
          <w:rFonts w:ascii="Arial" w:cs="Arial" w:eastAsia="Arial" w:hAnsi="Arial"/>
          <w:b w:val="false"/>
          <w:bCs w:val="false"/>
          <w:i w:val="false"/>
          <w:iCs w:val="false"/>
          <w:color w:val="212529"/>
          <w:sz w:val="20"/>
          <w:szCs w:val="20"/>
        </w:rPr>
        <w:t xml:space="preserve">12.1  The Restaurant Partner represents and warrants to the Company as follows, as of the date of execution of this Agreement and on a continuing basis throughout its term: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It is duly licensed to operate a food business at the listed premises under the Food Safety and Standards Act, 2006, and its FSSAI Licence is valid, current, and in good standing;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It is either registered under the GST Act (and its GSTIN provided herein is valid) or is below the applicable turnover threshold for mandatory registration;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documents submitted during onboarding are genuine, accurate, and complete;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Menu Content submitted to the Platform is accurate, not misleading, and does not infringe any third-party intellectual property rights;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It has full authority to enter into this Agreement and to grant the content licences herein;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Its food preparation, packaging, and hygiene practices comply with all applicable FSSAI regulations and food safety standards;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It will not engage in any conduct that violates Applicable Laws or brings the HIVAGO Platform into disrepute.</w:t>
      </w:r>
    </w:p>
    <w:p>
      <w:pPr>
        <w:spacing w:after="160" w:before="80" w:line="320"/>
        <w:jc w:val="both"/>
      </w:pPr>
      <w:r>
        <w:rPr>
          <w:rFonts w:ascii="Arial" w:cs="Arial" w:eastAsia="Arial" w:hAnsi="Arial"/>
          <w:b w:val="false"/>
          <w:bCs w:val="false"/>
          <w:i w:val="false"/>
          <w:iCs w:val="false"/>
          <w:color w:val="212529"/>
          <w:sz w:val="20"/>
          <w:szCs w:val="20"/>
        </w:rPr>
        <w:t xml:space="preserve">12.2  The Restaurant Partner acknowledges that any breach of the representations and warranties in Clause 12.1 constitutes a material breach of this Agreement and grounds for immediate Suspension or Termination.</w:t>
      </w:r>
    </w:p>
    <w:p>
      <w:pPr>
        <w:pStyle w:val="Heading2"/>
        <w:shd w:fill="1A1A2E" w:val="clear"/>
        <w:spacing w:after="160" w:before="340"/>
        <w:ind w:left="180" w:right="180"/>
      </w:pPr>
      <w:r>
        <w:rPr>
          <w:rFonts w:ascii="Arial" w:cs="Arial" w:eastAsia="Arial" w:hAnsi="Arial"/>
          <w:b/>
          <w:bCs/>
          <w:color w:val="F4A261"/>
          <w:sz w:val="26"/>
          <w:szCs w:val="26"/>
        </w:rPr>
        <w:t xml:space="preserve">CLAUSE 13  —  </w:t>
      </w:r>
      <w:r>
        <w:rPr>
          <w:rFonts w:ascii="Arial" w:cs="Arial" w:eastAsia="Arial" w:hAnsi="Arial"/>
          <w:b/>
          <w:bCs/>
          <w:color w:val="FFFFFF"/>
          <w:sz w:val="26"/>
          <w:szCs w:val="26"/>
        </w:rPr>
        <w:t xml:space="preserve">SUSPENSION AND TERMINATION</w:t>
      </w:r>
    </w:p>
    <w:p>
      <w:pPr>
        <w:pStyle w:val="Heading3"/>
        <w:spacing w:after="120" w:before="240"/>
      </w:pPr>
      <w:r>
        <w:rPr>
          <w:rFonts w:ascii="Arial" w:cs="Arial" w:eastAsia="Arial" w:hAnsi="Arial"/>
          <w:b/>
          <w:bCs/>
          <w:color w:val="1A1A2E"/>
          <w:sz w:val="22"/>
          <w:szCs w:val="22"/>
        </w:rPr>
        <w:t xml:space="preserve">13.1  Grounds for Suspension</w:t>
      </w:r>
    </w:p>
    <w:p>
      <w:pPr>
        <w:spacing w:after="160" w:before="80" w:line="320"/>
        <w:jc w:val="both"/>
      </w:pPr>
      <w:r>
        <w:rPr>
          <w:rFonts w:ascii="Arial" w:cs="Arial" w:eastAsia="Arial" w:hAnsi="Arial"/>
          <w:b w:val="false"/>
          <w:bCs w:val="false"/>
          <w:i w:val="false"/>
          <w:iCs w:val="false"/>
          <w:color w:val="212529"/>
          <w:sz w:val="20"/>
          <w:szCs w:val="20"/>
        </w:rPr>
        <w:t xml:space="preserve">The Company may Suspend the Restaurant Partner's listing with immediate effect or after notice, as specified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9360"/>
            <w:gridSpan w:val="2"/>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Suspension Grounds</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Immediate Suspension (without prior notice)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FSSAI licence lapse or cancellation; confirmed food safety incident or food-borne illness complaint; submission of forged documents; confirmed fraud in settlements; regulatory order or government direction; court injunction; immediate public health or consumer safety risk.</w:t>
            </w:r>
          </w:p>
        </w:tc>
      </w:tr>
      <w:tr>
        <w:tc>
          <w:tcPr>
            <w:tcW w:type="dxa" w:w="3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Suspension with 48-Hour Notice</w:t>
            </w:r>
          </w:p>
        </w:tc>
        <w:tc>
          <w:tcPr>
            <w:tcW w:type="dxa" w:w="59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Sustained price violations (prices above dine-in rate); high food quality complaint rate exceeding threshold; failure to update expired documents within the prescribed period; persistent Order cancellations above permitted threshold.</w:t>
            </w:r>
          </w:p>
        </w:tc>
      </w:tr>
      <w:tr>
        <w:tc>
          <w:tcPr>
            <w:tcW w:type="dxa" w:w="3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Suspension with 7-Day Notice</w:t>
            </w:r>
          </w:p>
        </w:tc>
        <w:tc>
          <w:tcPr>
            <w:tcW w:type="dxa" w:w="59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Persistent low ratings (below [3.0] average over 30 days); sustained failure to maintain preparation time commitments; material breach of content obligations; unauthorised use of User data.</w:t>
            </w:r>
          </w:p>
        </w:tc>
      </w:tr>
    </w:tbl>
    <w:p>
      <w:pPr>
        <w:spacing w:after="60" w:before="60"/>
      </w:pPr>
    </w:p>
    <w:p>
      <w:pPr>
        <w:spacing w:after="160" w:before="80" w:line="320"/>
        <w:jc w:val="both"/>
      </w:pPr>
      <w:r>
        <w:rPr>
          <w:rFonts w:ascii="Arial" w:cs="Arial" w:eastAsia="Arial" w:hAnsi="Arial"/>
          <w:b w:val="false"/>
          <w:bCs w:val="false"/>
          <w:i w:val="false"/>
          <w:iCs w:val="false"/>
          <w:color w:val="212529"/>
          <w:sz w:val="20"/>
          <w:szCs w:val="20"/>
        </w:rPr>
        <w:t xml:space="preserve">13.2  Effect of Suspension: During Suspension, the Restaurant Partner's listing is removed from the Platform and no new Orders will be routed. Settlements for Orders completed before Suspension will be processed per the normal Settlement Cycle.</w:t>
      </w:r>
    </w:p>
    <w:p>
      <w:pPr>
        <w:pStyle w:val="Heading3"/>
        <w:spacing w:after="120" w:before="240"/>
      </w:pPr>
      <w:r>
        <w:rPr>
          <w:rFonts w:ascii="Arial" w:cs="Arial" w:eastAsia="Arial" w:hAnsi="Arial"/>
          <w:b/>
          <w:bCs/>
          <w:color w:val="1A1A2E"/>
          <w:sz w:val="22"/>
          <w:szCs w:val="22"/>
        </w:rPr>
        <w:t xml:space="preserve">13.3  Grounds for Termination</w:t>
      </w:r>
    </w:p>
    <w:p>
      <w:pPr>
        <w:spacing w:after="160" w:before="80" w:line="320"/>
        <w:jc w:val="both"/>
      </w:pPr>
      <w:r>
        <w:rPr>
          <w:rFonts w:ascii="Arial" w:cs="Arial" w:eastAsia="Arial" w:hAnsi="Arial"/>
          <w:b w:val="false"/>
          <w:bCs w:val="false"/>
          <w:i w:val="false"/>
          <w:iCs w:val="false"/>
          <w:color w:val="212529"/>
          <w:sz w:val="20"/>
          <w:szCs w:val="20"/>
        </w:rPr>
        <w:t xml:space="preserve">The Company may Terminate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Immediately, if: the Restaurant Partner's FSSAI licence is permanently cancelled or not renewed; a confirmed food safety incident causes serious harm to consumers; the Restaurant Partner engages in fraud, criminal conduct, or gross misconduct; the Restaurant Partner repeatedly violates this Agreement after Suspension and reinstatement;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With 30 (thirty) days' written notice, for any material breach not remedied within 15 days of notice;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With 30 (thirty) days' written notice, at the Company's sole discretion, without cause.</w:t>
      </w:r>
    </w:p>
    <w:p>
      <w:pPr>
        <w:spacing w:after="160" w:before="80" w:line="320"/>
        <w:jc w:val="both"/>
      </w:pPr>
      <w:r>
        <w:rPr>
          <w:rFonts w:ascii="Arial" w:cs="Arial" w:eastAsia="Arial" w:hAnsi="Arial"/>
          <w:b w:val="false"/>
          <w:bCs w:val="false"/>
          <w:i w:val="false"/>
          <w:iCs w:val="false"/>
          <w:color w:val="212529"/>
          <w:sz w:val="20"/>
          <w:szCs w:val="20"/>
        </w:rPr>
        <w:t xml:space="preserve">13.4  Termination by Restaurant Partner: The Restaurant Partner may terminate this Agreement by providing 30 (thirty) days' written notice via the Dashboard or email to partner@hivago.in.</w:t>
      </w:r>
    </w:p>
    <w:p>
      <w:pPr>
        <w:spacing w:after="160" w:before="80" w:line="320"/>
        <w:jc w:val="both"/>
      </w:pPr>
      <w:r>
        <w:rPr>
          <w:rFonts w:ascii="Arial" w:cs="Arial" w:eastAsia="Arial" w:hAnsi="Arial"/>
          <w:b w:val="false"/>
          <w:bCs w:val="false"/>
          <w:i w:val="false"/>
          <w:iCs w:val="false"/>
          <w:color w:val="212529"/>
          <w:sz w:val="20"/>
          <w:szCs w:val="20"/>
        </w:rPr>
        <w:t xml:space="preserve">13.5  Effect of Termination: Upon Termination: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Restaurant Partner's listing is permanently removed from the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Menu Content will be de-listed (the Company may retain archival copies for internal records);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Pending settlements for Orders completed before Termination will be processed in the next Settlement Cycle;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Restaurant Partner must immediately cease use of the Company's Intellectual Property;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Confidentiality obligations survive Termination for 2 (two) years.</w:t>
      </w:r>
    </w:p>
    <w:p>
      <w:pPr>
        <w:pStyle w:val="Heading3"/>
        <w:spacing w:after="120" w:before="240"/>
      </w:pPr>
      <w:r>
        <w:rPr>
          <w:rFonts w:ascii="Arial" w:cs="Arial" w:eastAsia="Arial" w:hAnsi="Arial"/>
          <w:b/>
          <w:bCs/>
          <w:color w:val="1A1A2E"/>
          <w:sz w:val="22"/>
          <w:szCs w:val="22"/>
        </w:rPr>
        <w:t xml:space="preserve">13.4  Right to Appeal</w:t>
      </w:r>
    </w:p>
    <w:p>
      <w:pPr>
        <w:spacing w:after="160" w:before="80" w:line="320"/>
        <w:jc w:val="both"/>
      </w:pPr>
      <w:r>
        <w:rPr>
          <w:rFonts w:ascii="Arial" w:cs="Arial" w:eastAsia="Arial" w:hAnsi="Arial"/>
          <w:b w:val="false"/>
          <w:bCs w:val="false"/>
          <w:i w:val="false"/>
          <w:iCs w:val="false"/>
          <w:color w:val="212529"/>
          <w:sz w:val="20"/>
          <w:szCs w:val="20"/>
        </w:rPr>
        <w:t xml:space="preserve">A Restaurant Partner subjected to Suspension (other than immediate Suspension for public safety reasons) may appeal the decision by: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Submitting a written appeal to partner@hivago.in within 14 (fourteen) Business Days of the Suspension notice;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appeal must include the Restaurant Partner's account ID, grounds of appeal, and supporting evidence;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 Company representative (not the original decision-maker) will review the appeal within 21 (twenty-one) Business Days;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Company's decision on appeal is final, subject to the Restaurant Partner's rights before courts of competent jurisdiction.</w:t>
      </w:r>
    </w:p>
    <w:p>
      <w:pPr>
        <w:pStyle w:val="Heading2"/>
        <w:shd w:fill="1A1A2E" w:val="clear"/>
        <w:spacing w:after="160" w:before="340"/>
        <w:ind w:left="180" w:right="180"/>
      </w:pPr>
      <w:r>
        <w:rPr>
          <w:rFonts w:ascii="Arial" w:cs="Arial" w:eastAsia="Arial" w:hAnsi="Arial"/>
          <w:b/>
          <w:bCs/>
          <w:color w:val="F4A261"/>
          <w:sz w:val="26"/>
          <w:szCs w:val="26"/>
        </w:rPr>
        <w:t xml:space="preserve">CLAUSE 14  —  </w:t>
      </w:r>
      <w:r>
        <w:rPr>
          <w:rFonts w:ascii="Arial" w:cs="Arial" w:eastAsia="Arial" w:hAnsi="Arial"/>
          <w:b/>
          <w:bCs/>
          <w:color w:val="FFFFFF"/>
          <w:sz w:val="26"/>
          <w:szCs w:val="26"/>
        </w:rPr>
        <w:t xml:space="preserve">INDEMNIFICATION AND LIMITATION OF LIABILITY</w:t>
      </w:r>
    </w:p>
    <w:p>
      <w:pPr>
        <w:spacing w:after="160" w:before="80" w:line="320"/>
        <w:jc w:val="both"/>
      </w:pPr>
      <w:r>
        <w:rPr>
          <w:rFonts w:ascii="Arial" w:cs="Arial" w:eastAsia="Arial" w:hAnsi="Arial"/>
          <w:b w:val="false"/>
          <w:bCs w:val="false"/>
          <w:i w:val="false"/>
          <w:iCs w:val="false"/>
          <w:color w:val="212529"/>
          <w:sz w:val="20"/>
          <w:szCs w:val="20"/>
        </w:rPr>
        <w:t xml:space="preserve">14.1  Restaurant Partner Indemnification: The Restaurant Partner shall indemnify, defend, and hold harmless the Company, its directors, officers, employees, agents, and successors from and against all claims, liabilities, damages, losses, regulatory penalties, costs, and expenses (including reasonable legal fees) arising out of or related to:</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food quality, safety, hygiene, or food-borne illness complaint arising from food prepared and supplied by the Restaurant Partner;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breach of the Restaurant Partner's FSSAI obligations or food safety law;</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Restaurant Partner's breach of any provision of this Agreement;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misrepresentation in Menu Content (ingredients, allergens, nutritional information, descriptions);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violation of applicable GST law by the Restaurant Partner;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Unauthorised use or misuse of User personal data by the Restaurant Partner or its employees;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Any third-party intellectual property infringement in Menu Content submitted by the Restaurant Partner.</w:t>
      </w:r>
    </w:p>
    <w:p>
      <w:pPr>
        <w:spacing w:after="160" w:before="80" w:line="320"/>
        <w:jc w:val="both"/>
      </w:pPr>
      <w:r>
        <w:rPr>
          <w:rFonts w:ascii="Arial" w:cs="Arial" w:eastAsia="Arial" w:hAnsi="Arial"/>
          <w:b w:val="false"/>
          <w:bCs w:val="false"/>
          <w:i w:val="false"/>
          <w:iCs w:val="false"/>
          <w:color w:val="212529"/>
          <w:sz w:val="20"/>
          <w:szCs w:val="20"/>
        </w:rPr>
        <w:t xml:space="preserve">14.2  Limitation of Company's Liability: To the maximum extent permitted by applicable law, the Company's total aggregate liability to the Restaurant Partner under or in connection with this Agreement shall not exceed the total Settlement Amounts paid to the Restaurant Partner in the 3 (three) calendar months immediately preceding the event giving rise to the claim. The Company is not liable for indirect, consequential, loss-of-revenue, or loss-of-profit claims.</w:t>
      </w:r>
    </w:p>
    <w:p>
      <w:pPr>
        <w:spacing w:after="160" w:before="80" w:line="320"/>
        <w:jc w:val="both"/>
      </w:pPr>
      <w:r>
        <w:rPr>
          <w:rFonts w:ascii="Arial" w:cs="Arial" w:eastAsia="Arial" w:hAnsi="Arial"/>
          <w:b w:val="false"/>
          <w:bCs w:val="false"/>
          <w:i w:val="false"/>
          <w:iCs w:val="false"/>
          <w:color w:val="212529"/>
          <w:sz w:val="20"/>
          <w:szCs w:val="20"/>
        </w:rPr>
        <w:t xml:space="preserve">14.3  No Warranty by Company: The Company provides the Platform on an 'as is' and 'as available' basis. The Company makes no warranty regarding the volume of Orders, revenue, or business results the Restaurant Partner will achieve through the Platform.</w:t>
      </w:r>
    </w:p>
    <w:p>
      <w:pPr>
        <w:pStyle w:val="Heading2"/>
        <w:shd w:fill="1A1A2E" w:val="clear"/>
        <w:spacing w:after="160" w:before="340"/>
        <w:ind w:left="180" w:right="180"/>
      </w:pPr>
      <w:r>
        <w:rPr>
          <w:rFonts w:ascii="Arial" w:cs="Arial" w:eastAsia="Arial" w:hAnsi="Arial"/>
          <w:b/>
          <w:bCs/>
          <w:color w:val="F4A261"/>
          <w:sz w:val="26"/>
          <w:szCs w:val="26"/>
        </w:rPr>
        <w:t xml:space="preserve">CLAUSE 15  —  </w:t>
      </w:r>
      <w:r>
        <w:rPr>
          <w:rFonts w:ascii="Arial" w:cs="Arial" w:eastAsia="Arial" w:hAnsi="Arial"/>
          <w:b/>
          <w:bCs/>
          <w:color w:val="FFFFFF"/>
          <w:sz w:val="26"/>
          <w:szCs w:val="26"/>
        </w:rPr>
        <w:t xml:space="preserve">FORCE MAJEURE</w:t>
      </w:r>
    </w:p>
    <w:p>
      <w:pPr>
        <w:spacing w:after="160" w:before="80" w:line="320"/>
        <w:jc w:val="both"/>
      </w:pPr>
      <w:r>
        <w:rPr>
          <w:rFonts w:ascii="Arial" w:cs="Arial" w:eastAsia="Arial" w:hAnsi="Arial"/>
          <w:b w:val="false"/>
          <w:bCs w:val="false"/>
          <w:i w:val="false"/>
          <w:iCs w:val="false"/>
          <w:color w:val="212529"/>
          <w:sz w:val="20"/>
          <w:szCs w:val="20"/>
        </w:rPr>
        <w:t xml:space="preserve">15.1  Neither Party shall be liable for any delay, failure, or non-performance of its obligations under this Agreement to the extent caused by a Force Majeure Event beyond its reasonable control.</w:t>
      </w:r>
    </w:p>
    <w:p>
      <w:pPr>
        <w:spacing w:after="160" w:before="80" w:line="320"/>
        <w:jc w:val="both"/>
      </w:pPr>
      <w:r>
        <w:rPr>
          <w:rFonts w:ascii="Arial" w:cs="Arial" w:eastAsia="Arial" w:hAnsi="Arial"/>
          <w:b w:val="false"/>
          <w:bCs w:val="false"/>
          <w:i w:val="false"/>
          <w:iCs w:val="false"/>
          <w:color w:val="212529"/>
          <w:sz w:val="20"/>
          <w:szCs w:val="20"/>
        </w:rPr>
        <w:t xml:space="preserve">15.2  Force Majeure Events include: acts of God; natural calamities; pandemics or public health emergencies; government orders, lockdowns, or curfews; acts of terrorism or civil unrest; power failures; third-party infrastructure failures; and cyberattacks on the Platform.</w:t>
      </w:r>
    </w:p>
    <w:p>
      <w:pPr>
        <w:spacing w:after="160" w:before="80" w:line="320"/>
        <w:jc w:val="both"/>
      </w:pPr>
      <w:r>
        <w:rPr>
          <w:rFonts w:ascii="Arial" w:cs="Arial" w:eastAsia="Arial" w:hAnsi="Arial"/>
          <w:b w:val="false"/>
          <w:bCs w:val="false"/>
          <w:i w:val="false"/>
          <w:iCs w:val="false"/>
          <w:color w:val="212529"/>
          <w:sz w:val="20"/>
          <w:szCs w:val="20"/>
        </w:rPr>
        <w:t xml:space="preserve">15.3  The affected Party must notify the other Party within 48 (forty-eight) hours of the occurrence of a Force Majeure Event and shall use commercially reasonable efforts to resume performance as soon as practicable.</w:t>
      </w:r>
    </w:p>
    <w:p>
      <w:pPr>
        <w:spacing w:after="160" w:before="80" w:line="320"/>
        <w:jc w:val="both"/>
      </w:pPr>
      <w:r>
        <w:rPr>
          <w:rFonts w:ascii="Arial" w:cs="Arial" w:eastAsia="Arial" w:hAnsi="Arial"/>
          <w:b w:val="false"/>
          <w:bCs w:val="false"/>
          <w:i w:val="false"/>
          <w:iCs w:val="false"/>
          <w:color w:val="212529"/>
          <w:sz w:val="20"/>
          <w:szCs w:val="20"/>
        </w:rPr>
        <w:t xml:space="preserve">15.4  Orders already accepted but unfulfilled due to a Force Majeure Event will be cancelled and Users will receive a full refund per the Refund and Cancellation Policy. No settlement will be due to the Restaurant Partner for unfulfilled Orders.</w:t>
      </w:r>
    </w:p>
    <w:p>
      <w:pPr>
        <w:pStyle w:val="Heading2"/>
        <w:shd w:fill="1A1A2E" w:val="clear"/>
        <w:spacing w:after="160" w:before="340"/>
        <w:ind w:left="180" w:right="180"/>
      </w:pPr>
      <w:r>
        <w:rPr>
          <w:rFonts w:ascii="Arial" w:cs="Arial" w:eastAsia="Arial" w:hAnsi="Arial"/>
          <w:b/>
          <w:bCs/>
          <w:color w:val="F4A261"/>
          <w:sz w:val="26"/>
          <w:szCs w:val="26"/>
        </w:rPr>
        <w:t xml:space="preserve">CLAUSE 16  —  </w:t>
      </w:r>
      <w:r>
        <w:rPr>
          <w:rFonts w:ascii="Arial" w:cs="Arial" w:eastAsia="Arial" w:hAnsi="Arial"/>
          <w:b/>
          <w:bCs/>
          <w:color w:val="FFFFFF"/>
          <w:sz w:val="26"/>
          <w:szCs w:val="26"/>
        </w:rPr>
        <w:t xml:space="preserve">INTELLECTUAL PROPERTY</w:t>
      </w:r>
    </w:p>
    <w:p>
      <w:pPr>
        <w:spacing w:after="160" w:before="80" w:line="320"/>
        <w:jc w:val="both"/>
      </w:pPr>
      <w:r>
        <w:rPr>
          <w:rFonts w:ascii="Arial" w:cs="Arial" w:eastAsia="Arial" w:hAnsi="Arial"/>
          <w:b w:val="false"/>
          <w:bCs w:val="false"/>
          <w:i w:val="false"/>
          <w:iCs w:val="false"/>
          <w:color w:val="212529"/>
          <w:sz w:val="20"/>
          <w:szCs w:val="20"/>
        </w:rPr>
        <w:t xml:space="preserve">16.1  All Intellectual Property in and to the Platform, the HIVAGO brand, trademarks, logos, technology, and the Restaurant Partner Dashboard is exclusively owned by the Company. This Agreement does not grant the Restaurant Partner any rights in the Company's Intellectual Property beyond what is strictly necessary to use the Dashboard for the purposes of this Agreement.</w:t>
      </w:r>
    </w:p>
    <w:p>
      <w:pPr>
        <w:spacing w:after="160" w:before="80" w:line="320"/>
        <w:jc w:val="both"/>
      </w:pPr>
      <w:r>
        <w:rPr>
          <w:rFonts w:ascii="Arial" w:cs="Arial" w:eastAsia="Arial" w:hAnsi="Arial"/>
          <w:b w:val="false"/>
          <w:bCs w:val="false"/>
          <w:i w:val="false"/>
          <w:iCs w:val="false"/>
          <w:color w:val="212529"/>
          <w:sz w:val="20"/>
          <w:szCs w:val="20"/>
        </w:rPr>
        <w:t xml:space="preserve">16.2  The Restaurant Partner must not use the HIVAGO name, logo, or trademarks in any external communication, social media, or marketing material without the Company's prior written consent.</w:t>
      </w:r>
    </w:p>
    <w:p>
      <w:pPr>
        <w:spacing w:after="160" w:before="80" w:line="320"/>
        <w:jc w:val="both"/>
      </w:pPr>
      <w:r>
        <w:rPr>
          <w:rFonts w:ascii="Arial" w:cs="Arial" w:eastAsia="Arial" w:hAnsi="Arial"/>
          <w:b w:val="false"/>
          <w:bCs w:val="false"/>
          <w:i w:val="false"/>
          <w:iCs w:val="false"/>
          <w:color w:val="212529"/>
          <w:sz w:val="20"/>
          <w:szCs w:val="20"/>
        </w:rPr>
        <w:t xml:space="preserve">16.3  The Company may, with prior consent, co-brand certain promotional communications featuring the Restaurant Partner's name and menu for Platform marketing purposes.</w:t>
      </w:r>
    </w:p>
    <w:p>
      <w:pPr>
        <w:pStyle w:val="Heading2"/>
        <w:shd w:fill="1A1A2E" w:val="clear"/>
        <w:spacing w:after="160" w:before="340"/>
        <w:ind w:left="180" w:right="180"/>
      </w:pPr>
      <w:r>
        <w:rPr>
          <w:rFonts w:ascii="Arial" w:cs="Arial" w:eastAsia="Arial" w:hAnsi="Arial"/>
          <w:b/>
          <w:bCs/>
          <w:color w:val="F4A261"/>
          <w:sz w:val="26"/>
          <w:szCs w:val="26"/>
        </w:rPr>
        <w:t xml:space="preserve">CLAUSE 17  —  </w:t>
      </w:r>
      <w:r>
        <w:rPr>
          <w:rFonts w:ascii="Arial" w:cs="Arial" w:eastAsia="Arial" w:hAnsi="Arial"/>
          <w:b/>
          <w:bCs/>
          <w:color w:val="FFFFFF"/>
          <w:sz w:val="26"/>
          <w:szCs w:val="26"/>
        </w:rPr>
        <w:t xml:space="preserve">GRIEVANCE REDRESSAL AND DISPUTE RESOLUTION</w:t>
      </w:r>
    </w:p>
    <w:p>
      <w:pPr>
        <w:pStyle w:val="Heading3"/>
        <w:spacing w:after="120" w:before="240"/>
      </w:pPr>
      <w:r>
        <w:rPr>
          <w:rFonts w:ascii="Arial" w:cs="Arial" w:eastAsia="Arial" w:hAnsi="Arial"/>
          <w:b/>
          <w:bCs/>
          <w:color w:val="1A1A2E"/>
          <w:sz w:val="22"/>
          <w:szCs w:val="22"/>
        </w:rPr>
        <w:t xml:space="preserve">17.1  Internal Escalation Process</w:t>
      </w:r>
    </w:p>
    <w:p>
      <w:pPr>
        <w:spacing w:after="160" w:before="80" w:line="320"/>
        <w:jc w:val="both"/>
      </w:pPr>
      <w:r>
        <w:rPr>
          <w:rFonts w:ascii="Arial" w:cs="Arial" w:eastAsia="Arial" w:hAnsi="Arial"/>
          <w:b w:val="false"/>
          <w:bCs w:val="false"/>
          <w:i w:val="false"/>
          <w:iCs w:val="false"/>
          <w:color w:val="212529"/>
          <w:sz w:val="20"/>
          <w:szCs w:val="20"/>
        </w:rPr>
        <w:t xml:space="preserve">All disputes, grievances, or complaints arising under this Agreement shall first be addressed through the internal escalation process: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Step 1: Raise the matter through the Dashboard Help section or email partner@hivago.in with a detailed description and supporting documentation;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Step 2: If unresolved within 14 Business Days, escalate to grievance@hivago.in, addressed to the Grievance Officer;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Step 3: The Grievance Officer will respond within 30 days of receipt.</w:t>
      </w:r>
    </w:p>
    <w:p>
      <w:pPr>
        <w:pStyle w:val="Heading3"/>
        <w:spacing w:after="120" w:before="240"/>
      </w:pPr>
      <w:r>
        <w:rPr>
          <w:rFonts w:ascii="Arial" w:cs="Arial" w:eastAsia="Arial" w:hAnsi="Arial"/>
          <w:b/>
          <w:bCs/>
          <w:color w:val="1A1A2E"/>
          <w:sz w:val="22"/>
          <w:szCs w:val="22"/>
        </w:rPr>
        <w:t xml:space="preserve">17.2  Pre-Litigation Notice</w:t>
      </w:r>
    </w:p>
    <w:p>
      <w:pPr>
        <w:spacing w:after="160" w:before="80" w:line="320"/>
        <w:jc w:val="both"/>
      </w:pPr>
      <w:r>
        <w:rPr>
          <w:rFonts w:ascii="Arial" w:cs="Arial" w:eastAsia="Arial" w:hAnsi="Arial"/>
          <w:b w:val="false"/>
          <w:bCs w:val="false"/>
          <w:i w:val="false"/>
          <w:iCs w:val="false"/>
          <w:color w:val="212529"/>
          <w:sz w:val="20"/>
          <w:szCs w:val="20"/>
        </w:rPr>
        <w:t xml:space="preserve">Before initiating any legal proceedings, the disputing Party shall provide the other Party with 30 (thirty) days' written notice of the dispute at legal@hivago.in (for notices to the Company) or at the Restaurant Partner's registered email address (for notices to the Restaurant Partner). This notice period is a condition precedent to litigation.</w:t>
      </w:r>
    </w:p>
    <w:p>
      <w:pPr>
        <w:pStyle w:val="Heading3"/>
        <w:spacing w:after="120" w:before="240"/>
      </w:pPr>
      <w:r>
        <w:rPr>
          <w:rFonts w:ascii="Arial" w:cs="Arial" w:eastAsia="Arial" w:hAnsi="Arial"/>
          <w:b/>
          <w:bCs/>
          <w:color w:val="1A1A2E"/>
          <w:sz w:val="22"/>
          <w:szCs w:val="22"/>
        </w:rPr>
        <w:t xml:space="preserve">17.3  Governing Law and Jurisdiction</w:t>
      </w:r>
    </w:p>
    <w:p>
      <w:pPr>
        <w:spacing w:after="160" w:before="80" w:line="320"/>
        <w:jc w:val="both"/>
      </w:pPr>
      <w:r>
        <w:rPr>
          <w:rFonts w:ascii="Arial" w:cs="Arial" w:eastAsia="Arial" w:hAnsi="Arial"/>
          <w:b w:val="false"/>
          <w:bCs w:val="false"/>
          <w:i w:val="false"/>
          <w:iCs w:val="false"/>
          <w:color w:val="212529"/>
          <w:sz w:val="20"/>
          <w:szCs w:val="20"/>
        </w:rPr>
        <w:t xml:space="preserve">This Agreement is governed by and construed in accordance with the laws of India. All disputes shall be subject to the exclusive jurisdiction of the competent courts of law in Navi Mumbai / Thane, Maharashtra, India.</w:t>
      </w:r>
    </w:p>
    <w:p>
      <w:pPr>
        <w:pStyle w:val="Heading2"/>
        <w:shd w:fill="1A1A2E" w:val="clear"/>
        <w:spacing w:after="160" w:before="340"/>
        <w:ind w:left="180" w:right="180"/>
      </w:pPr>
      <w:r>
        <w:rPr>
          <w:rFonts w:ascii="Arial" w:cs="Arial" w:eastAsia="Arial" w:hAnsi="Arial"/>
          <w:b/>
          <w:bCs/>
          <w:color w:val="F4A261"/>
          <w:sz w:val="26"/>
          <w:szCs w:val="26"/>
        </w:rPr>
        <w:t xml:space="preserve">CLAUSE 18  —  </w:t>
      </w:r>
      <w:r>
        <w:rPr>
          <w:rFonts w:ascii="Arial" w:cs="Arial" w:eastAsia="Arial" w:hAnsi="Arial"/>
          <w:b/>
          <w:bCs/>
          <w:color w:val="FFFFFF"/>
          <w:sz w:val="26"/>
          <w:szCs w:val="26"/>
        </w:rPr>
        <w:t xml:space="preserve">GENERAL PROVISIONS</w:t>
      </w:r>
    </w:p>
    <w:p>
      <w:pPr>
        <w:spacing w:after="160" w:before="80" w:line="320"/>
        <w:jc w:val="both"/>
      </w:pPr>
      <w:r>
        <w:rPr>
          <w:rFonts w:ascii="Arial" w:cs="Arial" w:eastAsia="Arial" w:hAnsi="Arial"/>
          <w:b w:val="false"/>
          <w:bCs w:val="false"/>
          <w:i w:val="false"/>
          <w:iCs w:val="false"/>
          <w:color w:val="212529"/>
          <w:sz w:val="20"/>
          <w:szCs w:val="20"/>
        </w:rPr>
        <w:t xml:space="preserve">18.1  Entire Agreement: This Agreement, together with its Schedules and the Platform policies incorporated by reference, constitutes the entire agreement between the Parties with respect to its subject matter.</w:t>
      </w:r>
    </w:p>
    <w:p>
      <w:pPr>
        <w:spacing w:after="160" w:before="80" w:line="320"/>
        <w:jc w:val="both"/>
      </w:pPr>
      <w:r>
        <w:rPr>
          <w:rFonts w:ascii="Arial" w:cs="Arial" w:eastAsia="Arial" w:hAnsi="Arial"/>
          <w:b w:val="false"/>
          <w:bCs w:val="false"/>
          <w:i w:val="false"/>
          <w:iCs w:val="false"/>
          <w:color w:val="212529"/>
          <w:sz w:val="20"/>
          <w:szCs w:val="20"/>
        </w:rPr>
        <w:t xml:space="preserve">18.2  Amendments: The Company may amend this Agreement with 15 (fifteen) days' prior notice via the Dashboard. Continued use of the Platform after the effective date constitutes acceptance. If the Restaurant Partner does not accept an amendment, it must terminate per Clause 13.4.</w:t>
      </w:r>
    </w:p>
    <w:p>
      <w:pPr>
        <w:spacing w:after="160" w:before="80" w:line="320"/>
        <w:jc w:val="both"/>
      </w:pPr>
      <w:r>
        <w:rPr>
          <w:rFonts w:ascii="Arial" w:cs="Arial" w:eastAsia="Arial" w:hAnsi="Arial"/>
          <w:b w:val="false"/>
          <w:bCs w:val="false"/>
          <w:i w:val="false"/>
          <w:iCs w:val="false"/>
          <w:color w:val="212529"/>
          <w:sz w:val="20"/>
          <w:szCs w:val="20"/>
        </w:rPr>
        <w:t xml:space="preserve">18.3  Severability: If any provision is held invalid or unenforceable, it shall be modified to the minimum extent necessary to make it valid, and the remaining provisions shall continue in force.</w:t>
      </w:r>
    </w:p>
    <w:p>
      <w:pPr>
        <w:spacing w:after="160" w:before="80" w:line="320"/>
        <w:jc w:val="both"/>
      </w:pPr>
      <w:r>
        <w:rPr>
          <w:rFonts w:ascii="Arial" w:cs="Arial" w:eastAsia="Arial" w:hAnsi="Arial"/>
          <w:b w:val="false"/>
          <w:bCs w:val="false"/>
          <w:i w:val="false"/>
          <w:iCs w:val="false"/>
          <w:color w:val="212529"/>
          <w:sz w:val="20"/>
          <w:szCs w:val="20"/>
        </w:rPr>
        <w:t xml:space="preserve">18.4  No Waiver: The Company's failure to enforce any provision shall not constitute a waiver of that provision.</w:t>
      </w:r>
    </w:p>
    <w:p>
      <w:pPr>
        <w:spacing w:after="160" w:before="80" w:line="320"/>
        <w:jc w:val="both"/>
      </w:pPr>
      <w:r>
        <w:rPr>
          <w:rFonts w:ascii="Arial" w:cs="Arial" w:eastAsia="Arial" w:hAnsi="Arial"/>
          <w:b w:val="false"/>
          <w:bCs w:val="false"/>
          <w:i w:val="false"/>
          <w:iCs w:val="false"/>
          <w:color w:val="212529"/>
          <w:sz w:val="20"/>
          <w:szCs w:val="20"/>
        </w:rPr>
        <w:t xml:space="preserve">18.5  Assignment: The Restaurant Partner may not assign its rights or obligations under this Agreement without the Company's prior written consent. The Company may freely assign its rights, including in a merger or acquisition.</w:t>
      </w:r>
    </w:p>
    <w:p>
      <w:pPr>
        <w:spacing w:after="160" w:before="80" w:line="320"/>
        <w:jc w:val="both"/>
      </w:pPr>
      <w:r>
        <w:rPr>
          <w:rFonts w:ascii="Arial" w:cs="Arial" w:eastAsia="Arial" w:hAnsi="Arial"/>
          <w:b w:val="false"/>
          <w:bCs w:val="false"/>
          <w:i w:val="false"/>
          <w:iCs w:val="false"/>
          <w:color w:val="212529"/>
          <w:sz w:val="20"/>
          <w:szCs w:val="20"/>
        </w:rPr>
        <w:t xml:space="preserve">18.6  Notices: All formal notices to the Company shall be sent to legal@hivago.in and the registered office address. Notices to the Restaurant Partner shall be sent to the registered email and address on record.</w:t>
      </w:r>
    </w:p>
    <w:p>
      <w:pPr>
        <w:spacing w:after="160" w:before="80" w:line="320"/>
        <w:jc w:val="both"/>
      </w:pPr>
      <w:r>
        <w:rPr>
          <w:rFonts w:ascii="Arial" w:cs="Arial" w:eastAsia="Arial" w:hAnsi="Arial"/>
          <w:b w:val="false"/>
          <w:bCs w:val="false"/>
          <w:i w:val="false"/>
          <w:iCs w:val="false"/>
          <w:color w:val="212529"/>
          <w:sz w:val="20"/>
          <w:szCs w:val="20"/>
        </w:rPr>
        <w:t xml:space="preserve">18.7  Language: This Agreement is executed in English. The Restaurant Partner confirms it has read and understood the Agreement, directly or through a translator.</w:t>
      </w:r>
    </w:p>
    <w:p>
      <w:pPr>
        <w:spacing w:after="160" w:before="80" w:line="320"/>
        <w:jc w:val="both"/>
      </w:pPr>
      <w:r>
        <w:rPr>
          <w:rFonts w:ascii="Arial" w:cs="Arial" w:eastAsia="Arial" w:hAnsi="Arial"/>
          <w:b w:val="false"/>
          <w:bCs w:val="false"/>
          <w:i w:val="false"/>
          <w:iCs w:val="false"/>
          <w:color w:val="212529"/>
          <w:sz w:val="20"/>
          <w:szCs w:val="20"/>
        </w:rPr>
        <w:t xml:space="preserve">18.8  Digital Acceptance: This Agreement may be accepted digitally through the Dashboard's click-to-accept mechanism, which is legally binding to the same extent as a physical signature.</w:t>
      </w:r>
    </w:p>
    <w:p>
      <w:pPr>
        <w:pBdr>
          <w:bottom w:val="single" w:color="E63946" w:sz="6" w:space="1"/>
        </w:pBdr>
        <w:spacing w:after="160" w:before="160"/>
      </w:pPr>
    </w:p>
    <w:p>
      <w:pPr>
        <w:pStyle w:val="Heading1"/>
        <w:shd w:fill="E63946" w:val="clear"/>
        <w:spacing w:after="200" w:before="400"/>
        <w:ind w:left="180" w:right="180"/>
      </w:pPr>
      <w:r>
        <w:rPr>
          <w:rFonts w:ascii="Arial" w:cs="Arial" w:eastAsia="Arial" w:hAnsi="Arial"/>
          <w:b/>
          <w:bCs/>
          <w:color w:val="FFFFFF"/>
          <w:sz w:val="34"/>
          <w:szCs w:val="34"/>
        </w:rPr>
        <w:t xml:space="preserve">SCHEDULE A — FEE STRUCTURE</w:t>
      </w:r>
    </w:p>
    <w:p>
      <w:pPr>
        <w:spacing w:after="160" w:before="80" w:line="320"/>
        <w:jc w:val="both"/>
      </w:pPr>
      <w:r>
        <w:rPr>
          <w:rFonts w:ascii="Arial" w:cs="Arial" w:eastAsia="Arial" w:hAnsi="Arial"/>
          <w:b w:val="false"/>
          <w:bCs w:val="false"/>
          <w:i w:val="false"/>
          <w:iCs w:val="false"/>
          <w:color w:val="212529"/>
          <w:sz w:val="20"/>
          <w:szCs w:val="20"/>
        </w:rPr>
        <w:t xml:space="preserve">The following fee structure is effective from [DATE] and may be revised per Clause 7.2. Current rates are always visible on the Restaurant Partner Dashboard.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Fee Component</w:t>
            </w:r>
          </w:p>
        </w:tc>
        <w:tc>
          <w:tcPr>
            <w:tcW w:type="dxa" w:w="3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Amount / Rate</w:t>
            </w:r>
          </w:p>
        </w:tc>
        <w:tc>
          <w:tcPr>
            <w:tcW w:type="dxa" w:w="3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Notes</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7"/>
                <w:szCs w:val="17"/>
              </w:rPr>
              <w:t xml:space="preserve">Flat Platform Fee</w:t>
            </w:r>
          </w:p>
        </w:tc>
        <w:tc>
          <w:tcPr>
            <w:tcW w:type="dxa" w:w="31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INR [•] per Order</w:t>
            </w:r>
          </w:p>
        </w:tc>
        <w:tc>
          <w:tcPr>
            <w:tcW w:type="dxa" w:w="32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Fixed per confirmed Order regardless of Order value. Non-refundable except where HIVAGO cancels the Order.</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7"/>
                <w:szCs w:val="17"/>
              </w:rPr>
              <w:t xml:space="preserve">Flat Delivery Fee</w:t>
            </w:r>
          </w:p>
        </w:tc>
        <w:tc>
          <w:tcPr>
            <w:tcW w:type="dxa" w:w="3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INR [•] per Order</w:t>
            </w:r>
          </w:p>
        </w:tc>
        <w:tc>
          <w:tcPr>
            <w:tcW w:type="dxa" w:w="3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Fixed logistics fee per Order. May vary by zone — current zone rates on Dashboard.</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7"/>
                <w:szCs w:val="17"/>
              </w:rPr>
              <w:t xml:space="preserve">Payment Gateway Charges (PayU)</w:t>
            </w:r>
          </w:p>
        </w:tc>
        <w:tc>
          <w:tcPr>
            <w:tcW w:type="dxa" w:w="31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Approx. [•]% per transaction</w:t>
            </w:r>
          </w:p>
        </w:tc>
        <w:tc>
          <w:tcPr>
            <w:tcW w:type="dxa" w:w="32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Exact rate as per PayU's current merchant pricing. Subject to PayU revisions.</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7"/>
                <w:szCs w:val="17"/>
              </w:rPr>
              <w:t xml:space="preserve">Sponsored Listing Fee</w:t>
            </w:r>
          </w:p>
        </w:tc>
        <w:tc>
          <w:tcPr>
            <w:tcW w:type="dxa" w:w="3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As per selected package</w:t>
            </w:r>
          </w:p>
        </w:tc>
        <w:tc>
          <w:tcPr>
            <w:tcW w:type="dxa" w:w="3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Separate from Order fees. Published on Dashboard. Non-refundable once campaign commenced.</w:t>
            </w:r>
          </w:p>
        </w:tc>
      </w:tr>
    </w:tbl>
    <w:p>
      <w:pPr>
        <w:spacing w:after="60" w:before="60"/>
      </w:pPr>
    </w:p>
    <w:p>
      <w:pPr>
        <w:spacing w:after="60" w:before="60"/>
      </w:pPr>
    </w:p>
    <w:p>
      <w:pPr>
        <w:pStyle w:val="Heading1"/>
        <w:shd w:fill="E63946" w:val="clear"/>
        <w:spacing w:after="200" w:before="400"/>
        <w:ind w:left="180" w:right="180"/>
      </w:pPr>
      <w:r>
        <w:rPr>
          <w:rFonts w:ascii="Arial" w:cs="Arial" w:eastAsia="Arial" w:hAnsi="Arial"/>
          <w:b/>
          <w:bCs/>
          <w:color w:val="FFFFFF"/>
          <w:sz w:val="34"/>
          <w:szCs w:val="34"/>
        </w:rPr>
        <w:t xml:space="preserve">SCHEDULE B — GROUNDS FOR SUSPENSION AND TERMINATION: QUICK REFERENCE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Ground</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Action</w:t>
            </w:r>
          </w:p>
        </w:tc>
        <w:tc>
          <w:tcPr>
            <w:tcW w:type="dxa" w:w="33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Notice</w:t>
            </w:r>
          </w:p>
        </w:tc>
      </w:tr>
      <w:tr>
        <w:tc>
          <w:tcPr>
            <w:tcW w:type="dxa" w:w="3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FSSAI licence lapse or cancellation</w:t>
            </w:r>
          </w:p>
        </w:tc>
        <w:tc>
          <w:tcPr>
            <w:tcW w:type="dxa" w:w="2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E63946"/>
                <w:sz w:val="17"/>
                <w:szCs w:val="17"/>
              </w:rPr>
              <w:t xml:space="preserve">Immediate Suspension</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None — public safety</w:t>
            </w:r>
          </w:p>
        </w:tc>
      </w:tr>
      <w:tr>
        <w:tc>
          <w:tcPr>
            <w:tcW w:type="dxa" w:w="3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Confirmed food-borne illness or food safety incident</w:t>
            </w:r>
          </w:p>
        </w:tc>
        <w:tc>
          <w:tcPr>
            <w:tcW w:type="dxa" w:w="2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E63946"/>
                <w:sz w:val="17"/>
                <w:szCs w:val="17"/>
              </w:rPr>
              <w:t xml:space="preserve">Immediate Suspension / Termination</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None — public safety</w:t>
            </w:r>
          </w:p>
        </w:tc>
      </w:tr>
      <w:tr>
        <w:tc>
          <w:tcPr>
            <w:tcW w:type="dxa" w:w="3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Forged documents submitted at onboarding or thereafter</w:t>
            </w:r>
          </w:p>
        </w:tc>
        <w:tc>
          <w:tcPr>
            <w:tcW w:type="dxa" w:w="2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E63946"/>
                <w:sz w:val="17"/>
                <w:szCs w:val="17"/>
              </w:rPr>
              <w:t xml:space="preserve">Immediate Termination</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None</w:t>
            </w:r>
          </w:p>
        </w:tc>
      </w:tr>
      <w:tr>
        <w:tc>
          <w:tcPr>
            <w:tcW w:type="dxa" w:w="3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Confirmed settlement fraud</w:t>
            </w:r>
          </w:p>
        </w:tc>
        <w:tc>
          <w:tcPr>
            <w:tcW w:type="dxa" w:w="2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E63946"/>
                <w:sz w:val="17"/>
                <w:szCs w:val="17"/>
              </w:rPr>
              <w:t xml:space="preserve">Immediate Termination</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None</w:t>
            </w:r>
          </w:p>
        </w:tc>
      </w:tr>
      <w:tr>
        <w:tc>
          <w:tcPr>
            <w:tcW w:type="dxa" w:w="3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Price violations (Platform &gt; dine-in price)</w:t>
            </w:r>
          </w:p>
        </w:tc>
        <w:tc>
          <w:tcPr>
            <w:tcW w:type="dxa" w:w="2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E63946"/>
                <w:sz w:val="17"/>
                <w:szCs w:val="17"/>
              </w:rPr>
              <w:t xml:space="preserve">Suspension</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48 hours</w:t>
            </w:r>
          </w:p>
        </w:tc>
      </w:tr>
      <w:tr>
        <w:tc>
          <w:tcPr>
            <w:tcW w:type="dxa" w:w="3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Food quality complaint rate exceeds threshold</w:t>
            </w:r>
          </w:p>
        </w:tc>
        <w:tc>
          <w:tcPr>
            <w:tcW w:type="dxa" w:w="2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E63946"/>
                <w:sz w:val="17"/>
                <w:szCs w:val="17"/>
              </w:rPr>
              <w:t xml:space="preserve">Suspension / Review</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48 hours</w:t>
            </w:r>
          </w:p>
        </w:tc>
      </w:tr>
      <w:tr>
        <w:tc>
          <w:tcPr>
            <w:tcW w:type="dxa" w:w="3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Persistent order cancellations above threshold</w:t>
            </w:r>
          </w:p>
        </w:tc>
        <w:tc>
          <w:tcPr>
            <w:tcW w:type="dxa" w:w="2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E63946"/>
                <w:sz w:val="17"/>
                <w:szCs w:val="17"/>
              </w:rPr>
              <w:t xml:space="preserve">Suspension</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48 hours</w:t>
            </w:r>
          </w:p>
        </w:tc>
      </w:tr>
      <w:tr>
        <w:tc>
          <w:tcPr>
            <w:tcW w:type="dxa" w:w="3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Sustained low ratings (below 3.0 for 30 days)</w:t>
            </w:r>
          </w:p>
        </w:tc>
        <w:tc>
          <w:tcPr>
            <w:tcW w:type="dxa" w:w="2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E63946"/>
                <w:sz w:val="17"/>
                <w:szCs w:val="17"/>
              </w:rPr>
              <w:t xml:space="preserve">Suspension / De-ranking</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7 days</w:t>
            </w:r>
          </w:p>
        </w:tc>
      </w:tr>
      <w:tr>
        <w:tc>
          <w:tcPr>
            <w:tcW w:type="dxa" w:w="3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Unauthorised use of User data</w:t>
            </w:r>
          </w:p>
        </w:tc>
        <w:tc>
          <w:tcPr>
            <w:tcW w:type="dxa" w:w="2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E63946"/>
                <w:sz w:val="17"/>
                <w:szCs w:val="17"/>
              </w:rPr>
              <w:t xml:space="preserve">Immediate Suspension + potential Termination</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None</w:t>
            </w:r>
          </w:p>
        </w:tc>
      </w:tr>
      <w:tr>
        <w:tc>
          <w:tcPr>
            <w:tcW w:type="dxa" w:w="3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Material breach not cured within 15 days of notice</w:t>
            </w:r>
          </w:p>
        </w:tc>
        <w:tc>
          <w:tcPr>
            <w:tcW w:type="dxa" w:w="2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E63946"/>
                <w:sz w:val="17"/>
                <w:szCs w:val="17"/>
              </w:rPr>
              <w:t xml:space="preserve">Termination</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30 days</w:t>
            </w:r>
          </w:p>
        </w:tc>
      </w:tr>
      <w:tr>
        <w:tc>
          <w:tcPr>
            <w:tcW w:type="dxa" w:w="3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Termination without cause by Company</w:t>
            </w:r>
          </w:p>
        </w:tc>
        <w:tc>
          <w:tcPr>
            <w:tcW w:type="dxa" w:w="24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E63946"/>
                <w:sz w:val="17"/>
                <w:szCs w:val="17"/>
              </w:rPr>
              <w:t xml:space="preserve">Termination</w:t>
            </w:r>
          </w:p>
        </w:tc>
        <w:tc>
          <w:tcPr>
            <w:tcW w:type="dxa" w:w="3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7"/>
                <w:szCs w:val="17"/>
              </w:rPr>
              <w:t xml:space="preserve">30 days</w:t>
            </w:r>
          </w:p>
        </w:tc>
      </w:tr>
      <w:tr>
        <w:tc>
          <w:tcPr>
            <w:tcW w:type="dxa" w:w="3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Voluntary termination by Restaurant Partner</w:t>
            </w:r>
          </w:p>
        </w:tc>
        <w:tc>
          <w:tcPr>
            <w:tcW w:type="dxa" w:w="24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E63946"/>
                <w:sz w:val="17"/>
                <w:szCs w:val="17"/>
              </w:rPr>
              <w:t xml:space="preserve">Termination</w:t>
            </w:r>
          </w:p>
        </w:tc>
        <w:tc>
          <w:tcPr>
            <w:tcW w:type="dxa" w:w="3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7"/>
                <w:szCs w:val="17"/>
              </w:rPr>
              <w:t xml:space="preserve">30 days</w:t>
            </w:r>
          </w:p>
        </w:tc>
      </w:tr>
    </w:tbl>
    <w:p>
      <w:pPr>
        <w:spacing w:after="60" w:before="60"/>
      </w:pPr>
    </w:p>
    <w:p>
      <w:pPr>
        <w:spacing w:after="60" w:before="60"/>
      </w:pPr>
    </w:p>
    <w:p>
      <w:pPr>
        <w:pBdr>
          <w:bottom w:val="single" w:color="E63946" w:sz="6" w:space="1"/>
        </w:pBdr>
        <w:spacing w:after="160" w:before="160"/>
      </w:pPr>
    </w:p>
    <w:p>
      <w:pPr>
        <w:pStyle w:val="Heading1"/>
        <w:shd w:fill="E63946" w:val="clear"/>
        <w:spacing w:after="200" w:before="400"/>
        <w:ind w:left="180" w:right="180"/>
      </w:pPr>
      <w:r>
        <w:rPr>
          <w:rFonts w:ascii="Arial" w:cs="Arial" w:eastAsia="Arial" w:hAnsi="Arial"/>
          <w:b/>
          <w:bCs/>
          <w:color w:val="FFFFFF"/>
          <w:sz w:val="34"/>
          <w:szCs w:val="34"/>
        </w:rPr>
        <w:t xml:space="preserve">EXECUTION AND DIGITAL ACCEPTANCE</w:t>
      </w:r>
    </w:p>
    <w:p>
      <w:pPr>
        <w:spacing w:after="160" w:before="80" w:line="320"/>
        <w:jc w:val="both"/>
      </w:pPr>
      <w:r>
        <w:rPr>
          <w:rFonts w:ascii="Arial" w:cs="Arial" w:eastAsia="Arial" w:hAnsi="Arial"/>
          <w:b w:val="false"/>
          <w:bCs w:val="false"/>
          <w:i w:val="false"/>
          <w:iCs w:val="false"/>
          <w:color w:val="212529"/>
          <w:sz w:val="20"/>
          <w:szCs w:val="20"/>
        </w:rPr>
        <w:t xml:space="preserve">This Agreement is entered into as of the date first written on the cover page, or the date of digital acceptance through the HIVAGO Restaurant Partner Dashboard, whichever is earlier.</w:t>
      </w:r>
    </w:p>
    <w:p>
      <w:pPr>
        <w:spacing w:after="160" w:before="80" w:line="320"/>
        <w:jc w:val="both"/>
      </w:pPr>
      <w:r>
        <w:rPr>
          <w:rFonts w:ascii="Arial" w:cs="Arial" w:eastAsia="Arial" w:hAnsi="Arial"/>
          <w:b w:val="false"/>
          <w:bCs w:val="false"/>
          <w:i w:val="false"/>
          <w:iCs w:val="false"/>
          <w:color w:val="212529"/>
          <w:sz w:val="20"/>
          <w:szCs w:val="20"/>
        </w:rPr>
        <w:t xml:space="preserve">Both Parties confirm by signing below (or by clicking 'Accept' on the Dashboard) that they have read, fully understood, and agree to be bound by all terms, conditions, Schedules, and incorporated policies of this Agreement.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200"/>
              <w:right w:type="dxa" w:w="160"/>
            </w:tcMar>
          </w:tcPr>
          <w:p>
            <w:pPr>
              <w:spacing w:after="240" w:before="80"/>
            </w:pPr>
            <w:r>
              <w:rPr>
                <w:rFonts w:ascii="Arial" w:cs="Arial" w:eastAsia="Arial" w:hAnsi="Arial"/>
                <w:color w:val="212529"/>
                <w:sz w:val="18"/>
                <w:szCs w:val="18"/>
              </w:rPr>
              <w:t xml:space="preserve">_______________________________</w:t>
            </w:r>
          </w:p>
          <w:p>
            <w:pPr>
              <w:spacing w:after="60" w:before="0"/>
            </w:pPr>
            <w:r>
              <w:rPr>
                <w:rFonts w:ascii="Arial" w:cs="Arial" w:eastAsia="Arial" w:hAnsi="Arial"/>
                <w:b/>
                <w:bCs/>
                <w:color w:val="1A1A2E"/>
                <w:sz w:val="18"/>
                <w:szCs w:val="18"/>
              </w:rPr>
              <w:t xml:space="preserve">FOR WaradaVinayaka Pvt Ltd (HIVAGO)
Authorised Signatory</w:t>
            </w:r>
          </w:p>
          <w:p>
            <w:pPr>
              <w:spacing w:after="60" w:before="0"/>
            </w:pPr>
            <w:r>
              <w:rPr>
                <w:rFonts w:ascii="Arial" w:cs="Arial" w:eastAsia="Arial" w:hAnsi="Arial"/>
                <w:color w:val="212529"/>
                <w:sz w:val="16"/>
                <w:szCs w:val="16"/>
              </w:rPr>
              <w:t xml:space="preserve">Name:  _______________________</w:t>
            </w:r>
          </w:p>
          <w:p>
            <w:pPr>
              <w:spacing w:after="60" w:before="0"/>
            </w:pPr>
            <w:r>
              <w:rPr>
                <w:rFonts w:ascii="Arial" w:cs="Arial" w:eastAsia="Arial" w:hAnsi="Arial"/>
                <w:color w:val="212529"/>
                <w:sz w:val="16"/>
                <w:szCs w:val="16"/>
              </w:rPr>
              <w:t xml:space="preserve">Designation: _________________</w:t>
            </w:r>
          </w:p>
          <w:p>
            <w:pPr>
              <w:spacing w:after="60" w:before="0"/>
            </w:pPr>
            <w:r>
              <w:rPr>
                <w:rFonts w:ascii="Arial" w:cs="Arial" w:eastAsia="Arial" w:hAnsi="Arial"/>
                <w:color w:val="212529"/>
                <w:sz w:val="16"/>
                <w:szCs w:val="16"/>
              </w:rPr>
              <w:t xml:space="preserve">Date:  _______________________</w:t>
            </w:r>
          </w:p>
          <w:p>
            <w:pPr>
              <w:spacing w:after="60" w:before="0"/>
            </w:pPr>
            <w:r>
              <w:rPr>
                <w:rFonts w:ascii="Arial" w:cs="Arial" w:eastAsia="Arial" w:hAnsi="Arial"/>
                <w:color w:val="212529"/>
                <w:sz w:val="16"/>
                <w:szCs w:val="16"/>
              </w:rPr>
              <w:t xml:space="preserve">Seal (if applicable): _________</w:t>
            </w:r>
          </w:p>
        </w:tc>
        <w:tc>
          <w:tcPr>
            <w:tcW w:type="dxa" w:w="4680"/>
            <w:tcBorders>
              <w:top w:val="single" w:color="DEE2E6" w:sz="4"/>
              <w:left w:val="single" w:color="DEE2E6" w:sz="4"/>
              <w:bottom w:val="single" w:color="DEE2E6" w:sz="4"/>
              <w:right w:val="single" w:color="DEE2E6" w:sz="4"/>
            </w:tcBorders>
            <w:shd w:fill="F8F9FA" w:val="clear"/>
            <w:tcMar>
              <w:top w:type="dxa" w:w="120"/>
              <w:left w:type="dxa" w:w="160"/>
              <w:bottom w:type="dxa" w:w="200"/>
              <w:right w:type="dxa" w:w="160"/>
            </w:tcMar>
          </w:tcPr>
          <w:p>
            <w:pPr>
              <w:spacing w:after="240" w:before="80"/>
            </w:pPr>
            <w:r>
              <w:rPr>
                <w:rFonts w:ascii="Arial" w:cs="Arial" w:eastAsia="Arial" w:hAnsi="Arial"/>
                <w:color w:val="212529"/>
                <w:sz w:val="18"/>
                <w:szCs w:val="18"/>
              </w:rPr>
              <w:t xml:space="preserve">_______________________________</w:t>
            </w:r>
          </w:p>
          <w:p>
            <w:pPr>
              <w:spacing w:after="60" w:before="0"/>
            </w:pPr>
            <w:r>
              <w:rPr>
                <w:rFonts w:ascii="Arial" w:cs="Arial" w:eastAsia="Arial" w:hAnsi="Arial"/>
                <w:b/>
                <w:bCs/>
                <w:color w:val="1A1A2E"/>
                <w:sz w:val="18"/>
                <w:szCs w:val="18"/>
              </w:rPr>
              <w:t xml:space="preserve">FOR THE RESTAURANT PARTNER
Authorised Signatory / Proprietor</w:t>
            </w:r>
          </w:p>
          <w:p>
            <w:pPr>
              <w:spacing w:after="60" w:before="0"/>
            </w:pPr>
            <w:r>
              <w:rPr>
                <w:rFonts w:ascii="Arial" w:cs="Arial" w:eastAsia="Arial" w:hAnsi="Arial"/>
                <w:color w:val="212529"/>
                <w:sz w:val="16"/>
                <w:szCs w:val="16"/>
              </w:rPr>
              <w:t xml:space="preserve">Name:  _______________________</w:t>
            </w:r>
          </w:p>
          <w:p>
            <w:pPr>
              <w:spacing w:after="60" w:before="0"/>
            </w:pPr>
            <w:r>
              <w:rPr>
                <w:rFonts w:ascii="Arial" w:cs="Arial" w:eastAsia="Arial" w:hAnsi="Arial"/>
                <w:color w:val="212529"/>
                <w:sz w:val="16"/>
                <w:szCs w:val="16"/>
              </w:rPr>
              <w:t xml:space="preserve">Designation: _________________</w:t>
            </w:r>
          </w:p>
          <w:p>
            <w:pPr>
              <w:spacing w:after="60" w:before="0"/>
            </w:pPr>
            <w:r>
              <w:rPr>
                <w:rFonts w:ascii="Arial" w:cs="Arial" w:eastAsia="Arial" w:hAnsi="Arial"/>
                <w:color w:val="212529"/>
                <w:sz w:val="16"/>
                <w:szCs w:val="16"/>
              </w:rPr>
              <w:t xml:space="preserve">Date:  _______________________</w:t>
            </w:r>
          </w:p>
          <w:p>
            <w:pPr>
              <w:spacing w:after="60" w:before="0"/>
            </w:pPr>
            <w:r>
              <w:rPr>
                <w:rFonts w:ascii="Arial" w:cs="Arial" w:eastAsia="Arial" w:hAnsi="Arial"/>
                <w:color w:val="212529"/>
                <w:sz w:val="16"/>
                <w:szCs w:val="16"/>
              </w:rPr>
              <w:t xml:space="preserve">Seal (if applicable): _________</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0"/>
              <w:left w:val="single" w:color="DEE2E6" w:sz="28"/>
              <w:bottom w:val="single" w:color="DEE2E6" w:sz="10"/>
              <w:right w:val="single" w:color="DEE2E6" w:sz="10"/>
            </w:tcBorders>
            <w:shd w:fill="F8F9FA" w:val="clear"/>
            <w:tcMar>
              <w:top w:type="dxa" w:w="140"/>
              <w:left w:type="dxa" w:w="220"/>
              <w:bottom w:type="dxa" w:w="140"/>
              <w:right w:type="dxa" w:w="220"/>
            </w:tcMar>
          </w:tcPr>
          <w:p>
            <w:pPr>
              <w:spacing w:after="80"/>
            </w:pPr>
            <w:r>
              <w:rPr>
                <w:rFonts w:ascii="Arial" w:cs="Arial" w:eastAsia="Arial" w:hAnsi="Arial"/>
                <w:b/>
                <w:bCs/>
                <w:color w:val="DEE2E6"/>
                <w:sz w:val="18"/>
                <w:szCs w:val="18"/>
              </w:rPr>
              <w:t xml:space="preserve">WITNESS (Optional but Recommended for Physical Execution)</w:t>
            </w:r>
          </w:p>
          <w:p>
            <w:pPr>
              <w:spacing w:after="40" w:before="40" w:line="280"/>
            </w:pPr>
            <w:r>
              <w:rPr>
                <w:rFonts w:ascii="Arial" w:cs="Arial" w:eastAsia="Arial" w:hAnsi="Arial"/>
                <w:color w:val="212529"/>
                <w:sz w:val="18"/>
                <w:szCs w:val="18"/>
              </w:rPr>
              <w:t xml:space="preserve">Witness 1 — Name: ________________________  Signature: __________________  Date: __________</w:t>
            </w:r>
          </w:p>
          <w:p>
            <w:pPr>
              <w:spacing w:after="40" w:before="40" w:line="280"/>
            </w:pPr>
            <w:r>
              <w:rPr>
                <w:rFonts w:ascii="Arial" w:cs="Arial" w:eastAsia="Arial" w:hAnsi="Arial"/>
                <w:color w:val="212529"/>
                <w:sz w:val="18"/>
                <w:szCs w:val="18"/>
              </w:rPr>
              <w:t xml:space="preserve">Witness 2 — Name: ________________________  Signature: __________________  Date: __________</w:t>
            </w:r>
          </w:p>
        </w:tc>
      </w:tr>
    </w:tbl>
    <w:p>
      <w:pPr>
        <w:spacing w:after="60" w:before="60"/>
      </w:pPr>
    </w:p>
    <w:p>
      <w:pPr>
        <w:spacing w:after="160" w:before="80" w:line="320"/>
        <w:jc w:val="both"/>
      </w:pPr>
      <w:r>
        <w:rPr>
          <w:rFonts w:ascii="Arial" w:cs="Arial" w:eastAsia="Arial" w:hAnsi="Arial"/>
          <w:b/>
          <w:bCs/>
          <w:i w:val="false"/>
          <w:iCs w:val="false"/>
          <w:color w:val="212529"/>
          <w:sz w:val="20"/>
          <w:szCs w:val="20"/>
        </w:rPr>
        <w:t xml:space="preserve">Last Updated: [DATE]</w:t>
      </w:r>
    </w:p>
    <w:p>
      <w:pPr>
        <w:spacing w:after="160" w:before="80" w:line="320"/>
        <w:jc w:val="both"/>
      </w:pPr>
      <w:r>
        <w:rPr>
          <w:rFonts w:ascii="Arial" w:cs="Arial" w:eastAsia="Arial" w:hAnsi="Arial"/>
          <w:b w:val="false"/>
          <w:bCs w:val="false"/>
          <w:i w:val="false"/>
          <w:iCs w:val="false"/>
          <w:color w:val="212529"/>
          <w:sz w:val="20"/>
          <w:szCs w:val="20"/>
        </w:rPr>
        <w:t xml:space="preserve">Version: 1.0</w:t>
      </w:r>
    </w:p>
    <w:p>
      <w:pPr>
        <w:spacing w:after="160" w:before="80" w:line="320"/>
        <w:jc w:val="both"/>
      </w:pPr>
      <w:r>
        <w:rPr>
          <w:rFonts w:ascii="Arial" w:cs="Arial" w:eastAsia="Arial" w:hAnsi="Arial"/>
          <w:b w:val="false"/>
          <w:bCs w:val="false"/>
          <w:i w:val="false"/>
          <w:iCs w:val="false"/>
          <w:color w:val="212529"/>
          <w:sz w:val="20"/>
          <w:szCs w:val="20"/>
        </w:rPr>
        <w:t xml:space="preserve">WaradaVinayaka Private Limited | HIVAGO Platform | partner@hivago.in | legal@hivago.in</w:t>
      </w:r>
    </w:p>
    <w:sectPr>
      <w:headerReference w:type="default" r:id="rId7"/>
      <w:footerReference w:type="default" r:id="rId8"/>
      <w:pgSz w:w="12240" w:h="15840" w:orient="portrait"/>
      <w:pgMar w:top="1200" w:right="1440" w:bottom="12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2"/>
      </w:pBdr>
    </w:pPr>
    <w:r>
      <w:rPr>
        <w:rFonts w:ascii="Arial" w:cs="Arial" w:eastAsia="Arial" w:hAnsi="Arial"/>
        <w:color w:val="1A1A2E"/>
        <w:sz w:val="14"/>
        <w:szCs w:val="14"/>
      </w:rPr>
      <w:t xml:space="preserve">Strictly Confidential — Binding Legal Agreement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6" w:space="2"/>
      </w:pBdr>
    </w:pPr>
    <w:r>
      <w:rPr>
        <w:rFonts w:ascii="Arial" w:cs="Arial" w:eastAsia="Arial" w:hAnsi="Arial"/>
        <w:b/>
        <w:bCs/>
        <w:color w:val="1A1A2E"/>
        <w:sz w:val="15"/>
        <w:szCs w:val="15"/>
      </w:rPr>
      <w:t xml:space="preserve">HIVAGO  |  Restaurant Partner Agreement  |  WaradaVinayaka Private Limited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60" w:before="340"/>
      <w:outlineLvl w:val="1"/>
    </w:pPr>
    <w:rPr>
      <w:rFonts w:ascii="Arial" w:cs="Arial" w:eastAsia="Arial" w:hAnsi="Arial"/>
      <w:b/>
      <w:bCs/>
      <w:color w:val="FFFFF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 w:type="paragraph" w:styleId="Heading4">
    <w:name w:val="Heading 4"/>
    <w:basedOn w:val="Normal"/>
    <w:next w:val="Normal"/>
    <w:qFormat/>
    <w:pPr>
      <w:spacing w:after="80" w:before="180"/>
      <w:outlineLvl w:val="3"/>
    </w:pPr>
    <w:rPr>
      <w:rFonts w:ascii="Arial" w:cs="Arial" w:eastAsia="Arial" w:hAnsi="Arial"/>
      <w:b/>
      <w:bCs/>
      <w:color w:val="E6394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2026-05-19T15:51:08.936Z</dcterms:created>
  <dcterms:modified xsi:type="dcterms:W3CDTF">2026-05-19T15:51:08.948Z</dcterms:modified>
</cp:coreProperties>
</file>

<file path=docProps/custom.xml><?xml version="1.0" encoding="utf-8"?>
<Properties xmlns="http://schemas.openxmlformats.org/officeDocument/2006/custom-properties" xmlns:vt="http://schemas.openxmlformats.org/officeDocument/2006/docPropsVTypes"/>
</file>