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overeign-industry-foundation-model"/>
    <w:p>
      <w:pPr>
        <w:pStyle w:val="Heading1"/>
      </w:pPr>
      <w:r>
        <w:t xml:space="preserve">Sovereign Industry Foundation Model</w:t>
      </w:r>
    </w:p>
    <w:p>
      <w:pPr>
        <w:pStyle w:val="FirstParagraph"/>
      </w:pPr>
      <w:r>
        <w:rPr>
          <w:b/>
          <w:bCs/>
        </w:rPr>
        <w:t xml:space="preserve">A 1-trillion-parameter industry expert, post-trained in the UK on 25 years of multi-corporate engineering data.</w:t>
      </w:r>
    </w:p>
    <w:bookmarkStart w:id="9" w:name="the-asset"/>
    <w:p>
      <w:pPr>
        <w:pStyle w:val="Heading2"/>
      </w:pPr>
      <w:r>
        <w:t xml:space="preserve">The asset</w:t>
      </w:r>
    </w:p>
    <w:p>
      <w:pPr>
        <w:pStyle w:val="FirstParagraph"/>
      </w:pPr>
      <w:r>
        <w:t xml:space="preserve">Twenty-five years of design, engineering, supply chain, procurement, programme management and support data — petabyte scale, dozens of formats, held across multiple corporates. Post-trained on this corpus, a foundation model becomes an industry expert: it has read everything, forgets nothing, and reasons across domains that no single team or organisation can hold at once.</w:t>
      </w:r>
    </w:p>
    <w:p>
      <w:pPr>
        <w:pStyle w:val="BodyText"/>
      </w:pPr>
      <w:r>
        <w:t xml:space="preserve">The end state is a</w:t>
      </w:r>
      <w:r>
        <w:t xml:space="preserve"> </w:t>
      </w:r>
      <w:r>
        <w:rPr>
          <w:b/>
          <w:bCs/>
        </w:rPr>
        <w:t xml:space="preserve">1T-parameter sovereign model</w:t>
      </w:r>
      <w:r>
        <w:t xml:space="preserve"> </w:t>
      </w:r>
      <w:r>
        <w:t xml:space="preserve">with the industry expert capability built in — not a bolt-on.</w:t>
      </w:r>
    </w:p>
    <w:bookmarkEnd w:id="9"/>
    <w:bookmarkStart w:id="10" w:name="why-cosine"/>
    <w:p>
      <w:pPr>
        <w:pStyle w:val="Heading2"/>
      </w:pPr>
      <w:r>
        <w:t xml:space="preserve">Why Cosine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Sovereign by construction.</w:t>
      </w:r>
      <w:r>
        <w:t xml:space="preserve"> </w:t>
      </w:r>
      <w:r>
        <w:t xml:space="preserve">The only large model trained from scratch in the UK. No foreign jurisdiction over weights, data or telemetry. No export-control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Defence-grade.</w:t>
      </w:r>
      <w:r>
        <w:t xml:space="preserve"> </w:t>
      </w:r>
      <w:r>
        <w:t xml:space="preserve">Built for classified environments. Trains and deploys inside the customer security boundary — air-gapped or accredited cloud. Data never leaves sovereign infrastructure.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Provenance.</w:t>
      </w:r>
      <w:r>
        <w:t xml:space="preserve"> </w:t>
      </w:r>
      <w:r>
        <w:t xml:space="preserve">Every training sample lineage-tracked to source system, owner, classification and licence. The model can be audited on why it knows something, down to the 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Sparklr.</w:t>
      </w:r>
      <w:r>
        <w:t xml:space="preserve"> </w:t>
      </w:r>
      <w:r>
        <w:t xml:space="preserve">Our training and post-training platform. Data curation, cross-format deduplication and efficient post-training reduce effective training compute by an order of magnitude versus naive fine-tuning — more experiments per pound, shorter path to a genuinely expert model.</w:t>
      </w:r>
    </w:p>
    <w:bookmarkEnd w:id="10"/>
    <w:bookmarkStart w:id="11" w:name="X6526d9647ee9109cb11a1abb2870c116d884def"/>
    <w:p>
      <w:pPr>
        <w:pStyle w:val="Heading2"/>
      </w:pPr>
      <w:r>
        <w:t xml:space="preserve">Delivery: demonstrate, then improve continuously</w:t>
      </w:r>
    </w:p>
    <w:p>
      <w:pPr>
        <w:pStyle w:val="FirstParagraph"/>
      </w:pPr>
      <w:r>
        <w:rPr>
          <w:b/>
          <w:bCs/>
        </w:rPr>
        <w:t xml:space="preserve">Phase 1 — Demonstrator (8–12 weeks from data access).</w:t>
      </w:r>
      <w:r>
        <w:t xml:space="preserve"> </w:t>
      </w:r>
      <w:r>
        <w:t xml:space="preserve">Fine-tune of the Cosine base model on a scoped data slice. Proves value, de-risks data pipelines and governance.</w:t>
      </w:r>
    </w:p>
    <w:p>
      <w:pPr>
        <w:pStyle w:val="BodyText"/>
      </w:pPr>
      <w:r>
        <w:rPr>
          <w:b/>
          <w:bCs/>
        </w:rPr>
        <w:t xml:space="preserve">Phase 2 onward — Continuous post-training.</w:t>
      </w:r>
      <w:r>
        <w:t xml:space="preserve"> </w:t>
      </w:r>
      <w:r>
        <w:t xml:space="preserve">From the demonstrator, we train successively improved models on a rolling cadence as data is ingested, cleaned and released by contributors. Each iteration absorbs more corpus, more domains and more capability, converging on the 1T-parameter target. There is no single</w:t>
      </w:r>
      <w:r>
        <w:t xml:space="preserve"> </w:t>
      </w:r>
      <w:r>
        <w:t xml:space="preserve">“big bang”</w:t>
      </w:r>
      <w:r>
        <w:t xml:space="preserve"> </w:t>
      </w:r>
      <w:r>
        <w:t xml:space="preserve">training run — the model improves continuously, and each released iteration is deployable and useful in its own right.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Corpus absorbed</w:t>
            </w:r>
          </w:p>
        </w:tc>
        <w:tc>
          <w:tcPr/>
          <w:p>
            <w:pPr>
              <w:pStyle w:val="Compact"/>
            </w:pPr>
            <w:r>
              <w:t xml:space="preserve">Model scale</w:t>
            </w:r>
          </w:p>
        </w:tc>
        <w:tc>
          <w:tcPr/>
          <w:p>
            <w:pPr>
              <w:pStyle w:val="Compact"/>
            </w:pPr>
            <w:r>
              <w:t xml:space="preserve">Indicative training compute</w:t>
            </w:r>
          </w:p>
        </w:tc>
        <w:tc>
          <w:tcPr/>
          <w:p>
            <w:pPr>
              <w:pStyle w:val="Compact"/>
            </w:pPr>
            <w:r>
              <w:t xml:space="preserve">Indicative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Demonstrator</w:t>
            </w:r>
          </w:p>
        </w:tc>
        <w:tc>
          <w:tcPr/>
          <w:p>
            <w:pPr>
              <w:pStyle w:val="Compact"/>
            </w:pPr>
            <w:r>
              <w:t xml:space="preserve">~50–100B tokens</w:t>
            </w:r>
          </w:p>
        </w:tc>
        <w:tc>
          <w:tcPr/>
          <w:p>
            <w:pPr>
              <w:pStyle w:val="Compact"/>
            </w:pPr>
            <w:r>
              <w:t xml:space="preserve">8–13B params</w:t>
            </w:r>
          </w:p>
        </w:tc>
        <w:tc>
          <w:tcPr/>
          <w:p>
            <w:pPr>
              <w:pStyle w:val="Compact"/>
            </w:pPr>
            <w:r>
              <w:t xml:space="preserve">8–16× H100-class GPUs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Interim releases</w:t>
            </w:r>
          </w:p>
        </w:tc>
        <w:tc>
          <w:tcPr/>
          <w:p>
            <w:pPr>
              <w:pStyle w:val="Compact"/>
            </w:pPr>
            <w:r>
              <w:t xml:space="preserve">~1–2T tokens</w:t>
            </w:r>
          </w:p>
        </w:tc>
        <w:tc>
          <w:tcPr/>
          <w:p>
            <w:pPr>
              <w:pStyle w:val="Compact"/>
            </w:pPr>
            <w:r>
              <w:t xml:space="preserve">30–70B params</w:t>
            </w:r>
          </w:p>
        </w:tc>
        <w:tc>
          <w:tcPr/>
          <w:p>
            <w:pPr>
              <w:pStyle w:val="Compact"/>
            </w:pPr>
            <w:r>
              <w:t xml:space="preserve">128–256× H100-class GPUs</w:t>
            </w:r>
          </w:p>
        </w:tc>
        <w:tc>
          <w:tcPr/>
          <w:p>
            <w:pPr>
              <w:pStyle w:val="Compact"/>
            </w:pPr>
            <w:r>
              <w:t xml:space="preserve">4–8 weeks per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Maturing releases</w:t>
            </w:r>
          </w:p>
        </w:tc>
        <w:tc>
          <w:tcPr/>
          <w:p>
            <w:pPr>
              <w:pStyle w:val="Compact"/>
            </w:pPr>
            <w:r>
              <w:t xml:space="preserve">~3–6T tokens</w:t>
            </w:r>
          </w:p>
        </w:tc>
        <w:tc>
          <w:tcPr/>
          <w:p>
            <w:pPr>
              <w:pStyle w:val="Compact"/>
            </w:pPr>
            <w:r>
              <w:t xml:space="preserve">70–180B params</w:t>
            </w:r>
          </w:p>
        </w:tc>
        <w:tc>
          <w:tcPr/>
          <w:p>
            <w:pPr>
              <w:pStyle w:val="Compact"/>
            </w:pPr>
            <w:r>
              <w:t xml:space="preserve">256–512× H100-class GPUs</w:t>
            </w:r>
          </w:p>
        </w:tc>
        <w:tc>
          <w:tcPr/>
          <w:p>
            <w:pPr>
              <w:pStyle w:val="Compact"/>
            </w:pPr>
            <w:r>
              <w:t xml:space="preserve">Quarterly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model</w:t>
            </w:r>
          </w:p>
        </w:tc>
        <w:tc>
          <w:tcPr/>
          <w:p>
            <w:pPr>
              <w:pStyle w:val="Compact"/>
            </w:pPr>
            <w:r>
              <w:t xml:space="preserve">Full corpus, continuous refresh</w:t>
            </w:r>
          </w:p>
        </w:tc>
        <w:tc>
          <w:tcPr/>
          <w:p>
            <w:pPr>
              <w:pStyle w:val="Compact"/>
            </w:pPr>
            <w:r>
              <w:t xml:space="preserve">1T params (sparse-expert architecture)</w:t>
            </w:r>
          </w:p>
        </w:tc>
        <w:tc>
          <w:tcPr/>
          <w:p>
            <w:pPr>
              <w:pStyle w:val="Compact"/>
            </w:pPr>
            <w:r>
              <w:t xml:space="preserve">512–1024× H100-class GPUs</w:t>
            </w:r>
          </w:p>
        </w:tc>
        <w:tc>
          <w:tcPr/>
          <w:p>
            <w:pPr>
              <w:pStyle w:val="Compact"/>
            </w:pPr>
            <w:r>
              <w:t xml:space="preserve">Continuous training regime</w:t>
            </w:r>
          </w:p>
        </w:tc>
      </w:tr>
    </w:tbl>
    <w:p>
      <w:pPr>
        <w:pStyle w:val="BodyText"/>
      </w:pPr>
      <w:r>
        <w:t xml:space="preserve">Figures are indicative, pending Phase 0 data audit. Petabyte-scale raw corpora typically yield 2–10T usable tokens after extraction and deduplication. Sparklr’s data-efficiency techniques consistently reduce these envelopes.</w:t>
      </w:r>
    </w:p>
    <w:bookmarkEnd w:id="11"/>
    <w:bookmarkStart w:id="12" w:name="deployment-compute"/>
    <w:p>
      <w:pPr>
        <w:pStyle w:val="Heading2"/>
      </w:pPr>
      <w:r>
        <w:t xml:space="preserve">Deployment compute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Hardware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/ programme site</w:t>
            </w:r>
          </w:p>
        </w:tc>
        <w:tc>
          <w:tcPr/>
          <w:p>
            <w:pPr>
              <w:pStyle w:val="Compact"/>
            </w:pPr>
            <w:r>
              <w:t xml:space="preserve">Single-team assistant</w:t>
            </w:r>
          </w:p>
        </w:tc>
        <w:tc>
          <w:tcPr/>
          <w:p>
            <w:pPr>
              <w:pStyle w:val="Compact"/>
            </w:pPr>
            <w:r>
              <w:t xml:space="preserve">1–2× L40S/H100-class GPUs (quantised)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Concurrent users across a programme</w:t>
            </w:r>
          </w:p>
        </w:tc>
        <w:tc>
          <w:tcPr/>
          <w:p>
            <w:pPr>
              <w:pStyle w:val="Compact"/>
            </w:pPr>
            <w:r>
              <w:t xml:space="preserve">4–8× H100-class GPUs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Sovereign hub</w:t>
            </w:r>
          </w:p>
        </w:tc>
        <w:tc>
          <w:tcPr/>
          <w:p>
            <w:pPr>
              <w:pStyle w:val="Compact"/>
            </w:pPr>
            <w:r>
              <w:t xml:space="preserve">Multi-corporate, high-assurance serving of the target model</w:t>
            </w:r>
          </w:p>
        </w:tc>
        <w:tc>
          <w:tcPr/>
          <w:p>
            <w:pPr>
              <w:pStyle w:val="Compact"/>
            </w:pPr>
            <w:r>
              <w:t xml:space="preserve">Redundant GPU cluster inside accredited boundary; air-gap option</w:t>
            </w:r>
          </w:p>
        </w:tc>
      </w:tr>
    </w:tbl>
    <w:p>
      <w:pPr>
        <w:pStyle w:val="BodyText"/>
      </w:pPr>
      <w:r>
        <w:t xml:space="preserve">All tiers run entirely within customer-controlled infrastructure. No external API calls.</w:t>
      </w:r>
    </w:p>
    <w:bookmarkEnd w:id="12"/>
    <w:bookmarkStart w:id="13" w:name="Xc453647487635161b73ec0ddc69ebb874144b42"/>
    <w:p>
      <w:pPr>
        <w:pStyle w:val="Heading2"/>
      </w:pPr>
      <w:r>
        <w:t xml:space="preserve">IP and data governance between contributing corporates</w:t>
      </w:r>
    </w:p>
    <w:p>
      <w:pPr>
        <w:pStyle w:val="FirstParagraph"/>
      </w:pPr>
      <w:r>
        <w:t xml:space="preserve">Contributors are large corporates with partial competitive overlap. Governance is engineered, not just contracted.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Federated ingestion.</w:t>
      </w:r>
      <w:r>
        <w:t xml:space="preserve"> </w:t>
      </w:r>
      <w:r>
        <w:t xml:space="preserve">Each contributor’s data is ingested and tokenised within its own boundary or accredited enclave. Provenance metadata bound at token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Contractual firewalls.</w:t>
      </w:r>
      <w:r>
        <w:t xml:space="preserve"> </w:t>
      </w:r>
      <w:r>
        <w:t xml:space="preserve">No contributor can extract another’s data from the model. Outputs filtered against source-attribution rules. Competitive-overlap domains ring-fenced or excluded by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Sovereign escrow.</w:t>
      </w:r>
      <w:r>
        <w:t xml:space="preserve"> </w:t>
      </w:r>
      <w:r>
        <w:t xml:space="preserve">Weights and corpus held under UK jurisdiction with pre-agreed exit and dissolution terms.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Asymmetric benefit, symmetric protection.</w:t>
      </w:r>
      <w:r>
        <w:t xml:space="preserve"> </w:t>
      </w:r>
      <w:r>
        <w:t xml:space="preserve">Each corporate receives a model tuned to its own estate. Shared learning accrues in generalised capability, never in disclosable specifics. Verified continuously via output attribution, canary tests and membership-inference auditing.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Joint governance board.</w:t>
      </w:r>
      <w:r>
        <w:t xml:space="preserve"> </w:t>
      </w:r>
      <w:r>
        <w:t xml:space="preserve">Customer board holds accept/reject authority over training runs, releases and use-case expansion.</w:t>
      </w:r>
    </w:p>
    <w:bookmarkEnd w:id="13"/>
    <w:bookmarkStart w:id="14" w:name="commercial-structure"/>
    <w:p>
      <w:pPr>
        <w:pStyle w:val="Heading2"/>
      </w:pPr>
      <w:r>
        <w:t xml:space="preserve">Commercial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0</w:t>
      </w:r>
      <w:r>
        <w:t xml:space="preserve"> </w:t>
      </w:r>
      <w:r>
        <w:t xml:space="preserve">(fixed price): data audit, token-yield analysis, governance framework, calibrated compute 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training service</w:t>
      </w:r>
      <w:r>
        <w:t xml:space="preserve">: rolling post-training releases against an agreed cadence and capability roadmap, milestone-priced.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Compute</w:t>
      </w:r>
      <w:r>
        <w:t xml:space="preserve">: customer-owned, Cosine-managed, or hybrid. We specify, procure and operate as agreed.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 services</w:t>
      </w:r>
      <w:r>
        <w:t xml:space="preserve">: multi-year agreement covering scheduled fine-tunes on new data, evaluation and red-teaming, platform updates, and named engineering support.</w:t>
      </w:r>
    </w:p>
    <w:bookmarkEnd w:id="14"/>
    <w:bookmarkStart w:id="15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A two-week Phase 0 workshop: we audit a sample of the corpus, calibrate the figures above against actual data, and return a costed, scheduled plan for the demonstrator.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2026-10-07T10:29:46Z</dcterms:created>
  <dcterms:modified xsi:type="dcterms:W3CDTF">2026-10-07T10:29:46Z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