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Cosine Developer Evaluation — Proposal for Northrop Grumman UK</w:t>
      </w:r>
    </w:p>
    <w:p>
      <w:pPr>
        <w:pStyle w:val="Heading1"/>
      </w:pPr>
      <w:r>
        <w:t>1. Overview</w:t>
      </w:r>
    </w:p>
    <w:p>
      <w:r>
        <w:t>Cosine proposes a 90-day evaluation of the Cosine Developer platform by Northrop Grumman UK (NGUK), covering:</w:t>
      </w:r>
    </w:p>
    <w:p>
      <w:pPr>
        <w:pStyle w:val="ListBullet"/>
      </w:pPr>
      <w:r>
        <w:t>Cosine Developer licence — up to 10 NGUK users, including the Cosine models (Scout, Ranger, Outpost), desktop application, web interface, CLI, and Bring Your Own Key (BYOK) support for third-party models.</w:t>
      </w:r>
    </w:p>
    <w:p>
      <w:pPr>
        <w:pStyle w:val="ListBullet"/>
      </w:pPr>
      <w:r>
        <w:t>Embedded engineering support — up to 40 days of Cosine engineering effort to deploy, integrate, and operate the platform during the evaluation.</w:t>
      </w:r>
    </w:p>
    <w:p>
      <w:r>
        <w:t>The evaluation will exercise two agreed scenarios:</w:t>
      </w:r>
    </w:p>
    <w:p>
      <w:pPr>
        <w:pStyle w:val="ListBullet"/>
      </w:pPr>
      <w:r>
        <w:t>Scenario 1 — Transform tabular content from document inputs (.DOCX or .PDF) into NATO Vector Graphics (NVG) output suitable for ingestion by an NGUK system such as the Interoperable C4i Services (ICS) solution. To be run on NGUK on-premises infrastructure, disconnected from the internet.</w:t>
      </w:r>
    </w:p>
    <w:p>
      <w:pPr>
        <w:pStyle w:val="ListBullet"/>
      </w:pPr>
      <w:r>
        <w:t>Scenario 2 — Analysis of an existing NGUK codebase held in a bounded AWS VPC: identifying optimisation opportunities, planning and proposing changes, and demonstrating agentic assistance against a mature codebase. To be run in a cloud environment.</w:t>
      </w:r>
    </w:p>
    <w:p>
      <w:pPr>
        <w:pStyle w:val="Heading1"/>
      </w:pPr>
      <w:r>
        <w:t>2. Phased deployment</w:t>
      </w:r>
    </w:p>
    <w:p>
      <w:r>
        <w:t>To avoid delay while NGUK’s security accreditation process runs, we propose a two-phase approach.</w:t>
      </w:r>
    </w:p>
    <w:p>
      <w:r>
        <w:t>Phase 1 — Cosine-hosted (start immediately after contract)</w:t>
      </w:r>
    </w:p>
    <w:p>
      <w:pPr>
        <w:pStyle w:val="ListBullet"/>
      </w:pPr>
      <w:r>
        <w:t>Cosine operates the platform in a Cosine-managed AWS environment (UK region).</w:t>
      </w:r>
    </w:p>
    <w:p>
      <w:pPr>
        <w:pStyle w:val="ListBullet"/>
      </w:pPr>
      <w:r>
        <w:t>Scenario 2 runs against a copy of the agreed NGUK codebase. The specific repository, its size and language, and the terms under which it may be processed in a Cosine-managed environment will be agreed at mobilisation. No code leaves the agreed environment; access and data-handling terms will be documented in the contract.</w:t>
      </w:r>
    </w:p>
    <w:p>
      <w:pPr>
        <w:pStyle w:val="ListBullet"/>
      </w:pPr>
      <w:r>
        <w:t>NGUK users get immediate access, and the evaluation clock starts without waiting for accreditation or on-premises hardware.</w:t>
      </w:r>
    </w:p>
    <w:p>
      <w:pPr>
        <w:pStyle w:val="ListBullet"/>
      </w:pPr>
      <w:r>
        <w:t>Cloud consumption in this phase is billed at published API prices based on actual usage, separate from the licence and services fees. A monthly spending cap will be agreed at mobilisation; Cosine will provide usage and cost reporting throughout.</w:t>
      </w:r>
    </w:p>
    <w:p>
      <w:r>
        <w:t>Phase 2 — NGUK on-premises (follows accreditation)</w:t>
      </w:r>
    </w:p>
    <w:p>
      <w:pPr>
        <w:pStyle w:val="ListBullet"/>
      </w:pPr>
      <w:r>
        <w:t>In parallel with Phase 1, Cosine will begin the security accreditation work required to deploy software into NGUK’s environment. NGUK will identify the applicable accreditation process and provide the required documentation and points of contact; Cosine will supply evidence, complete assessments, and support the process. Accreditation timelines sit largely outside Cosine’s control and are the main schedule risk; starting this work at contract signature is the reason for the phased approach.</w:t>
      </w:r>
    </w:p>
    <w:p>
      <w:pPr>
        <w:pStyle w:val="ListBullet"/>
      </w:pPr>
      <w:r>
        <w:t>Cosine will deploy the platform onto NGUK-provided infrastructure. Before mobilisation, NGUK will confirm the available hardware specification (GPU type and memory, CPU, RAM, storage). Cosine will confirm it meets the platform’s minimum requirements; if it does not, we will agree remediation (upgraded hardware or Cosine-supplied equipment at additional cost) before the on-premises phase is scheduled.</w:t>
      </w:r>
    </w:p>
    <w:p>
      <w:pPr>
        <w:pStyle w:val="ListBullet"/>
      </w:pPr>
      <w:r>
        <w:t>Because the environment is disconnected, model weights, software updates, and licence validation will be delivered through an agreed offline transfer process. Support during the evaluation will be provided on-site or via an agreed remote arrangement consistent with NGUK security policy.</w:t>
      </w:r>
    </w:p>
    <w:p>
      <w:pPr>
        <w:pStyle w:val="ListBullet"/>
      </w:pPr>
      <w:r>
        <w:t>Scenario 1 runs in this phase once the deployment is complete.</w:t>
      </w:r>
    </w:p>
    <w:p>
      <w:pPr>
        <w:pStyle w:val="ListBullet"/>
      </w:pPr>
      <w:r>
        <w:t>For on-premises deployment, Cosine charges no infrastructure or inference costs; NGUK bears its own infrastructure costs.</w:t>
      </w:r>
    </w:p>
    <w:p>
      <w:r>
        <w:t>If accreditation completes faster than expected, Phase 2 can begin earlier; the two phases may overlap.</w:t>
      </w:r>
    </w:p>
    <w:p>
      <w:pPr>
        <w:pStyle w:val="Heading1"/>
      </w:pPr>
      <w:r>
        <w:t>3.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Deliverable</w:t>
            </w:r>
          </w:p>
        </w:tc>
        <w:tc>
          <w:tcPr>
            <w:tcW w:type="dxa" w:w="2880"/>
          </w:tcPr>
          <w:p>
            <w:r>
              <w:t>Acceptance</w:t>
            </w:r>
          </w:p>
        </w:tc>
      </w:tr>
      <w:tr>
        <w:tc>
          <w:tcPr>
            <w:tcW w:type="dxa" w:w="2880"/>
          </w:tcPr>
          <w:p>
            <w:r>
              <w:t>D1</w:t>
            </w:r>
          </w:p>
        </w:tc>
        <w:tc>
          <w:tcPr>
            <w:tcW w:type="dxa" w:w="2880"/>
          </w:tcPr>
          <w:p>
            <w:r>
              <w:t>Cosine-hosted environment live and 10 users onboarded</w:t>
            </w:r>
          </w:p>
        </w:tc>
        <w:tc>
          <w:tcPr>
            <w:tcW w:type="dxa" w:w="2880"/>
          </w:tcPr>
          <w:p>
            <w:r>
              <w:t>Users can access and run tasks</w:t>
            </w:r>
          </w:p>
        </w:tc>
      </w:tr>
      <w:tr>
        <w:tc>
          <w:tcPr>
            <w:tcW w:type="dxa" w:w="2880"/>
          </w:tcPr>
          <w:p>
            <w:r>
              <w:t>D2</w:t>
            </w:r>
          </w:p>
        </w:tc>
        <w:tc>
          <w:tcPr>
            <w:tcW w:type="dxa" w:w="2880"/>
          </w:tcPr>
          <w:p>
            <w:r>
              <w:t>Source-control integration with agreed NGUK repository</w:t>
            </w:r>
          </w:p>
        </w:tc>
        <w:tc>
          <w:tcPr>
            <w:tcW w:type="dxa" w:w="2880"/>
          </w:tcPr>
          <w:p>
            <w:r>
              <w:t>Cosine CLI can read and propose changes against the codebase</w:t>
            </w:r>
          </w:p>
        </w:tc>
      </w:tr>
      <w:tr>
        <w:tc>
          <w:tcPr>
            <w:tcW w:type="dxa" w:w="2880"/>
          </w:tcPr>
          <w:p>
            <w:r>
              <w:t>D3</w:t>
            </w:r>
          </w:p>
        </w:tc>
        <w:tc>
          <w:tcPr>
            <w:tcW w:type="dxa" w:w="2880"/>
          </w:tcPr>
          <w:p>
            <w:r>
              <w:t>Scenario 2 evaluation report</w:t>
            </w:r>
          </w:p>
        </w:tc>
        <w:tc>
          <w:tcPr>
            <w:tcW w:type="dxa" w:w="2880"/>
          </w:tcPr>
          <w:p>
            <w:r>
              <w:t>Optimisation findings and proposed changes reviewed with NGUK</w:t>
            </w:r>
          </w:p>
        </w:tc>
      </w:tr>
      <w:tr>
        <w:tc>
          <w:tcPr>
            <w:tcW w:type="dxa" w:w="2880"/>
          </w:tcPr>
          <w:p>
            <w:r>
              <w:t>D4</w:t>
            </w:r>
          </w:p>
        </w:tc>
        <w:tc>
          <w:tcPr>
            <w:tcW w:type="dxa" w:w="2880"/>
          </w:tcPr>
          <w:p>
            <w:r>
              <w:t>On-premises deployment on NGUK infrastructure</w:t>
            </w:r>
          </w:p>
        </w:tc>
        <w:tc>
          <w:tcPr>
            <w:tcW w:type="dxa" w:w="2880"/>
          </w:tcPr>
          <w:p>
            <w:r>
              <w:t>Platform operational in the disconnected environment</w:t>
            </w:r>
          </w:p>
        </w:tc>
      </w:tr>
      <w:tr>
        <w:tc>
          <w:tcPr>
            <w:tcW w:type="dxa" w:w="2880"/>
          </w:tcPr>
          <w:p>
            <w:r>
              <w:t>D5</w:t>
            </w:r>
          </w:p>
        </w:tc>
        <w:tc>
          <w:tcPr>
            <w:tcW w:type="dxa" w:w="2880"/>
          </w:tcPr>
          <w:p>
            <w:r>
              <w:t>Scenario 1 demonstration</w:t>
            </w:r>
          </w:p>
        </w:tc>
        <w:tc>
          <w:tcPr>
            <w:tcW w:type="dxa" w:w="2880"/>
          </w:tcPr>
          <w:p>
            <w:r>
              <w:t>Agreed sample document transformed to NVG output, validated against the agreed schema and ingestion requirements</w:t>
            </w:r>
          </w:p>
        </w:tc>
      </w:tr>
      <w:tr>
        <w:tc>
          <w:tcPr>
            <w:tcW w:type="dxa" w:w="2880"/>
          </w:tcPr>
          <w:p>
            <w:r>
              <w:t>D6</w:t>
            </w:r>
          </w:p>
        </w:tc>
        <w:tc>
          <w:tcPr>
            <w:tcW w:type="dxa" w:w="2880"/>
          </w:tcPr>
          <w:p>
            <w:r>
              <w:t>Final evaluation report</w:t>
            </w:r>
          </w:p>
        </w:tc>
        <w:tc>
          <w:tcPr>
            <w:tcW w:type="dxa" w:w="2880"/>
          </w:tcPr>
          <w:p>
            <w:r>
              <w:t>Results against the agreed success measures, with a recommendation on further use</w:t>
            </w:r>
          </w:p>
        </w:tc>
      </w:tr>
    </w:tbl>
    <w:p>
      <w:r>
        <w:t>Success measures for each scenario will be agreed and recorded at mobilisation, before work begins, and will form part of the contract.</w:t>
      </w:r>
    </w:p>
    <w:p>
      <w:pPr>
        <w:pStyle w:val="Heading1"/>
      </w:pPr>
      <w:r>
        <w:t>4. Commercial terms</w:t>
      </w:r>
    </w:p>
    <w:p>
      <w:r>
        <w:t>Cosine Developer licence — £5,000 per month (£15,000 total)</w:t>
      </w:r>
    </w:p>
    <w:p>
      <w:pPr>
        <w:pStyle w:val="ListBullet"/>
      </w:pPr>
      <w:r>
        <w:t>Fixed 3-month term covering up to 10 users, all platform components, BYOK support, and product updates during the term.</w:t>
      </w:r>
    </w:p>
    <w:p>
      <w:pPr>
        <w:pStyle w:val="ListBullet"/>
      </w:pPr>
      <w:r>
        <w:t>After the initial term, continues month-to-month, cancellable with one month’s notice.</w:t>
      </w:r>
    </w:p>
    <w:p>
      <w:r>
        <w:t>Embedded engineering — £42,000</w:t>
      </w:r>
    </w:p>
    <w:p>
      <w:pPr>
        <w:pStyle w:val="ListBullet"/>
      </w:pPr>
      <w:r>
        <w:t>40 days of engineering effort across deployment, integration, operation support, tuning, and evaluation-specific development, delivered by the most suitable Cosine engineer for each task.</w:t>
      </w:r>
    </w:p>
    <w:p>
      <w:pPr>
        <w:pStyle w:val="ListBullet"/>
      </w:pPr>
      <w:r>
        <w:t>Days are consumed within the initial 3-month term; unused days expire at the end of the term.</w:t>
      </w:r>
    </w:p>
    <w:p>
      <w:pPr>
        <w:pStyle w:val="ListBullet"/>
      </w:pPr>
      <w:r>
        <w:t>Includes standard enterprise support (break-fix, 09:00–17:00 UK, Monday–Friday).</w:t>
      </w:r>
    </w:p>
    <w:p>
      <w:r>
        <w:t>Cloud hosting and inference (Phase 1)</w:t>
      </w:r>
    </w:p>
    <w:p>
      <w:pPr>
        <w:pStyle w:val="ListBullet"/>
      </w:pPr>
      <w:r>
        <w:t>Billed at API prices based on actual consumption, separate from the fees above.</w:t>
      </w:r>
    </w:p>
    <w:p>
      <w:pPr>
        <w:pStyle w:val="ListBullet"/>
      </w:pPr>
      <w:r>
        <w:t>Usage and cost reporting provided; an optional monthly spending cap can be set.</w:t>
      </w:r>
    </w:p>
    <w:p>
      <w:pPr>
        <w:pStyle w:val="ListBullet"/>
      </w:pPr>
      <w:r>
        <w:t>Based on comparable evaluations, we estimate this at £[X]–£[Y] over 90 days; the cap will protect NGUK from exceeding the agreed figure.</w:t>
      </w:r>
    </w:p>
    <w:p>
      <w:r>
        <w:t>On-premises deployment (Phase 2)</w:t>
      </w:r>
    </w:p>
    <w:p>
      <w:pPr>
        <w:pStyle w:val="ListBullet"/>
      </w:pPr>
      <w:r>
        <w:t>No infrastructure, platform, or inference charges from Cosine.</w:t>
      </w:r>
    </w:p>
    <w:p>
      <w:r>
        <w:rPr>
          <w:b w:val="0"/>
        </w:rPr>
        <w:t xml:space="preserve">Total committed spend: </w:t>
      </w:r>
      <w:r>
        <w:rPr>
          <w:b/>
        </w:rPr>
        <w:t>£57,000</w:t>
      </w:r>
      <w:r>
        <w:t xml:space="preserve"> plus metered cloud consumption within the agreed cap.</w:t>
      </w:r>
    </w:p>
    <w:p>
      <w:pPr>
        <w:pStyle w:val="Heading1"/>
      </w:pPr>
      <w:r>
        <w:t>5. Dependencies on NGUK</w:t>
      </w:r>
    </w:p>
    <w:p>
      <w:r>
        <w:t>The schedule depends on NGUK providing:</w:t>
      </w:r>
    </w:p>
    <w:p>
      <w:pPr>
        <w:pStyle w:val="ListNumber"/>
      </w:pPr>
      <w:r>
        <w:t>Confirmation of on-premises hardware specifications.</w:t>
      </w:r>
    </w:p>
    <w:p>
      <w:pPr>
        <w:pStyle w:val="ListNumber"/>
      </w:pPr>
      <w:r>
        <w:t>Identification of the security accreditation process and support for Cosine’s engagement with it.</w:t>
      </w:r>
    </w:p>
    <w:p>
      <w:pPr>
        <w:pStyle w:val="ListNumber"/>
      </w:pPr>
      <w:r>
        <w:t>Access to the agreed codebase and agreement on the terms for processing it in a Cosine-hosted environment.</w:t>
      </w:r>
    </w:p>
    <w:p>
      <w:pPr>
        <w:pStyle w:val="ListNumber"/>
      </w:pPr>
      <w:r>
        <w:t>The sample documents and target NVG schema for Scenario 1, and confirmation of ICS ingestion requirements.</w:t>
      </w:r>
    </w:p>
    <w:p>
      <w:pPr>
        <w:pStyle w:val="ListNumber"/>
      </w:pPr>
      <w:r>
        <w:t>Named users for the 10 licence seats.</w:t>
      </w:r>
    </w:p>
    <w:p>
      <w:pPr>
        <w:pStyle w:val="Heading1"/>
      </w:pPr>
      <w:r>
        <w:t>6. What this evaluation does not include</w:t>
      </w:r>
    </w:p>
    <w:p>
      <w:r>
        <w:t>This proposal covers only capabilities available from Cosine today. Separately, and subject to future commercial discussion, Cosine’s roadmap includes private deployment of Cosine models inside customer-controlled infrastructure (connected or disconnected), including cost-effective local inference on dedicated hardware. The Phase 2 deployment in this evaluation is designed to provide the operational foundation for that future work, but none of it is committed or priced here.</w:t>
      </w:r>
    </w:p>
    <w:p>
      <w:pPr>
        <w:pStyle w:val="Heading1"/>
      </w:pPr>
      <w:r>
        <w:t>7. Next steps</w:t>
      </w:r>
    </w:p>
    <w:p>
      <w:pPr>
        <w:pStyle w:val="ListNumber"/>
      </w:pPr>
      <w:r>
        <w:t>Agree commercial and procurement terms.</w:t>
      </w:r>
    </w:p>
    <w:p>
      <w:pPr>
        <w:pStyle w:val="ListNumber"/>
      </w:pPr>
      <w:r>
        <w:t>Cosine completes NGUK supplier onboarding.</w:t>
      </w:r>
    </w:p>
    <w:p>
      <w:pPr>
        <w:pStyle w:val="ListNumber"/>
      </w:pPr>
      <w:r>
        <w:t>Mobilisation: agree success measures, the scenario inputs listed in section 5, the run plan, and a RAID log; begin accreditation work immediately.</w:t>
      </w:r>
    </w:p>
    <w:p>
      <w:pPr>
        <w:pStyle w:val="ListNumber"/>
      </w:pPr>
      <w:r>
        <w:t>Phase 1 live.</w:t>
      </w:r>
    </w:p>
    <w:p>
      <w:r>
        <w:t>Target start: late October 2026, or earlier subject to onboarding and procurement.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