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line="360" w:lineRule="auto"/>
        <w:jc w:val="center"/>
      </w:pPr>
      <w:r>
        <w:rPr>
          <w:rFonts w:ascii="Times New Roman" w:cs="Times New Roman" w:eastAsia="Times New Roman" w:hAnsi="Times New Roman"/>
          <w:b/>
          <w:bCs/>
          <w:sz w:val="32"/>
          <w:szCs w:val="32"/>
        </w:rPr>
        <w:t xml:space="preserve">PROJECT BASED LEARNING (PBL-4)</w:t>
      </w:r>
    </w:p>
    <w:p>
      <w:pPr>
        <w:spacing w:after="200" w:line="360" w:lineRule="auto"/>
        <w:jc w:val="center"/>
      </w:pPr>
      <w:r>
        <w:rPr>
          <w:rFonts w:ascii="Times New Roman" w:cs="Times New Roman" w:eastAsia="Times New Roman" w:hAnsi="Times New Roman"/>
          <w:b/>
          <w:bCs/>
          <w:sz w:val="28"/>
          <w:szCs w:val="28"/>
        </w:rPr>
        <w:t xml:space="preserve">(CSP390)</w:t>
      </w:r>
    </w:p>
    <w:p>
      <w:pPr>
        <w:spacing w:after="400"/>
      </w:pPr>
    </w:p>
    <w:p>
      <w:pPr>
        <w:spacing w:after="200" w:line="360" w:lineRule="auto"/>
        <w:jc w:val="center"/>
      </w:pPr>
      <w:r>
        <w:rPr>
          <w:rFonts w:ascii="Times New Roman" w:cs="Times New Roman" w:eastAsia="Times New Roman" w:hAnsi="Times New Roman"/>
          <w:b/>
          <w:bCs/>
          <w:sz w:val="30"/>
          <w:szCs w:val="30"/>
        </w:rPr>
        <w:t xml:space="preserve">Renewable Energy Grid Simulator:</w:t>
      </w:r>
    </w:p>
    <w:p>
      <w:pPr>
        <w:spacing w:after="200" w:line="360" w:lineRule="auto"/>
        <w:jc w:val="center"/>
      </w:pPr>
      <w:r>
        <w:rPr>
          <w:rFonts w:ascii="Times New Roman" w:cs="Times New Roman" w:eastAsia="Times New Roman" w:hAnsi="Times New Roman"/>
          <w:b/>
          <w:bCs/>
          <w:sz w:val="30"/>
          <w:szCs w:val="30"/>
        </w:rPr>
        <w:t xml:space="preserve">Forecast-Driven Battery Dispatch for a Solar-Wind Microgrid</w:t>
      </w:r>
    </w:p>
    <w:p>
      <w:pPr>
        <w:spacing w:after="600"/>
      </w:pPr>
    </w:p>
    <w:p>
      <w:pPr>
        <w:spacing w:after="200" w:line="360" w:lineRule="auto"/>
        <w:jc w:val="center"/>
      </w:pPr>
      <w:r>
        <w:rPr>
          <w:rFonts w:ascii="Times New Roman" w:cs="Times New Roman" w:eastAsia="Times New Roman" w:hAnsi="Times New Roman"/>
          <w:sz w:val="24"/>
          <w:szCs w:val="24"/>
        </w:rPr>
        <w:t xml:space="preserve">B.TECH 3rd YEAR</w:t>
      </w:r>
    </w:p>
    <w:p>
      <w:pPr>
        <w:spacing w:after="200" w:line="360" w:lineRule="auto"/>
        <w:jc w:val="center"/>
      </w:pPr>
      <w:r>
        <w:rPr>
          <w:rFonts w:ascii="Times New Roman" w:cs="Times New Roman" w:eastAsia="Times New Roman" w:hAnsi="Times New Roman"/>
          <w:sz w:val="24"/>
          <w:szCs w:val="24"/>
        </w:rPr>
        <w:t xml:space="preserve">SEMESTER: VI</w:t>
      </w:r>
    </w:p>
    <w:p>
      <w:pPr>
        <w:spacing w:after="200" w:line="360" w:lineRule="auto"/>
        <w:jc w:val="center"/>
      </w:pPr>
      <w:r>
        <w:rPr>
          <w:rFonts w:ascii="Times New Roman" w:cs="Times New Roman" w:eastAsia="Times New Roman" w:hAnsi="Times New Roman"/>
          <w:sz w:val="24"/>
          <w:szCs w:val="24"/>
        </w:rPr>
        <w:t xml:space="preserve">SESSION: 2025-2026</w:t>
      </w:r>
    </w:p>
    <w:p>
      <w:pPr>
        <w:spacing w:after="400"/>
      </w:pPr>
    </w:p>
    <w:p>
      <w:pPr>
        <w:spacing w:after="200" w:line="360" w:lineRule="auto"/>
        <w:jc w:val="center"/>
      </w:pPr>
      <w:r>
        <w:rPr>
          <w:rFonts w:ascii="Times New Roman" w:cs="Times New Roman" w:eastAsia="Times New Roman" w:hAnsi="Times New Roman"/>
          <w:b/>
          <w:bCs/>
          <w:sz w:val="24"/>
          <w:szCs w:val="24"/>
        </w:rPr>
        <w:t xml:space="preserve">Submitted By:</w:t>
      </w:r>
    </w:p>
    <w:p>
      <w:pPr>
        <w:spacing w:after="200" w:line="360" w:lineRule="auto"/>
        <w:jc w:val="center"/>
      </w:pPr>
      <w:r>
        <w:rPr>
          <w:rFonts w:ascii="Times New Roman" w:cs="Times New Roman" w:eastAsia="Times New Roman" w:hAnsi="Times New Roman"/>
          <w:sz w:val="24"/>
          <w:szCs w:val="24"/>
        </w:rPr>
        <w:t xml:space="preserve">Adwaith S Dev (2024418186)</w:t>
      </w:r>
    </w:p>
    <w:p>
      <w:pPr>
        <w:spacing w:after="200" w:line="360" w:lineRule="auto"/>
        <w:jc w:val="center"/>
      </w:pPr>
      <w:r>
        <w:rPr>
          <w:rFonts w:ascii="Times New Roman" w:cs="Times New Roman" w:eastAsia="Times New Roman" w:hAnsi="Times New Roman"/>
          <w:sz w:val="24"/>
          <w:szCs w:val="24"/>
        </w:rPr>
        <w:t xml:space="preserve">Gaurav Rustagi (2024519071)</w:t>
      </w:r>
    </w:p>
    <w:p>
      <w:pPr>
        <w:spacing w:after="200"/>
      </w:pPr>
    </w:p>
    <w:p>
      <w:pPr>
        <w:spacing w:after="200" w:line="360" w:lineRule="auto"/>
        <w:jc w:val="center"/>
      </w:pPr>
      <w:r>
        <w:rPr>
          <w:rFonts w:ascii="Times New Roman" w:cs="Times New Roman" w:eastAsia="Times New Roman" w:hAnsi="Times New Roman"/>
          <w:i/>
          <w:iCs/>
          <w:sz w:val="24"/>
          <w:szCs w:val="24"/>
        </w:rPr>
        <w:t xml:space="preserve">B.Tech in Information Technology</w:t>
      </w:r>
    </w:p>
    <w:p>
      <w:pPr>
        <w:spacing w:after="400"/>
      </w:pPr>
    </w:p>
    <w:p>
      <w:pPr>
        <w:spacing w:after="200" w:line="360" w:lineRule="auto"/>
        <w:jc w:val="center"/>
      </w:pPr>
      <w:r>
        <w:rPr>
          <w:rFonts w:ascii="Times New Roman" w:cs="Times New Roman" w:eastAsia="Times New Roman" w:hAnsi="Times New Roman"/>
          <w:b/>
          <w:bCs/>
          <w:sz w:val="24"/>
          <w:szCs w:val="24"/>
        </w:rPr>
        <w:t xml:space="preserve">Submitted to</w:t>
      </w:r>
    </w:p>
    <w:p>
      <w:pPr>
        <w:spacing w:after="200" w:line="360" w:lineRule="auto"/>
        <w:jc w:val="center"/>
      </w:pPr>
      <w:r>
        <w:rPr>
          <w:rFonts w:ascii="Times New Roman" w:cs="Times New Roman" w:eastAsia="Times New Roman" w:hAnsi="Times New Roman"/>
          <w:sz w:val="24"/>
          <w:szCs w:val="24"/>
        </w:rPr>
        <w:t xml:space="preserve">Dr. Virendra Kumar</w:t>
      </w:r>
    </w:p>
    <w:p>
      <w:pPr>
        <w:spacing w:after="200" w:line="360" w:lineRule="auto"/>
        <w:jc w:val="center"/>
      </w:pPr>
      <w:r>
        <w:rPr>
          <w:rFonts w:ascii="Times New Roman" w:cs="Times New Roman" w:eastAsia="Times New Roman" w:hAnsi="Times New Roman"/>
          <w:sz w:val="24"/>
          <w:szCs w:val="24"/>
        </w:rPr>
        <w:t xml:space="preserve">Assistant Professor</w:t>
      </w:r>
    </w:p>
    <w:p>
      <w:pPr>
        <w:spacing w:after="200" w:line="360" w:lineRule="auto"/>
        <w:jc w:val="center"/>
      </w:pPr>
      <w:r>
        <w:rPr>
          <w:rFonts w:ascii="Times New Roman" w:cs="Times New Roman" w:eastAsia="Times New Roman" w:hAnsi="Times New Roman"/>
          <w:sz w:val="24"/>
          <w:szCs w:val="24"/>
        </w:rPr>
        <w:t xml:space="preserve">Computer Science &amp; Applications</w:t>
      </w:r>
    </w:p>
    <w:p>
      <w:pPr>
        <w:spacing w:after="200" w:line="360" w:lineRule="auto"/>
        <w:jc w:val="center"/>
      </w:pPr>
      <w:r>
        <w:rPr>
          <w:rFonts w:ascii="Times New Roman" w:cs="Times New Roman" w:eastAsia="Times New Roman" w:hAnsi="Times New Roman"/>
          <w:sz w:val="24"/>
          <w:szCs w:val="24"/>
        </w:rPr>
        <w:t xml:space="preserve">Sharda School of Computing Science &amp; Engineering</w:t>
      </w:r>
    </w:p>
    <w:p>
      <w:pPr>
        <w:spacing w:after="600"/>
      </w:pPr>
    </w:p>
    <w:p>
      <w:pPr>
        <w:spacing w:after="200" w:line="360" w:lineRule="auto"/>
        <w:jc w:val="center"/>
      </w:pPr>
      <w:r>
        <w:rPr>
          <w:rFonts w:ascii="Times New Roman" w:cs="Times New Roman" w:eastAsia="Times New Roman" w:hAnsi="Times New Roman"/>
          <w:b/>
          <w:bCs/>
          <w:sz w:val="24"/>
          <w:szCs w:val="24"/>
        </w:rPr>
        <w:t xml:space="preserve">DEPARTMENT OF COMPUTER SCIENCE &amp; APPLICATIONS</w:t>
      </w:r>
    </w:p>
    <w:p>
      <w:pPr>
        <w:spacing w:after="200" w:line="360" w:lineRule="auto"/>
        <w:jc w:val="center"/>
      </w:pPr>
      <w:r>
        <w:rPr>
          <w:rFonts w:ascii="Times New Roman" w:cs="Times New Roman" w:eastAsia="Times New Roman" w:hAnsi="Times New Roman"/>
          <w:b/>
          <w:bCs/>
          <w:sz w:val="24"/>
          <w:szCs w:val="24"/>
        </w:rPr>
        <w:t xml:space="preserve">SHARDA SCHOOL OF COMPUTING SCIENCE &amp; ENGINEERING</w:t>
      </w:r>
    </w:p>
    <w:p>
      <w:pPr>
        <w:spacing w:after="200" w:line="360" w:lineRule="auto"/>
        <w:jc w:val="center"/>
      </w:pPr>
      <w:r>
        <w:rPr>
          <w:rFonts w:ascii="Times New Roman" w:cs="Times New Roman" w:eastAsia="Times New Roman" w:hAnsi="Times New Roman"/>
          <w:b/>
          <w:bCs/>
          <w:sz w:val="24"/>
          <w:szCs w:val="24"/>
        </w:rPr>
        <w:t xml:space="preserve">SHARDA UNIVERSITY, GREATER NOIDA</w:t>
      </w:r>
    </w:p>
    <w:p>
      <w:pPr>
        <w:pageBreakBefore/>
        <w:spacing w:after="300"/>
        <w:jc w:val="center"/>
      </w:pPr>
      <w:r>
        <w:rPr>
          <w:rFonts w:ascii="Times New Roman" w:cs="Times New Roman" w:eastAsia="Times New Roman" w:hAnsi="Times New Roman"/>
          <w:b/>
          <w:bCs/>
          <w:sz w:val="28"/>
          <w:szCs w:val="28"/>
        </w:rPr>
        <w:t xml:space="preserve">DECLARATION OF THE STUDENT</w:t>
      </w:r>
    </w:p>
    <w:p>
      <w:pPr>
        <w:spacing w:after="200" w:line="360" w:lineRule="auto"/>
        <w:jc w:val="both"/>
      </w:pPr>
      <w:r>
        <w:rPr>
          <w:rFonts w:ascii="Times New Roman" w:cs="Times New Roman" w:eastAsia="Times New Roman" w:hAnsi="Times New Roman"/>
          <w:sz w:val="24"/>
          <w:szCs w:val="24"/>
        </w:rPr>
        <w:t xml:space="preserve">We hereby declare that the project work entitled "Renewable Energy Grid Simulator: Forecast-Driven Battery Dispatch for a Solar-Wind Microgrid" is an outcome of our own efforts. This work has been carried out under the supervision of Dr. Virendra Kumar, Assistant Professor, Department of Computer Science &amp; Applications.</w:t>
      </w:r>
    </w:p>
    <w:p>
      <w:pPr>
        <w:spacing w:after="200" w:line="360" w:lineRule="auto"/>
        <w:jc w:val="both"/>
      </w:pPr>
      <w:r>
        <w:rPr>
          <w:rFonts w:ascii="Times New Roman" w:cs="Times New Roman" w:eastAsia="Times New Roman" w:hAnsi="Times New Roman"/>
          <w:sz w:val="24"/>
          <w:szCs w:val="24"/>
        </w:rPr>
        <w:t xml:space="preserve">We affirm that the content of this project represents our original work, ideas, and findings. It has been prepared with sincerity, dedication, and academic integrity. The data, results, and conclusions presented in this report are authentic to the best of our knowledge.</w:t>
      </w:r>
    </w:p>
    <w:p>
      <w:pPr>
        <w:spacing w:after="200" w:line="360" w:lineRule="auto"/>
        <w:jc w:val="both"/>
      </w:pPr>
      <w:r>
        <w:rPr>
          <w:rFonts w:ascii="Times New Roman" w:cs="Times New Roman" w:eastAsia="Times New Roman" w:hAnsi="Times New Roman"/>
          <w:sz w:val="24"/>
          <w:szCs w:val="24"/>
        </w:rPr>
        <w:t xml:space="preserve">The project is submitted to Sharda University as part of the academic requirements for the Project-Based Learning-4 (PBL-4) course of the Bachelor of Technology in Information Technology for the academic year 2025-26. We also declare that this project report has not been submitted previously to any other university or institution for any academic purpose.</w:t>
      </w:r>
    </w:p>
    <w:p>
      <w:pPr>
        <w:spacing w:after="400"/>
      </w:pPr>
    </w:p>
    <w:p>
      <w:pPr>
        <w:spacing w:after="200" w:line="360" w:lineRule="auto"/>
        <w:jc w:val="left"/>
      </w:pPr>
      <w:r>
        <w:rPr>
          <w:rFonts w:ascii="Times New Roman" w:cs="Times New Roman" w:eastAsia="Times New Roman" w:hAnsi="Times New Roman"/>
          <w:sz w:val="24"/>
          <w:szCs w:val="24"/>
        </w:rPr>
        <w:t xml:space="preserve">Name: Adwaith S Dev</w:t>
      </w:r>
    </w:p>
    <w:p>
      <w:pPr>
        <w:spacing w:after="200" w:line="360" w:lineRule="auto"/>
        <w:jc w:val="left"/>
      </w:pPr>
      <w:r>
        <w:rPr>
          <w:rFonts w:ascii="Times New Roman" w:cs="Times New Roman" w:eastAsia="Times New Roman" w:hAnsi="Times New Roman"/>
          <w:sz w:val="24"/>
          <w:szCs w:val="24"/>
        </w:rPr>
        <w:t xml:space="preserve">System ID: 2024418186</w:t>
      </w:r>
    </w:p>
    <w:p>
      <w:pPr>
        <w:spacing w:after="200"/>
      </w:pPr>
    </w:p>
    <w:p>
      <w:pPr>
        <w:spacing w:after="200" w:line="360" w:lineRule="auto"/>
        <w:jc w:val="left"/>
      </w:pPr>
      <w:r>
        <w:rPr>
          <w:rFonts w:ascii="Times New Roman" w:cs="Times New Roman" w:eastAsia="Times New Roman" w:hAnsi="Times New Roman"/>
          <w:sz w:val="24"/>
          <w:szCs w:val="24"/>
        </w:rPr>
        <w:t xml:space="preserve">Name: Gaurav Rustagi</w:t>
      </w:r>
    </w:p>
    <w:p>
      <w:pPr>
        <w:spacing w:after="200" w:line="360" w:lineRule="auto"/>
        <w:jc w:val="left"/>
      </w:pPr>
      <w:r>
        <w:rPr>
          <w:rFonts w:ascii="Times New Roman" w:cs="Times New Roman" w:eastAsia="Times New Roman" w:hAnsi="Times New Roman"/>
          <w:sz w:val="24"/>
          <w:szCs w:val="24"/>
        </w:rPr>
        <w:t xml:space="preserve">System ID: 2024519071</w:t>
      </w:r>
    </w:p>
    <w:p>
      <w:pPr>
        <w:pageBreakBefore/>
        <w:spacing w:after="300"/>
        <w:jc w:val="center"/>
      </w:pPr>
      <w:r>
        <w:rPr>
          <w:rFonts w:ascii="Times New Roman" w:cs="Times New Roman" w:eastAsia="Times New Roman" w:hAnsi="Times New Roman"/>
          <w:b/>
          <w:bCs/>
          <w:sz w:val="28"/>
          <w:szCs w:val="28"/>
        </w:rPr>
        <w:t xml:space="preserve">CERTIFICATE</w:t>
      </w:r>
    </w:p>
    <w:p>
      <w:pPr>
        <w:spacing w:after="200" w:line="360" w:lineRule="auto"/>
        <w:jc w:val="both"/>
      </w:pPr>
      <w:r>
        <w:rPr>
          <w:rFonts w:ascii="Times New Roman" w:cs="Times New Roman" w:eastAsia="Times New Roman" w:hAnsi="Times New Roman"/>
          <w:sz w:val="24"/>
          <w:szCs w:val="24"/>
        </w:rPr>
        <w:t xml:space="preserve">This is to certify that Adwaith S Dev (2024418186) and Gaurav Rustagi (2024519071), students of Sharda University, have successfully completed the Project-Based Learning (PBL IV) work entitled "Renewable Energy Grid Simulator: Forecast-Driven Battery Dispatch for a Solar-Wind Microgrid" in partial fulfilment of the requirements for the Bachelor of Technology in Information Technology degree examination for the academic year 2025-2026 under Sharda University.</w:t>
      </w:r>
    </w:p>
    <w:p>
      <w:pPr>
        <w:spacing w:after="200" w:line="360" w:lineRule="auto"/>
        <w:jc w:val="both"/>
      </w:pPr>
      <w:r>
        <w:rPr>
          <w:rFonts w:ascii="Times New Roman" w:cs="Times New Roman" w:eastAsia="Times New Roman" w:hAnsi="Times New Roman"/>
          <w:sz w:val="24"/>
          <w:szCs w:val="24"/>
        </w:rPr>
        <w:t xml:space="preserve">We further certify that the contents of this project report are an authentic record of the work completed by the above students during the academic period 2025-2026 and that the work has not been submitted to any other university or institution for the award of any degree or diploma.</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80"/>
            </w:pPr>
            <w:r>
              <w:rPr>
                <w:rFonts w:ascii="Times New Roman" w:cs="Times New Roman" w:eastAsia="Times New Roman" w:hAnsi="Times New Roman"/>
                <w:sz w:val="24"/>
                <w:szCs w:val="24"/>
              </w:rPr>
              <w:t xml:space="preserve">Dr. Virendra Kumar</w:t>
            </w:r>
          </w:p>
          <w:p>
            <w:pPr>
              <w:spacing w:after="80"/>
            </w:pPr>
            <w:r>
              <w:rPr>
                <w:rFonts w:ascii="Times New Roman" w:cs="Times New Roman" w:eastAsia="Times New Roman" w:hAnsi="Times New Roman"/>
                <w:sz w:val="24"/>
                <w:szCs w:val="24"/>
              </w:rPr>
              <w:t xml:space="preserve">Assistant Professor</w:t>
            </w:r>
          </w:p>
          <w:p>
            <w:pPr>
              <w:spacing w:after="80"/>
            </w:pPr>
            <w:r>
              <w:rPr>
                <w:rFonts w:ascii="Times New Roman" w:cs="Times New Roman" w:eastAsia="Times New Roman" w:hAnsi="Times New Roman"/>
                <w:sz w:val="24"/>
                <w:szCs w:val="24"/>
              </w:rPr>
              <w:t xml:space="preserve">Department of CSA</w:t>
            </w:r>
          </w:p>
        </w:tc>
        <w:tc>
          <w:tcPr>
            <w:tcW w:type="dxa" w:w="4680"/>
            <w:tcBorders>
              <w:top w:val="none"/>
              <w:left w:val="none"/>
              <w:bottom w:val="none"/>
              <w:right w:val="none"/>
            </w:tcBorders>
          </w:tcPr>
          <w:p>
            <w:pPr>
              <w:spacing w:after="80"/>
            </w:pPr>
            <w:r>
              <w:rPr>
                <w:rFonts w:ascii="Times New Roman" w:cs="Times New Roman" w:eastAsia="Times New Roman" w:hAnsi="Times New Roman"/>
                <w:sz w:val="24"/>
                <w:szCs w:val="24"/>
              </w:rPr>
              <w:t xml:space="preserve">Dr. Rajneesh Kumar Singh</w:t>
            </w:r>
          </w:p>
          <w:p>
            <w:pPr>
              <w:spacing w:after="80"/>
            </w:pPr>
            <w:r>
              <w:rPr>
                <w:rFonts w:ascii="Times New Roman" w:cs="Times New Roman" w:eastAsia="Times New Roman" w:hAnsi="Times New Roman"/>
                <w:sz w:val="24"/>
                <w:szCs w:val="24"/>
              </w:rPr>
              <w:t xml:space="preserve">Head of the Department</w:t>
            </w:r>
          </w:p>
          <w:p>
            <w:pPr>
              <w:spacing w:after="80"/>
            </w:pPr>
            <w:r>
              <w:rPr>
                <w:rFonts w:ascii="Times New Roman" w:cs="Times New Roman" w:eastAsia="Times New Roman" w:hAnsi="Times New Roman"/>
                <w:sz w:val="24"/>
                <w:szCs w:val="24"/>
              </w:rPr>
              <w:t xml:space="preserve">Department of CSA</w:t>
            </w:r>
          </w:p>
        </w:tc>
      </w:tr>
    </w:tbl>
    <w:p>
      <w:pPr>
        <w:sectPr>
          <w:footerReference w:type="default" r:id="rId7"/>
          <w:pgSz w:w="12240" w:h="15840" w:orient="portrait"/>
          <w:pgMar w:top="1440" w:right="1440" w:bottom="1440" w:left="1440" w:header="708" w:footer="708" w:gutter="0"/>
          <w:pgNumType w:start="1" w:fmt="decimal"/>
          <w:docGrid w:linePitch="360"/>
        </w:sectPr>
      </w:pPr>
    </w:p>
    <w:p>
      <w:pPr>
        <w:spacing w:after="200" w:line="360" w:lineRule="auto"/>
        <w:jc w:val="center"/>
      </w:pPr>
      <w:r>
        <w:rPr>
          <w:rFonts w:ascii="Times New Roman" w:cs="Times New Roman" w:eastAsia="Times New Roman" w:hAnsi="Times New Roman"/>
          <w:b/>
          <w:bCs/>
          <w:sz w:val="28"/>
          <w:szCs w:val="28"/>
        </w:rPr>
        <w:t xml:space="preserve">ABSTRACT</w:t>
      </w:r>
    </w:p>
    <w:p>
      <w:pPr>
        <w:spacing w:after="200"/>
      </w:pPr>
    </w:p>
    <w:p>
      <w:pPr>
        <w:spacing w:after="200" w:line="360" w:lineRule="auto"/>
        <w:jc w:val="both"/>
      </w:pPr>
      <w:r>
        <w:rPr>
          <w:rFonts w:ascii="Times New Roman" w:cs="Times New Roman" w:eastAsia="Times New Roman" w:hAnsi="Times New Roman"/>
          <w:sz w:val="24"/>
          <w:szCs w:val="24"/>
        </w:rPr>
        <w:t xml:space="preserve">Renewable energy sources such as solar and wind are central to achieving Sustainable Development Goal 7 (Affordable and Clean Energy) and Sustainable Development Goal 13 (Climate Action). But renewable generation is intermittent. Because of this, microgrids continue to rely on fossil-fuel-based backup power, particularly during periods when renewable output does not align with demand. This project, the Renewable Energy Grid Simulator, investigates a specific question: can Artificial Intelligence based demand forecasting improve how a battery-backed microgrid schedules its stored energy, and in doing so reduce dependence on costly and carbon-intensive backup generation?</w:t>
      </w:r>
    </w:p>
    <w:p>
      <w:pPr>
        <w:spacing w:after="200" w:line="360" w:lineRule="auto"/>
        <w:jc w:val="both"/>
      </w:pPr>
      <w:r>
        <w:rPr>
          <w:rFonts w:ascii="Times New Roman" w:cs="Times New Roman" w:eastAsia="Times New Roman" w:hAnsi="Times New Roman"/>
          <w:sz w:val="24"/>
          <w:szCs w:val="24"/>
        </w:rPr>
        <w:t xml:space="preserve">The system models a 5 MW campus or community-scale microgrid: solar photovoltaic generation, wind generation, and a battery energy storage system, all driven by one full year of synthetic hourly data. This data was generated to exhibit realistic patterns, daily double-peak demand curves, weekday and weekend variation, twice-yearly seasonal swings, and weather-correlated noise. A Random Forest regression model is then trained to forecast electricity demand three hours ahead, using lagged demand values, a rolling average, and calendar features. It achieves a 63% reduction in mean absolute error compared to a naive "same hour, previous day" baseline.</w:t>
      </w:r>
    </w:p>
    <w:p>
      <w:pPr>
        <w:spacing w:after="200" w:line="360" w:lineRule="auto"/>
        <w:jc w:val="both"/>
      </w:pPr>
      <w:r>
        <w:rPr>
          <w:rFonts w:ascii="Times New Roman" w:cs="Times New Roman" w:eastAsia="Times New Roman" w:hAnsi="Times New Roman"/>
          <w:sz w:val="24"/>
          <w:szCs w:val="24"/>
        </w:rPr>
        <w:t xml:space="preserve">Two battery dispatch strategies are then compared, using an identical dataset and identical hardware capacities in both cases. The Reactive strategy allows the battery to charge and discharge purely in response to the current hour's supply-demand gap. The Forecast-Driven strategy works differently: it uses the trained model's demand forecast to withhold a portion of battery discharge whenever a larger demand peak is anticipated within the next three hours. Stored energy is preserved for that peak instead of being spent on a smaller, earlier shortfall.</w:t>
      </w:r>
    </w:p>
    <w:p>
      <w:pPr>
        <w:spacing w:after="200" w:line="360" w:lineRule="auto"/>
        <w:jc w:val="both"/>
      </w:pPr>
      <w:r>
        <w:rPr>
          <w:rFonts w:ascii="Times New Roman" w:cs="Times New Roman" w:eastAsia="Times New Roman" w:hAnsi="Times New Roman"/>
          <w:sz w:val="24"/>
          <w:szCs w:val="24"/>
        </w:rPr>
        <w:t xml:space="preserve">An important and non-trivial finding emerged during development. Because renewable-energy capture is identical in both strategies, the total energy the battery can discharge over a full year is fixed regardless of dispatch timing. This means overall renewable energy utilisation cannot differ meaningfully between the two strategies. The genuine advantage of forecast-aware dispatch lies elsewhere, not in how much renewable energy is used, but in when it is used. Time-of-Day electricity tariffs, modelled on real Indian DISCOM practice, price and weight the carbon emissions of backup power more heavily during the evening peak window (18:00-22:00), when costlier and more carbon-intensive diesel-peaker generation is typically activated. Under this realistic tariff structure, the Forecast-Driven strategy demonstrably shifts battery discharge toward that expensive, high-emission window, and shifts fossil-fuel backup use toward the cheaper, cleaner off-peak hours instead. The result is a measurable reduction in both operating cost and CO2 emissions, achieved without any increase in installed renewable capacity.</w:t>
      </w:r>
    </w:p>
    <w:p>
      <w:pPr>
        <w:spacing w:after="200" w:line="360" w:lineRule="auto"/>
        <w:jc w:val="both"/>
      </w:pPr>
      <w:r>
        <w:rPr>
          <w:rFonts w:ascii="Times New Roman" w:cs="Times New Roman" w:eastAsia="Times New Roman" w:hAnsi="Times New Roman"/>
          <w:sz w:val="24"/>
          <w:szCs w:val="24"/>
        </w:rPr>
        <w:t xml:space="preserve">The complete pipeline, synthetic data generation, demand forecasting, dispatch simulation, and an interactive Streamlit-based dashboard, was implemented in Python and deployed as a publicly accessible web application. A user can adjust solar, wind, and battery capacities via sliders and watch the resulting change in renewable utilisation, cost saved, and CO2 avoided, for both dispatch strategies at once, in real time. The system was verified through an automated regression test suite and a boundary stress test covering extreme and zero-value capacity configurations. Taken together, this project demonstrates that Artificial Intelligence based demand forecasting can deliver a genuine, quantifiable improvement in the economic and environmental performance of a renewable microgrid, contributing directly to SDG 7 and SDG 13, even when the raw share of renewable energy used remains largely unchanged.</w:t>
      </w:r>
    </w:p>
    <w:p>
      <w:pPr>
        <w:pageBreakBefore/>
        <w:spacing w:after="300"/>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We would like to express our sincere gratitude to Sharda University for providing us with the opportunity and facilities to carry out this Project-Based Learning-4 (PBL-4) work successfully.</w:t>
      </w:r>
    </w:p>
    <w:p>
      <w:pPr>
        <w:spacing w:after="200" w:line="360" w:lineRule="auto"/>
        <w:jc w:val="both"/>
      </w:pPr>
      <w:r>
        <w:rPr>
          <w:rFonts w:ascii="Times New Roman" w:cs="Times New Roman" w:eastAsia="Times New Roman" w:hAnsi="Times New Roman"/>
          <w:sz w:val="24"/>
          <w:szCs w:val="24"/>
        </w:rPr>
        <w:t xml:space="preserve">We extend our heartfelt thanks to our Project Guide, Dr. Virendra Kumar, Assistant Professor, Department of Computer Science &amp; Applications, for the valuable guidance, constant encouragement, and constructive suggestions provided throughout the course of this project. The support and timely feedback played a crucial role in the successful completion of our work.</w:t>
      </w:r>
    </w:p>
    <w:p>
      <w:pPr>
        <w:spacing w:after="200" w:line="360" w:lineRule="auto"/>
        <w:jc w:val="both"/>
      </w:pPr>
      <w:r>
        <w:rPr>
          <w:rFonts w:ascii="Times New Roman" w:cs="Times New Roman" w:eastAsia="Times New Roman" w:hAnsi="Times New Roman"/>
          <w:sz w:val="24"/>
          <w:szCs w:val="24"/>
        </w:rPr>
        <w:t xml:space="preserve">We are also grateful to the PBL Course Instructor, the PBL Course Coordinator, and the Head of the Department of Computer Science &amp; Applications, Dr. Rajneesh Kumar Singh, for their continuous support and for providing a conducive academic environment.</w:t>
      </w:r>
    </w:p>
    <w:p>
      <w:pPr>
        <w:spacing w:after="200" w:line="360" w:lineRule="auto"/>
        <w:jc w:val="both"/>
      </w:pPr>
      <w:r>
        <w:rPr>
          <w:rFonts w:ascii="Times New Roman" w:cs="Times New Roman" w:eastAsia="Times New Roman" w:hAnsi="Times New Roman"/>
          <w:sz w:val="24"/>
          <w:szCs w:val="24"/>
        </w:rPr>
        <w:t xml:space="preserve">We would like to thank all the faculty members of the Department of Computer Science &amp; Applications for their cooperation and guidance during the academic year.</w:t>
      </w:r>
    </w:p>
    <w:p>
      <w:pPr>
        <w:spacing w:after="200" w:line="360" w:lineRule="auto"/>
        <w:jc w:val="both"/>
      </w:pPr>
      <w:r>
        <w:rPr>
          <w:rFonts w:ascii="Times New Roman" w:cs="Times New Roman" w:eastAsia="Times New Roman" w:hAnsi="Times New Roman"/>
          <w:sz w:val="24"/>
          <w:szCs w:val="24"/>
        </w:rPr>
        <w:t xml:space="preserve">Finally, we express our sincere thanks to our parents, friends, and classmates for their motivation, encouragement, and support, which helped us complete this project successfully.</w:t>
      </w:r>
    </w:p>
    <w:p>
      <w:pPr>
        <w:spacing w:after="400"/>
      </w:pPr>
    </w:p>
    <w:p>
      <w:pPr>
        <w:spacing w:after="200" w:line="360" w:lineRule="auto"/>
        <w:jc w:val="left"/>
      </w:pPr>
      <w:r>
        <w:rPr>
          <w:rFonts w:ascii="Times New Roman" w:cs="Times New Roman" w:eastAsia="Times New Roman" w:hAnsi="Times New Roman"/>
          <w:sz w:val="24"/>
          <w:szCs w:val="24"/>
        </w:rPr>
        <w:t xml:space="preserve">Name: Adwaith S Dev</w:t>
      </w:r>
    </w:p>
    <w:p>
      <w:pPr>
        <w:spacing w:after="200" w:line="360" w:lineRule="auto"/>
        <w:jc w:val="left"/>
      </w:pPr>
      <w:r>
        <w:rPr>
          <w:rFonts w:ascii="Times New Roman" w:cs="Times New Roman" w:eastAsia="Times New Roman" w:hAnsi="Times New Roman"/>
          <w:sz w:val="24"/>
          <w:szCs w:val="24"/>
        </w:rPr>
        <w:t xml:space="preserve">System ID: 2024418186</w:t>
      </w:r>
    </w:p>
    <w:p>
      <w:pPr>
        <w:spacing w:after="200"/>
      </w:pPr>
    </w:p>
    <w:p>
      <w:pPr>
        <w:spacing w:after="200" w:line="360" w:lineRule="auto"/>
        <w:jc w:val="left"/>
      </w:pPr>
      <w:r>
        <w:rPr>
          <w:rFonts w:ascii="Times New Roman" w:cs="Times New Roman" w:eastAsia="Times New Roman" w:hAnsi="Times New Roman"/>
          <w:sz w:val="24"/>
          <w:szCs w:val="24"/>
        </w:rPr>
        <w:t xml:space="preserve">Name: Gaurav Rustagi</w:t>
      </w:r>
    </w:p>
    <w:p>
      <w:pPr>
        <w:spacing w:after="200" w:line="360" w:lineRule="auto"/>
        <w:jc w:val="left"/>
      </w:pPr>
      <w:r>
        <w:rPr>
          <w:rFonts w:ascii="Times New Roman" w:cs="Times New Roman" w:eastAsia="Times New Roman" w:hAnsi="Times New Roman"/>
          <w:sz w:val="24"/>
          <w:szCs w:val="24"/>
        </w:rPr>
        <w:t xml:space="preserve">System ID: 2024519071</w:t>
      </w:r>
    </w:p>
    <w:p>
      <w:pPr>
        <w:sectPr>
          <w:footerReference w:type="default" r:id="rId8"/>
          <w:type w:val="nextPage"/>
          <w:pgSz w:w="12240" w:h="15840" w:orient="portrait"/>
          <w:pgMar w:top="1440" w:right="1440" w:bottom="1440" w:left="1440" w:header="708" w:footer="708" w:gutter="0"/>
          <w:pgNumType w:start="1" w:fmt="lowerRoman"/>
          <w:docGrid w:linePitch="360"/>
        </w:sectPr>
      </w:pPr>
    </w:p>
    <w:p>
      <w:pPr>
        <w:pStyle w:val="Heading1"/>
        <w:pageBreakBefore/>
        <w:spacing w:after="60" w:before="0"/>
        <w:jc w:val="center"/>
      </w:pPr>
      <w:r>
        <w:rPr>
          <w:rFonts w:ascii="Times New Roman" w:cs="Times New Roman" w:eastAsia="Times New Roman" w:hAnsi="Times New Roman"/>
          <w:b/>
          <w:bCs/>
          <w:sz w:val="28"/>
          <w:szCs w:val="28"/>
        </w:rPr>
        <w:t xml:space="preserve">CHAPTER 1</w:t>
      </w:r>
    </w:p>
    <w:p>
      <w:pPr>
        <w:spacing w:after="300" w:before="0"/>
        <w:jc w:val="center"/>
      </w:pPr>
      <w:r>
        <w:rPr>
          <w:rFonts w:ascii="Times New Roman" w:cs="Times New Roman" w:eastAsia="Times New Roman" w:hAnsi="Times New Roman"/>
          <w:b/>
          <w:bCs/>
          <w:sz w:val="28"/>
          <w:szCs w:val="28"/>
        </w:rPr>
        <w:t xml:space="preserve">INTRODUCTION</w:t>
      </w:r>
    </w:p>
    <w:p>
      <w:pPr>
        <w:spacing w:after="200" w:line="360" w:lineRule="auto"/>
        <w:jc w:val="both"/>
      </w:pPr>
      <w:r>
        <w:rPr>
          <w:rFonts w:ascii="Times New Roman" w:cs="Times New Roman" w:eastAsia="Times New Roman" w:hAnsi="Times New Roman"/>
          <w:sz w:val="24"/>
          <w:szCs w:val="24"/>
        </w:rPr>
        <w:t xml:space="preserve">Access to reliable and affordable electricity remains a global development priority, formally recognised as Sustainable Development Goal 7 (Affordable and Clean Energy). The urgency of reducing greenhouse gas emissions, meanwhile, is captured by Sustainable Development Goal 13 (Climate Action). Microgrids that combine solar photovoltaic generation, wind generation, and battery energy storage are increasingly deployed at the scale of college campuses, industrial parks, and small communities as a practical route toward both goals. But installing renewable generation and a battery does not automatically guarantee the best possible outcome. How the battery is scheduled, that is, when it is charged and when it is discharged, has a direct bearing on how much fossil-fuel backup power a microgrid still needs, and when that backup power is drawn. This project, the Renewable Energy Grid Simulator, was undertaken to build and rigorously test a working system that answers one specific, previously open question: does giving a battery dispatch controller the ability to anticipate future demand, using an Artificial Intelligence forecasting model, produce a measurably better outcome than a controller that can only react to the present moment?</w:t>
      </w:r>
    </w:p>
    <w:p>
      <w:pPr>
        <w:spacing w:after="140" w:before="260"/>
      </w:pPr>
      <w:r>
        <w:rPr>
          <w:rFonts w:ascii="Times New Roman" w:cs="Times New Roman" w:eastAsia="Times New Roman" w:hAnsi="Times New Roman"/>
          <w:b/>
          <w:bCs/>
          <w:sz w:val="24"/>
          <w:szCs w:val="24"/>
        </w:rPr>
        <w:t xml:space="preserve">1.1 BACKGROUND</w:t>
      </w:r>
    </w:p>
    <w:p>
      <w:pPr>
        <w:spacing w:after="200" w:line="360" w:lineRule="auto"/>
        <w:jc w:val="both"/>
      </w:pPr>
      <w:r>
        <w:rPr>
          <w:rFonts w:ascii="Times New Roman" w:cs="Times New Roman" w:eastAsia="Times New Roman" w:hAnsi="Times New Roman"/>
          <w:sz w:val="24"/>
          <w:szCs w:val="24"/>
        </w:rPr>
        <w:t xml:space="preserve">Solar and wind generation are inherently intermittent and weather-dependent. Their output rarely coincides exactly with when electricity demand actually occurs. Solar generation, for instance, peaks around midday, while residential and campus demand typically peaks in the evening. A battery energy storage system is the standard engineering answer to this mismatch: it stores surplus renewable energy when it is abundant and releases it when it is needed. In most existing small-scale deployments, however, the battery is operated reactively. It charges whenever there is a surplus and discharges whenever there is a shortfall, using only the current hour's information, nothing more. Separately, electricity tariffs in India, as set by Distribution Companies (DISCOMs), commonly follow a Time-of-Day (ToD) structure. Power drawn during the evening peak window is both more expensive and more carbon-intensive than power drawn at other times, because utilities activate costlier, less efficient peaker generation, typically diesel or gas, specifically to meet that evening peak. These two facts, that demand and renewable supply are often out of phase, and that not all hours of backup power carry the same cost or emissions burden, are the starting point for this project.</w:t>
      </w:r>
    </w:p>
    <w:p>
      <w:pPr>
        <w:spacing w:after="140" w:before="260"/>
      </w:pPr>
      <w:r>
        <w:rPr>
          <w:rFonts w:ascii="Times New Roman" w:cs="Times New Roman" w:eastAsia="Times New Roman" w:hAnsi="Times New Roman"/>
          <w:b/>
          <w:bCs/>
          <w:sz w:val="24"/>
          <w:szCs w:val="24"/>
        </w:rPr>
        <w:t xml:space="preserve">1.2 PROBLEM STATEMENT</w:t>
      </w:r>
    </w:p>
    <w:p>
      <w:pPr>
        <w:spacing w:after="200" w:line="360" w:lineRule="auto"/>
        <w:jc w:val="both"/>
      </w:pPr>
      <w:r>
        <w:rPr>
          <w:rFonts w:ascii="Times New Roman" w:cs="Times New Roman" w:eastAsia="Times New Roman" w:hAnsi="Times New Roman"/>
          <w:sz w:val="24"/>
          <w:szCs w:val="24"/>
        </w:rPr>
        <w:t xml:space="preserve">A microgrid's battery has finite energy and power capacity. Every unit of stored energy it can discharge is fixed once its capacity and the available renewable surplus are known. A purely reactive dispatch strategy spends this fixed budget on whichever shortfall occurs first, with no regard for whether a larger, more consequential shortfall is still to come later in the day. This raises a concrete engineering question: can a demand-forecasting model inform battery dispatch decisions in a way that produces a genuine, measurable improvement over reactive dispatch, using the exact same renewable and battery hardware? And if such an improvement exists, where does it actually show up: in the total renewable energy used, in the cost of operating the microgrid, or in its carbon emissions?</w:t>
      </w:r>
    </w:p>
    <w:p>
      <w:pPr>
        <w:spacing w:after="140" w:before="260"/>
      </w:pPr>
      <w:r>
        <w:rPr>
          <w:rFonts w:ascii="Times New Roman" w:cs="Times New Roman" w:eastAsia="Times New Roman" w:hAnsi="Times New Roman"/>
          <w:b/>
          <w:bCs/>
          <w:sz w:val="24"/>
          <w:szCs w:val="24"/>
        </w:rPr>
        <w:t xml:space="preserve">1.3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generate a realistic, full year of synthetic hourly demand, solar generation, and wind generation data for a campus-scale microgrid, exhibiting genuine daily, weekly, and seasonal patterns.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train, and evaluate a machine learning model capable of forecasting electricity demand three hours ahead, and to benchmark its accuracy against a naive baseline forecast.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and implement a battery dispatch simulation engine capable of running two distinct strategies, Reactive and Forecast-Driven, over the same year of data and the same hardware capacities.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determine, honestly and through direct experimentation, whether and how the Forecast-Driven strategy actually outperforms the Reactive strategy, and to explain the underlying reason for any observed difference.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build an interactive web-based dashboard that allows a user to adjust microgrid capacity parameters and compare both dispatch strategies in real time.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deploy the completed system as a publicly accessible web application and verify it through an automated test suite.</w:t>
      </w:r>
    </w:p>
    <w:p>
      <w:pPr>
        <w:spacing w:after="140" w:before="260"/>
      </w:pPr>
      <w:r>
        <w:rPr>
          <w:rFonts w:ascii="Times New Roman" w:cs="Times New Roman" w:eastAsia="Times New Roman" w:hAnsi="Times New Roman"/>
          <w:b/>
          <w:bCs/>
          <w:sz w:val="24"/>
          <w:szCs w:val="24"/>
        </w:rPr>
        <w:t xml:space="preserve">1.4 SCOPE</w:t>
      </w:r>
    </w:p>
    <w:p>
      <w:pPr>
        <w:spacing w:after="200" w:line="360" w:lineRule="auto"/>
        <w:jc w:val="both"/>
      </w:pPr>
      <w:r>
        <w:rPr>
          <w:rFonts w:ascii="Times New Roman" w:cs="Times New Roman" w:eastAsia="Times New Roman" w:hAnsi="Times New Roman"/>
          <w:sz w:val="24"/>
          <w:szCs w:val="24"/>
        </w:rPr>
        <w:t xml:space="preserve">The project is limited to a simulated, single-node microgrid. It does not model a multi-node distribution network, real-time hardware control, or an actual physical battery and inverter installation. Demand, solar, and wind data are synthetically generated rather than sourced from a live utility feed, a deliberate choice made so that the system's behaviour is fully reproducible and does not depend on external data availability. The forecasting horizon is limited to three hours ahead. Cost and carbon emission figures are illustrative, based on published Time-of-Day tariff structures and standard emission factors, rather than an audited financial or environmental assessment. The system is intended as a decision-support and demonstration tool, not a certified engineering design for an actual microgrid installation.</w:t>
      </w:r>
    </w:p>
    <w:p>
      <w:pPr>
        <w:pStyle w:val="Heading1"/>
        <w:pageBreakBefore/>
        <w:spacing w:after="60" w:before="0"/>
        <w:jc w:val="center"/>
      </w:pPr>
      <w:r>
        <w:rPr>
          <w:rFonts w:ascii="Times New Roman" w:cs="Times New Roman" w:eastAsia="Times New Roman" w:hAnsi="Times New Roman"/>
          <w:b/>
          <w:bCs/>
          <w:sz w:val="28"/>
          <w:szCs w:val="28"/>
        </w:rPr>
        <w:t xml:space="preserve">CHAPTER 2</w:t>
      </w:r>
    </w:p>
    <w:p>
      <w:pPr>
        <w:spacing w:after="300" w:before="0"/>
        <w:jc w:val="center"/>
      </w:pPr>
      <w:r>
        <w:rPr>
          <w:rFonts w:ascii="Times New Roman" w:cs="Times New Roman" w:eastAsia="Times New Roman" w:hAnsi="Times New Roman"/>
          <w:b/>
          <w:bCs/>
          <w:sz w:val="28"/>
          <w:szCs w:val="28"/>
        </w:rPr>
        <w:t xml:space="preserve">LITERATURE REVIEW</w:t>
      </w:r>
    </w:p>
    <w:p>
      <w:pPr>
        <w:spacing w:after="200" w:line="360" w:lineRule="auto"/>
        <w:jc w:val="both"/>
      </w:pPr>
      <w:r>
        <w:rPr>
          <w:rFonts w:ascii="Times New Roman" w:cs="Times New Roman" w:eastAsia="Times New Roman" w:hAnsi="Times New Roman"/>
          <w:sz w:val="24"/>
          <w:szCs w:val="24"/>
        </w:rPr>
        <w:t xml:space="preserve">A substantial and growing body of research addresses the application of machine learning to demand forecasting and battery scheduling in renewable microgrids. This chapter reviews representative work in three areas directly relevant to this project: machine learning based load and generation forecasting, ensemble tree methods specifically applied to short-term load forecasting, and the effect of time-varying electricity tariffs and emission factors on optimal battery scheduling.</w:t>
      </w:r>
    </w:p>
    <w:p>
      <w:pPr>
        <w:spacing w:after="140" w:before="260"/>
      </w:pPr>
      <w:r>
        <w:rPr>
          <w:rFonts w:ascii="Times New Roman" w:cs="Times New Roman" w:eastAsia="Times New Roman" w:hAnsi="Times New Roman"/>
          <w:b/>
          <w:bCs/>
          <w:sz w:val="24"/>
          <w:szCs w:val="24"/>
        </w:rPr>
        <w:t xml:space="preserve">2.1 REVIEW OF EXISTING WORKS</w:t>
      </w:r>
    </w:p>
    <w:p>
      <w:pPr>
        <w:spacing w:after="200" w:line="360" w:lineRule="auto"/>
        <w:jc w:val="both"/>
      </w:pPr>
      <w:r>
        <w:rPr>
          <w:rFonts w:ascii="Times New Roman" w:cs="Times New Roman" w:eastAsia="Times New Roman" w:hAnsi="Times New Roman"/>
          <w:sz w:val="24"/>
          <w:szCs w:val="24"/>
        </w:rPr>
        <w:t xml:space="preserve">Singh et al. (2024) developed a machine learning based energy management framework for grid-connected microgrids with multiple distributed energy sources. Their framework applies forecasting models to both load and renewable generation to inform dispatch decisions. They reported that incorporating forecasting substantially improved the reliability and efficiency of the modelled microgrid's energy management. Sajjadi et al. (2025) took a different approach, proposing a digital-twin-integrated microgrid framework that combines deep learning forecasting with reinforcement-learning-based battery control. They demonstrated that a forecasting-informed controller can adapt more effectively to variable renewable output than a controller without forecasting capability. On the narrower question of which machine learning algorithm to actually use for load forecasting, Lahouar and Ben Hadj Slama (2015) applied a random forest regression model to day-ahead load forecasting with expert-guided feature selection. They found that random forest models, being ensemble methods that combine many decision trees, capture the seasonal and cyclical structure of electricity demand with high accuracy while remaining comparatively simple to train and tune. This finding is directly relevant to the choice of forecasting algorithm made in this project.</w:t>
      </w:r>
    </w:p>
    <w:p>
      <w:pPr>
        <w:spacing w:after="200" w:line="360" w:lineRule="auto"/>
        <w:jc w:val="both"/>
      </w:pPr>
      <w:r>
        <w:rPr>
          <w:rFonts w:ascii="Times New Roman" w:cs="Times New Roman" w:eastAsia="Times New Roman" w:hAnsi="Times New Roman"/>
          <w:sz w:val="24"/>
          <w:szCs w:val="24"/>
        </w:rPr>
        <w:t xml:space="preserve">On the question of how a battery should actually be scheduled once a forecast is available, Olivieri (2017) formulated and evaluated battery energy storage scheduling models under dynamic, time-varying electricity prices. The models were optimised explicitly for cost, for carbon emissions, and for a combination of both. Olivieri found that scheduling strategies aware of when electricity is priced or carbon-intensive differently across the day produce measurably better cost and emissions outcomes than strategies that are blind to this timing. Jha et al. (2020) proposed something similar, an emission-aware energy storage scheduling algorithm. They demonstrated that scheduling battery discharge to specifically avoid high-emission periods of the electricity grid can achieve a meaningful reduction in total emissions, even without increasing battery size. This finding closely parallels the time-of-day tariff mechanism used in this project's own simulation engine.</w:t>
      </w:r>
    </w:p>
    <w:p>
      <w:pPr>
        <w:spacing w:after="140" w:before="260"/>
      </w:pPr>
      <w:r>
        <w:rPr>
          <w:rFonts w:ascii="Times New Roman" w:cs="Times New Roman" w:eastAsia="Times New Roman" w:hAnsi="Times New Roman"/>
          <w:b/>
          <w:bCs/>
          <w:sz w:val="24"/>
          <w:szCs w:val="24"/>
        </w:rPr>
        <w:t xml:space="preserve">2.2 IDENTIFIED RESEARCH GAPS / KEY FINDINGS</w:t>
      </w:r>
    </w:p>
    <w:p>
      <w:pPr>
        <w:spacing w:after="200" w:line="360" w:lineRule="auto"/>
        <w:jc w:val="both"/>
      </w:pPr>
      <w:r>
        <w:rPr>
          <w:rFonts w:ascii="Times New Roman" w:cs="Times New Roman" w:eastAsia="Times New Roman" w:hAnsi="Times New Roman"/>
          <w:sz w:val="24"/>
          <w:szCs w:val="24"/>
        </w:rPr>
        <w:t xml:space="preserve">Reviewing this literature alongside the development of the present project surfaced two points worth noting explicitly. First, much of the published literature on forecasting-informed battery dispatch reports an improvement in aggregate outcomes, cost, emissions, or reliability, without always making explicit why a forecast-aware controller outperforms a reactive one at the level of the underlying energy balance. This project's own development process, documented in Chapter 4, directly encountered and resolved that question. It found that the benefit of forecasting arises specifically from when stored energy is used relative to a time-varying tariff or emission factor, not from any change in the total quantity of renewable energy utilised. Second, most of the reviewed studies evaluate their proposed methods on real, historical utility datasets or standard IEEE test feeders. Comparatively few works explicitly benchmark a learned forecasting model against a simple naive baseline to isolate how much of the observed benefit is actually attributable to the sophistication of the model itself, as opposed to simply having any forward-looking signal at all. This project addresses that gap directly, through its own ablation comparison in Chapter 4.</w:t>
      </w:r>
    </w:p>
    <w:p>
      <w:pPr>
        <w:spacing w:after="140" w:before="260"/>
      </w:pPr>
      <w:r>
        <w:rPr>
          <w:rFonts w:ascii="Times New Roman" w:cs="Times New Roman" w:eastAsia="Times New Roman" w:hAnsi="Times New Roman"/>
          <w:b/>
          <w:bCs/>
          <w:sz w:val="24"/>
          <w:szCs w:val="24"/>
        </w:rPr>
        <w:t xml:space="preserve">2.3 MOTIVATION FOR THE PROPOSED SYSTEM</w:t>
      </w:r>
    </w:p>
    <w:p>
      <w:pPr>
        <w:spacing w:after="200" w:line="360" w:lineRule="auto"/>
        <w:jc w:val="both"/>
      </w:pPr>
      <w:r>
        <w:rPr>
          <w:rFonts w:ascii="Times New Roman" w:cs="Times New Roman" w:eastAsia="Times New Roman" w:hAnsi="Times New Roman"/>
          <w:sz w:val="24"/>
          <w:szCs w:val="24"/>
        </w:rPr>
        <w:t xml:space="preserve">The reviewed literature confirms that machine learning based forecasting and time-of-day-aware battery scheduling are each, individually, well-established techniques for improving microgrid operation. This project's specific contribution is to combine both techniques in a single, fully reproducible, end-to-end pipeline: synthetic data generation, a random forest demand forecast, a directly comparable Reactive-versus-Forecast-Driven dispatch simulation, and an interactive dashboard. Just as important, the project reports transparently and precisely where and why the forecasting-informed strategy provides a genuine benefit, rather than simply assuming that benefit in advance. This verify-then-report approach, including a documented instance where an initial implementation produced no measurable difference between strategies until the underlying model was corrected, is intended to demonstrate sound engineering practice as much as it demonstrates the underlying renewable energy concept.</w:t>
      </w:r>
    </w:p>
    <w:p>
      <w:pPr>
        <w:pStyle w:val="Heading1"/>
        <w:pageBreakBefore/>
        <w:spacing w:after="60" w:before="0"/>
        <w:jc w:val="center"/>
      </w:pPr>
      <w:r>
        <w:rPr>
          <w:rFonts w:ascii="Times New Roman" w:cs="Times New Roman" w:eastAsia="Times New Roman" w:hAnsi="Times New Roman"/>
          <w:b/>
          <w:bCs/>
          <w:sz w:val="28"/>
          <w:szCs w:val="28"/>
        </w:rPr>
        <w:t xml:space="preserve">CHAPTER 3</w:t>
      </w:r>
    </w:p>
    <w:p>
      <w:pPr>
        <w:spacing w:after="300" w:before="0"/>
        <w:jc w:val="center"/>
      </w:pPr>
      <w:r>
        <w:rPr>
          <w:rFonts w:ascii="Times New Roman" w:cs="Times New Roman" w:eastAsia="Times New Roman" w:hAnsi="Times New Roman"/>
          <w:b/>
          <w:bCs/>
          <w:sz w:val="28"/>
          <w:szCs w:val="28"/>
        </w:rPr>
        <w:t xml:space="preserve">METHODOLOGY</w:t>
      </w:r>
    </w:p>
    <w:p>
      <w:pPr>
        <w:spacing w:after="200" w:line="360" w:lineRule="auto"/>
        <w:jc w:val="both"/>
      </w:pPr>
      <w:r>
        <w:rPr>
          <w:rFonts w:ascii="Times New Roman" w:cs="Times New Roman" w:eastAsia="Times New Roman" w:hAnsi="Times New Roman"/>
          <w:sz w:val="24"/>
          <w:szCs w:val="24"/>
        </w:rPr>
        <w:t xml:space="preserve">The system was developed as a four-stage Python pipeline: synthetic data generation, demand forecasting, dispatch simulation, and an interactive dashboard, each stage consuming the output of the one before it. This chapter describes the requirements, system architecture, dataset, algorithms, and tools used to build each stage.</w:t>
      </w:r>
    </w:p>
    <w:p>
      <w:pPr>
        <w:spacing w:after="140" w:before="260"/>
      </w:pPr>
      <w:r>
        <w:rPr>
          <w:rFonts w:ascii="Times New Roman" w:cs="Times New Roman" w:eastAsia="Times New Roman" w:hAnsi="Times New Roman"/>
          <w:b/>
          <w:bCs/>
          <w:sz w:val="24"/>
          <w:szCs w:val="24"/>
        </w:rPr>
        <w:t xml:space="preserve">3.1 REQUIREMENTS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Generate a full year of realistic synthetic hourly demand, solar, and wind data for a microgrid.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Train a machine learning model to forecast demand three hours ahead and evaluate it against a naive baseline.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Simulate hourly battery charge/discharge behaviour under two distinct dispatch strategies using identical underlying data and hardware capacities.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Compute renewable energy utilisation, cost saved, and CO2 emissions avoided for each dispatch strategy.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Provide an interactive dashboard allowing a user to adjust solar, wind, and battery capacity and view both strategies' results side by side, updating within approximately two seconds of any change.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Operate reliably for boundary-value inputs, including zero and maximum capacity settings, without crashing or producing undefined output.</w:t>
      </w:r>
    </w:p>
    <w:p>
      <w:pPr>
        <w:spacing w:after="140" w:before="260"/>
      </w:pPr>
      <w:r>
        <w:rPr>
          <w:rFonts w:ascii="Times New Roman" w:cs="Times New Roman" w:eastAsia="Times New Roman" w:hAnsi="Times New Roman"/>
          <w:b/>
          <w:bCs/>
          <w:sz w:val="24"/>
          <w:szCs w:val="24"/>
        </w:rPr>
        <w:t xml:space="preserve">3.2 SYSTEM ARCHITECTURE</w:t>
      </w:r>
    </w:p>
    <w:p>
      <w:pPr>
        <w:spacing w:after="200" w:line="360" w:lineRule="auto"/>
        <w:jc w:val="both"/>
      </w:pPr>
      <w:r>
        <w:rPr>
          <w:rFonts w:ascii="Times New Roman" w:cs="Times New Roman" w:eastAsia="Times New Roman" w:hAnsi="Times New Roman"/>
          <w:sz w:val="24"/>
          <w:szCs w:val="24"/>
        </w:rPr>
        <w:t xml:space="preserve">The system follows a linear four-stage pipeline, summarised in Table 3.1. Each stage is implemented as a separable Python module. This means any single stage, for example substituting a real utility dataset for the synthetic data generator, could be replaced without requiring changes to the stages downstream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rPr>
          <w:tblHeader/>
        </w:trPr>
        <w:tc>
          <w:tcPr>
            <w:tcW w:type="dxa" w:w="120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Stage</w:t>
            </w:r>
          </w:p>
        </w:tc>
        <w:tc>
          <w:tcPr>
            <w:tcW w:type="dxa" w:w="200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Module</w:t>
            </w:r>
          </w:p>
        </w:tc>
        <w:tc>
          <w:tcPr>
            <w:tcW w:type="dxa" w:w="308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Input</w:t>
            </w:r>
          </w:p>
        </w:tc>
        <w:tc>
          <w:tcPr>
            <w:tcW w:type="dxa" w:w="308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Output</w:t>
            </w:r>
          </w:p>
        </w:tc>
      </w:tr>
      <w:tr>
        <w:tc>
          <w:tcPr>
            <w:tcW w:type="dxa" w:w="12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 Generate</w:t>
            </w:r>
          </w:p>
        </w:tc>
        <w:tc>
          <w:tcPr>
            <w:tcW w:type="dxa" w:w="20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data_gen.py</w:t>
            </w:r>
          </w:p>
        </w:tc>
        <w:tc>
          <w:tcPr>
            <w:tcW w:type="dxa" w:w="308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Configuration constants (data year, seasonal/noise settings)</w:t>
            </w:r>
          </w:p>
        </w:tc>
        <w:tc>
          <w:tcPr>
            <w:tcW w:type="dxa" w:w="308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demand.csv, solar.csv, wind.csv (8,760 hourly records)</w:t>
            </w:r>
          </w:p>
        </w:tc>
      </w:tr>
      <w:tr>
        <w:tc>
          <w:tcPr>
            <w:tcW w:type="dxa" w:w="12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2. Forecast</w:t>
            </w:r>
          </w:p>
        </w:tc>
        <w:tc>
          <w:tcPr>
            <w:tcW w:type="dxa" w:w="20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train_model.py</w:t>
            </w:r>
          </w:p>
        </w:tc>
        <w:tc>
          <w:tcPr>
            <w:tcW w:type="dxa" w:w="308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demand.csv, engineered into calendar and lag features</w:t>
            </w:r>
          </w:p>
        </w:tc>
        <w:tc>
          <w:tcPr>
            <w:tcW w:type="dxa" w:w="308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Trained Random Forest model + accuracy report</w:t>
            </w:r>
          </w:p>
        </w:tc>
      </w:tr>
      <w:tr>
        <w:tc>
          <w:tcPr>
            <w:tcW w:type="dxa" w:w="12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3. Simulate</w:t>
            </w:r>
          </w:p>
        </w:tc>
        <w:tc>
          <w:tcPr>
            <w:tcW w:type="dxa" w:w="20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sim/engine.py</w:t>
            </w:r>
          </w:p>
        </w:tc>
        <w:tc>
          <w:tcPr>
            <w:tcW w:type="dxa" w:w="308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solar.csv, wind.csv, demand.csv, trained model, user capacities</w:t>
            </w:r>
          </w:p>
        </w:tc>
        <w:tc>
          <w:tcPr>
            <w:tcW w:type="dxa" w:w="308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Per-hour dispatch series + annual renewable %, cost, CO2 metrics</w:t>
            </w:r>
          </w:p>
        </w:tc>
      </w:tr>
      <w:tr>
        <w:tc>
          <w:tcPr>
            <w:tcW w:type="dxa" w:w="12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4. Visualize</w:t>
            </w:r>
          </w:p>
        </w:tc>
        <w:tc>
          <w:tcPr>
            <w:tcW w:type="dxa" w:w="20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app.py</w:t>
            </w:r>
          </w:p>
        </w:tc>
        <w:tc>
          <w:tcPr>
            <w:tcW w:type="dxa" w:w="308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Simulation engine outputs, live user slider values</w:t>
            </w:r>
          </w:p>
        </w:tc>
        <w:tc>
          <w:tcPr>
            <w:tcW w:type="dxa" w:w="308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Rendered dashboard: comparison tiles + charts</w:t>
            </w:r>
          </w:p>
        </w:tc>
      </w:tr>
    </w:tbl>
    <w:p>
      <w:pPr>
        <w:spacing w:after="200"/>
      </w:pPr>
    </w:p>
    <w:p>
      <w:pPr>
        <w:spacing w:after="200" w:line="360" w:lineRule="auto"/>
        <w:jc w:val="center"/>
      </w:pPr>
      <w:r>
        <w:rPr>
          <w:rFonts w:ascii="Times New Roman" w:cs="Times New Roman" w:eastAsia="Times New Roman" w:hAnsi="Times New Roman"/>
          <w:i/>
          <w:iCs/>
          <w:sz w:val="20"/>
          <w:szCs w:val="20"/>
        </w:rPr>
        <w:t xml:space="preserve">Table 3.1: System architecture, pipeline stages, modules, inputs, and outputs.</w:t>
      </w:r>
    </w:p>
    <w:p>
      <w:pPr>
        <w:spacing w:after="140" w:before="260"/>
      </w:pPr>
      <w:r>
        <w:rPr>
          <w:rFonts w:ascii="Times New Roman" w:cs="Times New Roman" w:eastAsia="Times New Roman" w:hAnsi="Times New Roman"/>
          <w:b/>
          <w:bCs/>
          <w:sz w:val="24"/>
          <w:szCs w:val="24"/>
        </w:rPr>
        <w:t xml:space="preserve">3.3 DATA SET</w:t>
      </w:r>
    </w:p>
    <w:p>
      <w:pPr>
        <w:spacing w:after="200" w:line="360" w:lineRule="auto"/>
        <w:jc w:val="both"/>
      </w:pPr>
      <w:r>
        <w:rPr>
          <w:rFonts w:ascii="Times New Roman" w:cs="Times New Roman" w:eastAsia="Times New Roman" w:hAnsi="Times New Roman"/>
          <w:sz w:val="24"/>
          <w:szCs w:val="24"/>
        </w:rPr>
        <w:t xml:space="preserve">No externally sourced dataset was used. All demand, solar, and wind data were synthetically generated (data_gen.py) to produce one full year, 8,760 hourly records, of realistic data. This includes a daily double-peak demand curve reflecting morning and evening consumption peaks, a weekday and weekend demand differential, and a twice-yearly seasonal demand pattern with elevated demand in both winter (heating) and summer (cooling) months relative to the shoulder seasons. Solar generation is bounded by daylight hours, with seasonal amplitude variation and randomised cloud-cover noise layered on top. Wind generation is modelled differently, as an autoregressive process independent of time of day, passed through a realistic three-part turbine power curve (cut-in, ramp, rated, cut-out). Solar and wind output are stored as unitless capacity factors between 0 and 1, not as absolute power values, so that the dashboard can rescale them to any user-selected installed capacity without needing to regenerate the underlying dataset. This synthetic approach was chosen deliberately over a live external data feed, so that the system's demonstrated behaviour stays fully reproducible on any machine and does not depend on the availability or licensing of a real utility dataset.</w:t>
      </w:r>
    </w:p>
    <w:p>
      <w:pPr>
        <w:spacing w:after="140" w:before="260"/>
      </w:pPr>
      <w:r>
        <w:rPr>
          <w:rFonts w:ascii="Times New Roman" w:cs="Times New Roman" w:eastAsia="Times New Roman" w:hAnsi="Times New Roman"/>
          <w:b/>
          <w:bCs/>
          <w:sz w:val="24"/>
          <w:szCs w:val="24"/>
        </w:rPr>
        <w:t xml:space="preserve">3.4 ALGORITHM / PROCESS FLOW</w:t>
      </w:r>
    </w:p>
    <w:p>
      <w:pPr>
        <w:spacing w:after="200" w:line="360" w:lineRule="auto"/>
        <w:jc w:val="both"/>
      </w:pPr>
      <w:r>
        <w:rPr>
          <w:rFonts w:ascii="Times New Roman" w:cs="Times New Roman" w:eastAsia="Times New Roman" w:hAnsi="Times New Roman"/>
          <w:sz w:val="24"/>
          <w:szCs w:val="24"/>
        </w:rPr>
        <w:t xml:space="preserve">Demand forecasting: a Random Forest regression model (200 estimators, maximum depth 12) is trained to predict demand three hours ahead of the current hour. It uses only features that would genuinely be known at the moment the forecast is issued: hour of day, day of week, month, a weekend flag, the current demand value, demand lagged by 1, 24, and 168 hours, and a trailing 24-hour rolling average. The dataset is split chronologically, 80% train and 20% test, not randomly, so that the model is never evaluated on data that occurred before its own training period. This avoids look-ahead leakage. A naive baseline forecast ("same hour, previous day") is computed for direct comparison.</w:t>
      </w:r>
    </w:p>
    <w:p>
      <w:pPr>
        <w:spacing w:after="200" w:line="360" w:lineRule="auto"/>
        <w:jc w:val="both"/>
      </w:pPr>
      <w:r>
        <w:rPr>
          <w:rFonts w:ascii="Times New Roman" w:cs="Times New Roman" w:eastAsia="Times New Roman" w:hAnsi="Times New Roman"/>
          <w:sz w:val="24"/>
          <w:szCs w:val="24"/>
        </w:rPr>
        <w:t xml:space="preserve">Battery dispatch: at every simulated hour, renewable supply is compared against demand. If supply exceeds demand, the surplus charges the battery (bounded by its power rating and remaining capacity). If demand exceeds supply, the shortfall is met first from the battery and the remainder from fossil-fuel backup. Under the Reactive strategy, the battery discharges up to its full power rating for any shortfall. Under the Forecast-Driven strategy, the logic is different. If the trained model's three-hour-ahead forecast exceeds current demand by more than a small threshold, that signals a larger peak is still ahead. When this happens, the battery's discharge for the current hour is capped to a small fraction of its normal rate, deliberately reserving stored energy for the anticipated peak.</w:t>
      </w:r>
    </w:p>
    <w:p>
      <w:pPr>
        <w:spacing w:after="200" w:line="360" w:lineRule="auto"/>
        <w:jc w:val="both"/>
      </w:pPr>
      <w:r>
        <w:rPr>
          <w:rFonts w:ascii="Times New Roman" w:cs="Times New Roman" w:eastAsia="Times New Roman" w:hAnsi="Times New Roman"/>
          <w:sz w:val="24"/>
          <w:szCs w:val="24"/>
        </w:rPr>
        <w:t xml:space="preserve">Cost and CO2 accounting: each hour is classified as either within a Time-of-Day peak window (18:00-22:00) or off-peak, modelled on real Indian DISCOM tariff practice. Peak-hour fossil backup is assigned a higher cost per MWh and a higher emission factor per MWh than off-peak backup, reflecting the use of costlier, higher-emission diesel-peaker generation during that window. Annual cost saved and CO2 avoided are then computed as the Time-of-Day-weighted value of the energy that renewable generation and the battery supplied instead of fossil backup.</w:t>
      </w:r>
    </w:p>
    <w:p>
      <w:pPr>
        <w:spacing w:after="140" w:before="260"/>
      </w:pPr>
      <w:r>
        <w:rPr>
          <w:rFonts w:ascii="Times New Roman" w:cs="Times New Roman" w:eastAsia="Times New Roman" w:hAnsi="Times New Roman"/>
          <w:b/>
          <w:bCs/>
          <w:sz w:val="24"/>
          <w:szCs w:val="24"/>
        </w:rPr>
        <w:t xml:space="preserve">3.5 TOOLS AND SOFTWARE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Tool / Technology</w:t>
            </w:r>
          </w:p>
        </w:tc>
        <w:tc>
          <w:tcPr>
            <w:tcW w:type="dxa" w:w="696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Purpose</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Python 3.12</w:t>
            </w:r>
          </w:p>
        </w:tc>
        <w:tc>
          <w:tcPr>
            <w:tcW w:type="dxa" w:w="69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Core implementation language for the entire pipeline.</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pandas, NumPy</w:t>
            </w:r>
          </w:p>
        </w:tc>
        <w:tc>
          <w:tcPr>
            <w:tcW w:type="dxa" w:w="69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Synthetic data generation, feature engineering, time-series manipulation.</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scikit-learn</w:t>
            </w:r>
          </w:p>
        </w:tc>
        <w:tc>
          <w:tcPr>
            <w:tcW w:type="dxa" w:w="69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Random Forest demand-forecasting model and accuracy evaluation.</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Matplotlib, Plotly</w:t>
            </w:r>
          </w:p>
        </w:tc>
        <w:tc>
          <w:tcPr>
            <w:tcW w:type="dxa" w:w="69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Dataset sanity-check plots and interactive dashboard charts.</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Streamlit</w:t>
            </w:r>
          </w:p>
        </w:tc>
        <w:tc>
          <w:tcPr>
            <w:tcW w:type="dxa" w:w="69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Interactive web dashboard framework.</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joblib</w:t>
            </w:r>
          </w:p>
        </w:tc>
        <w:tc>
          <w:tcPr>
            <w:tcW w:type="dxa" w:w="69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Serialising and loading the trained forecasting model.</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Git / GitHub</w:t>
            </w:r>
          </w:p>
        </w:tc>
        <w:tc>
          <w:tcPr>
            <w:tcW w:type="dxa" w:w="69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Version control and source hosting.</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Streamlit Community Cloud</w:t>
            </w:r>
          </w:p>
        </w:tc>
        <w:tc>
          <w:tcPr>
            <w:tcW w:type="dxa" w:w="69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Public deployment of the live dashboard.</w:t>
            </w:r>
          </w:p>
        </w:tc>
      </w:tr>
    </w:tbl>
    <w:p>
      <w:pPr>
        <w:pStyle w:val="Heading1"/>
        <w:pageBreakBefore/>
        <w:spacing w:after="60" w:before="0"/>
        <w:jc w:val="center"/>
      </w:pPr>
      <w:r>
        <w:rPr>
          <w:rFonts w:ascii="Times New Roman" w:cs="Times New Roman" w:eastAsia="Times New Roman" w:hAnsi="Times New Roman"/>
          <w:b/>
          <w:bCs/>
          <w:sz w:val="28"/>
          <w:szCs w:val="28"/>
        </w:rPr>
        <w:t xml:space="preserve">CHAPTER 4</w:t>
      </w:r>
    </w:p>
    <w:p>
      <w:pPr>
        <w:spacing w:after="300" w:before="0"/>
        <w:jc w:val="center"/>
      </w:pPr>
      <w:r>
        <w:rPr>
          <w:rFonts w:ascii="Times New Roman" w:cs="Times New Roman" w:eastAsia="Times New Roman" w:hAnsi="Times New Roman"/>
          <w:b/>
          <w:bCs/>
          <w:sz w:val="28"/>
          <w:szCs w:val="28"/>
        </w:rPr>
        <w:t xml:space="preserve">RESULTS AND DISCUSSION</w:t>
      </w:r>
    </w:p>
    <w:p>
      <w:pPr>
        <w:spacing w:after="200" w:line="360" w:lineRule="auto"/>
        <w:jc w:val="both"/>
      </w:pPr>
      <w:r>
        <w:rPr>
          <w:rFonts w:ascii="Times New Roman" w:cs="Times New Roman" w:eastAsia="Times New Roman" w:hAnsi="Times New Roman"/>
          <w:sz w:val="24"/>
          <w:szCs w:val="24"/>
        </w:rPr>
        <w:t xml:space="preserve">This chapter presents the results obtained from the forecasting model, the dispatch simulation, and the deployed dashboard, followed by a discussion of their significance.</w:t>
      </w:r>
    </w:p>
    <w:p>
      <w:pPr>
        <w:spacing w:after="140" w:before="260"/>
      </w:pPr>
      <w:r>
        <w:rPr>
          <w:rFonts w:ascii="Times New Roman" w:cs="Times New Roman" w:eastAsia="Times New Roman" w:hAnsi="Times New Roman"/>
          <w:b/>
          <w:bCs/>
          <w:sz w:val="24"/>
          <w:szCs w:val="24"/>
        </w:rPr>
        <w:t xml:space="preserve">4.1 IMPLEMENTATION RESULTS</w:t>
      </w:r>
    </w:p>
    <w:p>
      <w:pPr>
        <w:spacing w:after="200" w:line="360" w:lineRule="auto"/>
        <w:jc w:val="both"/>
      </w:pPr>
      <w:r>
        <w:rPr>
          <w:rFonts w:ascii="Times New Roman" w:cs="Times New Roman" w:eastAsia="Times New Roman" w:hAnsi="Times New Roman"/>
          <w:sz w:val="24"/>
          <w:szCs w:val="24"/>
        </w:rPr>
        <w:t xml:space="preserve">The Random Forest forecasting model achieved a Mean Absolute Error (MAE) of 0.10 MW on the held-out test set. The naive same-hour-yesterday baseline, by comparison, scored 0.26 MW, a 63.2% reduction in MAE and a 66.6% reduction in RMSE. Table 4.1 compares the two dispatch strategies at the system's default capacities, 6 MW solar, 3.5 MW wind, and a 25 MWh / 5 MW battery, over the full simulated year.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Metric</w:t>
            </w:r>
          </w:p>
        </w:tc>
        <w:tc>
          <w:tcPr>
            <w:tcW w:type="dxa" w:w="310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Reactive</w:t>
            </w:r>
          </w:p>
        </w:tc>
        <w:tc>
          <w:tcPr>
            <w:tcW w:type="dxa" w:w="3100"/>
            <w:shd w:fill="D9D9D9"/>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Forecast-Driven</w:t>
            </w:r>
          </w:p>
        </w:tc>
      </w:tr>
      <w:tr>
        <w:tc>
          <w:tcPr>
            <w:tcW w:type="dxa" w:w="31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Renewable utilisation</w:t>
            </w:r>
          </w:p>
        </w:tc>
        <w:tc>
          <w:tcPr>
            <w:tcW w:type="dxa" w:w="31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45.1%</w:t>
            </w:r>
          </w:p>
        </w:tc>
        <w:tc>
          <w:tcPr>
            <w:tcW w:type="dxa" w:w="31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45.1%</w:t>
            </w:r>
          </w:p>
        </w:tc>
      </w:tr>
      <w:tr>
        <w:tc>
          <w:tcPr>
            <w:tcW w:type="dxa" w:w="31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Cost saved / year</w:t>
            </w:r>
          </w:p>
        </w:tc>
        <w:tc>
          <w:tcPr>
            <w:tcW w:type="dxa" w:w="31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Rs 36.83 Cr</w:t>
            </w:r>
          </w:p>
        </w:tc>
        <w:tc>
          <w:tcPr>
            <w:tcW w:type="dxa" w:w="31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Rs 37.53 Cr (+Rs 70.09 L)</w:t>
            </w:r>
          </w:p>
        </w:tc>
      </w:tr>
      <w:tr>
        <w:tc>
          <w:tcPr>
            <w:tcW w:type="dxa" w:w="31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CO2 avoided / year</w:t>
            </w:r>
          </w:p>
        </w:tc>
        <w:tc>
          <w:tcPr>
            <w:tcW w:type="dxa" w:w="31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13,850.0 t</w:t>
            </w:r>
          </w:p>
        </w:tc>
        <w:tc>
          <w:tcPr>
            <w:tcW w:type="dxa" w:w="31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13,986.2 t (+136.2 t)</w:t>
            </w:r>
          </w:p>
        </w:tc>
      </w:tr>
      <w:tr>
        <w:tc>
          <w:tcPr>
            <w:tcW w:type="dxa" w:w="316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Fossil use, 18:00-22:00 peak</w:t>
            </w:r>
          </w:p>
        </w:tc>
        <w:tc>
          <w:tcPr>
            <w:tcW w:type="dxa" w:w="31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7,932 MWh</w:t>
            </w:r>
          </w:p>
        </w:tc>
        <w:tc>
          <w:tcPr>
            <w:tcW w:type="dxa" w:w="3100"/>
            <w:tcMar>
              <w:top w:type="dxa" w:w="60"/>
              <w:left w:type="dxa" w:w="100"/>
              <w:bottom w:type="dxa" w:w="60"/>
              <w:right w:type="dxa" w:w="100"/>
            </w:tcMar>
            <w:vAlign w:val="center"/>
          </w:tcPr>
          <w:p>
            <w:r>
              <w:rPr>
                <w:rFonts w:ascii="Times New Roman" w:cs="Times New Roman" w:eastAsia="Times New Roman" w:hAnsi="Times New Roman"/>
                <w:sz w:val="22"/>
                <w:szCs w:val="22"/>
              </w:rPr>
              <w:t xml:space="preserve">7,283 MWh (-8.2%)</w:t>
            </w:r>
          </w:p>
        </w:tc>
      </w:tr>
    </w:tbl>
    <w:p>
      <w:pPr>
        <w:spacing w:after="200"/>
      </w:pPr>
    </w:p>
    <w:p>
      <w:pPr>
        <w:spacing w:after="200" w:line="360" w:lineRule="auto"/>
        <w:jc w:val="center"/>
      </w:pPr>
      <w:r>
        <w:rPr>
          <w:rFonts w:ascii="Times New Roman" w:cs="Times New Roman" w:eastAsia="Times New Roman" w:hAnsi="Times New Roman"/>
          <w:i/>
          <w:iCs/>
          <w:sz w:val="20"/>
          <w:szCs w:val="20"/>
        </w:rPr>
        <w:t xml:space="preserve">Table 4.1: Reactive vs. Forecast-Driven dispatch, default capacities, one simulated year.</w:t>
      </w:r>
    </w:p>
    <w:p>
      <w:pPr>
        <w:spacing w:after="140" w:before="260"/>
      </w:pPr>
      <w:r>
        <w:rPr>
          <w:rFonts w:ascii="Times New Roman" w:cs="Times New Roman" w:eastAsia="Times New Roman" w:hAnsi="Times New Roman"/>
          <w:b/>
          <w:bCs/>
          <w:sz w:val="24"/>
          <w:szCs w:val="24"/>
        </w:rPr>
        <w:t xml:space="preserve">4.2 SCREENSHOTS</w:t>
      </w:r>
    </w:p>
    <w:p>
      <w:pPr>
        <w:spacing w:after="200" w:line="360" w:lineRule="auto"/>
        <w:jc w:val="both"/>
      </w:pPr>
      <w:r>
        <w:rPr>
          <w:rFonts w:ascii="Times New Roman" w:cs="Times New Roman" w:eastAsia="Times New Roman" w:hAnsi="Times New Roman"/>
          <w:i/>
          <w:iCs/>
          <w:sz w:val="24"/>
          <w:szCs w:val="24"/>
        </w:rPr>
        <w:t xml:space="preserve">[This section is to be completed with screenshots of the live dashboard, the comparison view and at least one demand-vs-supply timeline chart, captured from the deployed application before final submission.]</w:t>
      </w:r>
    </w:p>
    <w:p>
      <w:pPr>
        <w:spacing w:after="140" w:before="260"/>
      </w:pPr>
      <w:r>
        <w:rPr>
          <w:rFonts w:ascii="Times New Roman" w:cs="Times New Roman" w:eastAsia="Times New Roman" w:hAnsi="Times New Roman"/>
          <w:b/>
          <w:bCs/>
          <w:sz w:val="24"/>
          <w:szCs w:val="24"/>
        </w:rPr>
        <w:t xml:space="preserve">4.3 PERFORMANCE ANALYSIS</w:t>
      </w:r>
    </w:p>
    <w:p>
      <w:pPr>
        <w:spacing w:after="200" w:line="360" w:lineRule="auto"/>
        <w:jc w:val="both"/>
      </w:pPr>
      <w:r>
        <w:rPr>
          <w:rFonts w:ascii="Times New Roman" w:cs="Times New Roman" w:eastAsia="Times New Roman" w:hAnsi="Times New Roman"/>
          <w:sz w:val="24"/>
          <w:szCs w:val="24"/>
        </w:rPr>
        <w:t xml:space="preserve">An initial version of the dashboard reloaded the trained forecasting model from disk on every user interaction. This measured at 5.7 seconds per interaction, far too slow for a usable, live dashboard. Caching the loaded model in-process fixed the problem, reducing this to 0.26 seconds per interaction and comfortably meeting the sub-two-second responsiveness target. Reliability was verified separately, by running the simulation across 26 boundary-value capacity combinations spanning two different grid scales. These included all-zero capacity, maximum capacity, zero battery capacity with a non-zero power rating, and the reverse. No combination produced a crash, an undefined value, or a not-a-number (NaN) result. An automated regression suite, test_engine.py, additionally verifies six things on every run: that the Forecast-Driven strategy is not identical to the Reactive strategy, guarding against the energy-conservation issue described in Section 4.4; that its cost-saved and CO2-avoided figures are greater than or equal to the Reactive strategy's; that its peak-hour fossil use is less than or equal to the Reactive strategy's; and that renewable percentage and total-energy figures remain within sane, non-negative bounds. All six checks pass.</w:t>
      </w:r>
    </w:p>
    <w:p>
      <w:pPr>
        <w:spacing w:after="140" w:before="260"/>
      </w:pPr>
      <w:r>
        <w:rPr>
          <w:rFonts w:ascii="Times New Roman" w:cs="Times New Roman" w:eastAsia="Times New Roman" w:hAnsi="Times New Roman"/>
          <w:b/>
          <w:bCs/>
          <w:sz w:val="24"/>
          <w:szCs w:val="24"/>
        </w:rPr>
        <w:t xml:space="preserve">4.4 DISCUSSION</w:t>
      </w:r>
    </w:p>
    <w:p>
      <w:pPr>
        <w:spacing w:after="200" w:line="360" w:lineRule="auto"/>
        <w:jc w:val="both"/>
      </w:pPr>
      <w:r>
        <w:rPr>
          <w:rFonts w:ascii="Times New Roman" w:cs="Times New Roman" w:eastAsia="Times New Roman" w:hAnsi="Times New Roman"/>
          <w:sz w:val="24"/>
          <w:szCs w:val="24"/>
        </w:rPr>
        <w:t xml:space="preserve">The most significant finding of this project emerged not from the final results, but from an intermediate failure during development. An early version of the dispatch simulation produced bit-for-bit identical annual results for the Reactive and Forecast-Driven strategies. Investigation traced the cause to a genuine property of the system, not an implementation bug. Because both strategies capture exactly the same renewable surplus, charging behaviour is identical in both, the total energy the battery discharges over a full year is fixed, regardless of when within that year it chooses to discharge it. Redistributing the timing of discharge alone therefore cannot change the year's total energy balance.</w:t>
      </w:r>
    </w:p>
    <w:p>
      <w:pPr>
        <w:spacing w:after="200" w:line="360" w:lineRule="auto"/>
        <w:jc w:val="both"/>
      </w:pPr>
      <w:r>
        <w:rPr>
          <w:rFonts w:ascii="Times New Roman" w:cs="Times New Roman" w:eastAsia="Times New Roman" w:hAnsi="Times New Roman"/>
          <w:sz w:val="24"/>
          <w:szCs w:val="24"/>
        </w:rPr>
        <w:t xml:space="preserve">This meant a genuine, non-rigged advantage for the Forecast-Driven strategy could only be found by asking a different question: not how much energy is used, but when it is used. Real Indian DISCOM tariffs charge more, and rely on higher-emission generation, during the evening peak window, when diesel-peaker plants are typically activated to meet demand that cheaper baseload generation cannot. Modelling this Time-of-Day structure and re-running the comparison confirmed the hypothesis. The Forecast-Driven strategy genuinely shifts battery discharge toward that expensive, high-emission window, and shifts fossil-fuel backup use toward the cheaper, cleaner off-peak hours instead. Table 4.1 bears this out: renewable utilisation is effectively unchanged between the two strategies, 45.1% in both, while cost saved, CO2 avoided, and peak-hour fossil use all move measurably in the Forecast-Driven strategy's favour.</w:t>
      </w:r>
    </w:p>
    <w:p>
      <w:pPr>
        <w:spacing w:after="200" w:line="360" w:lineRule="auto"/>
        <w:jc w:val="both"/>
      </w:pPr>
      <w:r>
        <w:rPr>
          <w:rFonts w:ascii="Times New Roman" w:cs="Times New Roman" w:eastAsia="Times New Roman" w:hAnsi="Times New Roman"/>
          <w:sz w:val="24"/>
          <w:szCs w:val="24"/>
        </w:rPr>
        <w:t xml:space="preserve">A further ablation experiment compared the Forecast-Driven strategy using the trained Random Forest model's forecast against an otherwise identical strategy using only the naive same-hour-yesterday forecast. The naive-forecast version captured approximately 90% of the full benefit achieved by the trained model. This is an honest, if slightly humbling, result. On this project's synthetic dataset, which is fairly regular by construction, even a simple heuristic forecast captures most of the available benefit, simply because the underlying daily pattern repeats predictably. The trained model's clearest, most decisively demonstrated advantage remains its raw forecasting accuracy, 63% lower error than the naive baseline, as shown in Section 4.1, rather than this downstream simulation-level benefit. Real utility demand, being less regular than this project's synthetic data, would be expected to show a larger gap between the two. This is a direction identified for future validation in Chapter 5.</w:t>
      </w:r>
    </w:p>
    <w:p>
      <w:pPr>
        <w:pStyle w:val="Heading1"/>
        <w:pageBreakBefore/>
        <w:spacing w:after="60" w:before="0"/>
        <w:jc w:val="center"/>
      </w:pPr>
      <w:r>
        <w:rPr>
          <w:rFonts w:ascii="Times New Roman" w:cs="Times New Roman" w:eastAsia="Times New Roman" w:hAnsi="Times New Roman"/>
          <w:b/>
          <w:bCs/>
          <w:sz w:val="28"/>
          <w:szCs w:val="28"/>
        </w:rPr>
        <w:t xml:space="preserve">CHAPTER 5</w:t>
      </w:r>
    </w:p>
    <w:p>
      <w:pPr>
        <w:spacing w:after="300" w:before="0"/>
        <w:jc w:val="center"/>
      </w:pPr>
      <w:r>
        <w:rPr>
          <w:rFonts w:ascii="Times New Roman" w:cs="Times New Roman" w:eastAsia="Times New Roman" w:hAnsi="Times New Roman"/>
          <w:b/>
          <w:bCs/>
          <w:sz w:val="28"/>
          <w:szCs w:val="28"/>
        </w:rPr>
        <w:t xml:space="preserve">CONCLUSION AND FUTURE SCOPE</w:t>
      </w:r>
    </w:p>
    <w:p>
      <w:pPr>
        <w:spacing w:after="200" w:line="360" w:lineRule="auto"/>
        <w:jc w:val="both"/>
      </w:pPr>
      <w:r>
        <w:rPr>
          <w:rFonts w:ascii="Times New Roman" w:cs="Times New Roman" w:eastAsia="Times New Roman" w:hAnsi="Times New Roman"/>
          <w:sz w:val="24"/>
          <w:szCs w:val="24"/>
        </w:rPr>
        <w:t xml:space="preserve">This project set out to determine whether an Artificial Intelligence based demand-forecasting model can genuinely improve battery dispatch in a renewable microgrid. It answers that question with direct, reproducible evidence rather than assumption. Using an identical synthetic dataset, an identical set of solar, wind, and battery hardware capacities, and a directly comparable simulation of two dispatch strategies, the Forecast-Driven strategy was shown to reduce fossil-fuel backup usage during the costliest and most carbon-intensive hours of the day by approximately 8%. This translates into a measurable reduction in operating cost and CO2 emissions, achieved without requiring any additional renewable generation capacity. In doing so, the project directly contributes to SDG 7 (Affordable and Clean Energy), by demonstrating a concrete, low-cost software mechanism, requiring no new hardware, that improves the economic value extracted from existing renewable and battery infrastructure. It also contributes to SDG 13 (Climate Action), by quantifying a genuine reduction in carbon emissions achievable through smarter, forecast-aware operation rather than through additional physical capacity. Equally important to the numerical result is the project's demonstrated engineering discipline. An initial implementation that produced no measurable difference between strategies was not accepted at face value. It was investigated, correctly diagnosed as an energy-conservation limitation, and honestly resolved using a realistic, real-world-grounded mechanism. A subsequent ablation study was then conducted specifically to establish how much of the resulting benefit is attributable to the machine learning model's accuracy, rather than to the mere presence of a forecast.</w:t>
      </w:r>
    </w:p>
    <w:p>
      <w:pPr>
        <w:spacing w:after="200" w:line="360" w:lineRule="auto"/>
        <w:jc w:val="both"/>
      </w:pPr>
      <w:r>
        <w:rPr>
          <w:rFonts w:ascii="Times New Roman" w:cs="Times New Roman" w:eastAsia="Times New Roman" w:hAnsi="Times New Roman"/>
          <w:sz w:val="24"/>
          <w:szCs w:val="24"/>
        </w:rPr>
        <w:t xml:space="preserve">Several directions remain open for future work. The forecasting model could be retrained and revalidated against real historical utility demand and weather data rather than synthetic data. Doing so would allow the AI-versus-naive-baseline advantage identified in this project's ablation study, currently modest on regular synthetic data, to be properly measured against the greater irregularity of real-world demand. The dispatch simulation could also be extended, to model battery round-trip efficiency losses, degradation over repeated charge-discharge cycles, and multiple interacting battery units. The forecasting horizon, currently fixed at three hours, could be made configurable, or extended to a full day-ahead forecast to support longer-range dispatch planning. Finally, the system could grow from a single-node microgrid simulation toward a multi-node or multi-store architecture, and the currently illustrative cost and emission factors could be replaced with live, location-specific utility tariff and grid-emission-factor data, producing audit-grade financial and environmental figures rather than demonstrative ones.</w:t>
      </w:r>
    </w:p>
    <w:p>
      <w:pPr>
        <w:pageBreakBefore/>
        <w:spacing w:after="300"/>
        <w:jc w:val="center"/>
      </w:pPr>
      <w:r>
        <w:rPr>
          <w:rFonts w:ascii="Times New Roman" w:cs="Times New Roman" w:eastAsia="Times New Roman" w:hAnsi="Times New Roman"/>
          <w:b/>
          <w:bCs/>
          <w:sz w:val="28"/>
          <w:szCs w:val="28"/>
        </w:rPr>
        <w:t xml:space="preserve">REFERENCES</w:t>
      </w:r>
    </w:p>
    <w:p>
      <w:pPr>
        <w:spacing w:after="200" w:line="360" w:lineRule="auto"/>
        <w:ind w:left="360" w:hanging="360"/>
        <w:jc w:val="both"/>
      </w:pPr>
      <w:r>
        <w:rPr>
          <w:rFonts w:ascii="Times New Roman" w:cs="Times New Roman" w:eastAsia="Times New Roman" w:hAnsi="Times New Roman"/>
          <w:sz w:val="24"/>
          <w:szCs w:val="24"/>
        </w:rPr>
        <w:t xml:space="preserve">Jha, R., Lee, S., Iyengar, S., Hajiesmaili, M. H., Irwin, D., &amp; Shenoy, P. (2020). Emission-aware energy storage scheduling for a greener grid. arXiv preprint arXiv:2005.12234. https://arxiv.org/abs/2005.12234</w:t>
      </w:r>
    </w:p>
    <w:p>
      <w:pPr>
        <w:spacing w:after="200" w:line="360" w:lineRule="auto"/>
        <w:ind w:left="360" w:hanging="360"/>
        <w:jc w:val="both"/>
      </w:pPr>
      <w:r>
        <w:rPr>
          <w:rFonts w:ascii="Times New Roman" w:cs="Times New Roman" w:eastAsia="Times New Roman" w:hAnsi="Times New Roman"/>
          <w:sz w:val="24"/>
          <w:szCs w:val="24"/>
        </w:rPr>
        <w:t xml:space="preserve">Lahouar, A., &amp; Ben Hadj Slama, J. (2015). Day-ahead load forecast using random forest and expert input selection. Energy Conversion and Management, 103, 1040-1051.</w:t>
      </w:r>
    </w:p>
    <w:p>
      <w:pPr>
        <w:spacing w:after="200" w:line="360" w:lineRule="auto"/>
        <w:ind w:left="360" w:hanging="360"/>
        <w:jc w:val="both"/>
      </w:pPr>
      <w:r>
        <w:rPr>
          <w:rFonts w:ascii="Times New Roman" w:cs="Times New Roman" w:eastAsia="Times New Roman" w:hAnsi="Times New Roman"/>
          <w:sz w:val="24"/>
          <w:szCs w:val="24"/>
        </w:rPr>
        <w:t xml:space="preserve">Olivieri, Z. (2017). Optimization of residential battery energy storage system scheduling for cost and emissions reductions [Master's thesis, Rochester Institute of Technology]. RIT Digital Institutional Repository. https://repository.rit.edu/theses/9716</w:t>
      </w:r>
    </w:p>
    <w:p>
      <w:pPr>
        <w:spacing w:after="200" w:line="360" w:lineRule="auto"/>
        <w:ind w:left="360" w:hanging="360"/>
        <w:jc w:val="both"/>
      </w:pPr>
      <w:r>
        <w:rPr>
          <w:rFonts w:ascii="Times New Roman" w:cs="Times New Roman" w:eastAsia="Times New Roman" w:hAnsi="Times New Roman"/>
          <w:sz w:val="24"/>
          <w:szCs w:val="24"/>
        </w:rPr>
        <w:t xml:space="preserve">Sajjadi, S. S., Moghadassi, A., Rashidizadeh-Kermani, H., &amp; Kia, R. (2025). AI-driven forecasting for battery energy management in digital twin-integrated microgrids using machine learning techniques. Journal of Energy Storage, 135.</w:t>
      </w:r>
    </w:p>
    <w:p>
      <w:pPr>
        <w:spacing w:after="200" w:line="360" w:lineRule="auto"/>
        <w:ind w:left="360" w:hanging="360"/>
        <w:jc w:val="both"/>
      </w:pPr>
      <w:r>
        <w:rPr>
          <w:rFonts w:ascii="Times New Roman" w:cs="Times New Roman" w:eastAsia="Times New Roman" w:hAnsi="Times New Roman"/>
          <w:sz w:val="24"/>
          <w:szCs w:val="24"/>
        </w:rPr>
        <w:t xml:space="preserve">Singh, A. R., Kumar, R. S., Bajaj, M., Khadse, C. B., &amp; Zaitsev, I. (2024). Machine learning-based energy management and power forecasting in grid-connected microgrids with multiple distributed energy sources. Scientific Reports, 14, 19207. https://doi.org/10.1038/s41598-024-70336-3</w:t>
      </w:r>
    </w:p>
    <w:p>
      <w:pPr>
        <w:pageBreakBefore/>
        <w:spacing w:after="120"/>
        <w:jc w:val="center"/>
      </w:pPr>
      <w:r>
        <w:rPr>
          <w:rFonts w:ascii="Times New Roman" w:cs="Times New Roman" w:eastAsia="Times New Roman" w:hAnsi="Times New Roman"/>
          <w:b/>
          <w:bCs/>
          <w:sz w:val="28"/>
          <w:szCs w:val="28"/>
        </w:rPr>
        <w:t xml:space="preserve">APPENDIX I</w:t>
      </w:r>
    </w:p>
    <w:p>
      <w:pPr>
        <w:spacing w:after="200" w:line="360" w:lineRule="auto"/>
        <w:jc w:val="center"/>
      </w:pPr>
      <w:r>
        <w:rPr>
          <w:rFonts w:ascii="Times New Roman" w:cs="Times New Roman" w:eastAsia="Times New Roman" w:hAnsi="Times New Roman"/>
          <w:b/>
          <w:bCs/>
          <w:sz w:val="26"/>
          <w:szCs w:val="26"/>
        </w:rPr>
        <w:t xml:space="preserve">PLAGIARISM REPORT</w:t>
      </w:r>
    </w:p>
    <w:p>
      <w:pPr>
        <w:spacing w:after="200"/>
      </w:pPr>
    </w:p>
    <w:p>
      <w:pPr>
        <w:spacing w:after="200" w:line="360" w:lineRule="auto"/>
        <w:jc w:val="both"/>
      </w:pPr>
      <w:r>
        <w:rPr>
          <w:rFonts w:ascii="Times New Roman" w:cs="Times New Roman" w:eastAsia="Times New Roman" w:hAnsi="Times New Roman"/>
          <w:i/>
          <w:iCs/>
          <w:sz w:val="24"/>
          <w:szCs w:val="24"/>
        </w:rPr>
        <w:t xml:space="preserve">This section is to contain the Similarity Report and AI-Plagiarism Report for this document, duly signed by the supervisor/faculty, generated through the plagiarism-detection tool designated by the Department (e.g., Turnitin), prior to final submission. [To be inserted by the student after the completed report has been checked.]</w:t>
      </w:r>
    </w:p>
    <w:p>
      <w:pPr>
        <w:pageBreakBefore/>
        <w:spacing w:after="120"/>
        <w:jc w:val="center"/>
      </w:pPr>
      <w:r>
        <w:rPr>
          <w:rFonts w:ascii="Times New Roman" w:cs="Times New Roman" w:eastAsia="Times New Roman" w:hAnsi="Times New Roman"/>
          <w:b/>
          <w:bCs/>
          <w:sz w:val="28"/>
          <w:szCs w:val="28"/>
        </w:rPr>
        <w:t xml:space="preserve">APPENDIX II</w:t>
      </w:r>
    </w:p>
    <w:p>
      <w:pPr>
        <w:spacing w:after="200" w:line="360" w:lineRule="auto"/>
        <w:jc w:val="center"/>
      </w:pPr>
      <w:r>
        <w:rPr>
          <w:rFonts w:ascii="Times New Roman" w:cs="Times New Roman" w:eastAsia="Times New Roman" w:hAnsi="Times New Roman"/>
          <w:b/>
          <w:bCs/>
          <w:sz w:val="26"/>
          <w:szCs w:val="26"/>
        </w:rPr>
        <w:t xml:space="preserve">PROJECT OUTCOMES</w:t>
      </w:r>
    </w:p>
    <w:p>
      <w:pPr>
        <w:spacing w:after="200"/>
      </w:pPr>
    </w:p>
    <w:p>
      <w:pPr>
        <w:spacing w:after="200" w:line="360" w:lineRule="auto"/>
        <w:jc w:val="both"/>
      </w:pPr>
      <w:r>
        <w:rPr>
          <w:rFonts w:ascii="Times New Roman" w:cs="Times New Roman" w:eastAsia="Times New Roman" w:hAnsi="Times New Roman"/>
          <w:sz w:val="24"/>
          <w:szCs w:val="24"/>
        </w:rPr>
        <w:t xml:space="preserve">The group / team has to showcase any of the following outcomes (attach proof):</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Project to Product, applicable: the project was built into a working, publicly deployed application (live dashboard: https://renewable-grid-simulator-ggwggtevxfkfumaqh97yys.streamlit.app/; source repository: https://github.com/adiesudevan2004-ship-it/renewable-grid-simulator), attached as proof.</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Project to Hackathon Competitions, Patents, etc., not applicable to this submission.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Research Oriented, publish the work as a research paper in an SCI-indexed Journal, not applicable to this submission.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Research Oriented, publish the work as a research paper in a Scopus-indexed Journal, not applicable to this submission.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Research Oriented, publish the work as a research paper in a UGC CARE-listed Journal, not applicable to this submission.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Patents Publication, not applicable to this submission.</w:t>
      </w:r>
    </w:p>
    <w:sectPr>
      <w:footerReference w:type="default" r:id="rId9"/>
      <w:type w:val="nextPage"/>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2026-08-13T09:00:55.234Z</dcterms:created>
  <dcterms:modified xsi:type="dcterms:W3CDTF">2026-08-13T09:00:55.243Z</dcterms:modified>
</cp:coreProperties>
</file>

<file path=docProps/custom.xml><?xml version="1.0" encoding="utf-8"?>
<Properties xmlns="http://schemas.openxmlformats.org/officeDocument/2006/custom-properties" xmlns:vt="http://schemas.openxmlformats.org/officeDocument/2006/docPropsVTypes"/>
</file>