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exact" w:line="360"/>
        <w:jc w:val="center"/>
      </w:pPr>
      <w:r>
        <w:rPr>
          <w:b/>
          <w:color w:val="1A1A2E"/>
          <w:sz w:val="30"/>
        </w:rPr>
        <w:t>K R REVANTH ADIGA</w:t>
      </w:r>
    </w:p>
    <w:p>
      <w:pPr>
        <w:spacing w:before="0" w:after="80" w:lineRule="exact" w:line="240"/>
        <w:jc w:val="center"/>
      </w:pPr>
      <w:r>
        <w:rPr>
          <w:color w:val="555555"/>
          <w:sz w:val="19"/>
        </w:rPr>
        <w:t>revanthadiga3@gmail.com  •  8296314412  •  Bengaluru, India</w:t>
      </w:r>
    </w:p>
    <w:p>
      <w:pPr>
        <w:spacing w:before="140" w:after="60" w:lineRule="exact" w:line="260"/>
        <w:pBdr>
          <w:bottom w:val="single" w:sz="4" w:space="1" w:color="1A1A2E"/>
        </w:pBdr>
      </w:pPr>
      <w:r>
        <w:rPr>
          <w:b/>
          <w:color w:val="1A1A2E"/>
          <w:sz w:val="20"/>
        </w:rPr>
        <w:t>PROFESSIONAL SUMMARY</w:t>
      </w:r>
    </w:p>
    <w:p>
      <w:pPr>
        <w:spacing w:before="20" w:after="0" w:lineRule="exact" w:line="250"/>
      </w:pPr>
      <w:r>
        <w:rPr>
          <w:sz w:val="19"/>
        </w:rPr>
        <w:t>AI Engineer with 4+ years of experience building and deploying production-grade GenAI applications, LLM-powered autonomous agents, and retrieval-augmented generation (RAG) systems for enterprise clients. Skilled in designing agentic architectures using LangGraph and Deep Agents, implementing hybrid vector search pipelines, and integrating guardrails for safe, compliant AI deployments. Proven track record of delivering end-to-end AI solutions directly to clients — from platform migrations and ETL pipeline design to deploying production agents — combining strong software engineering with applied AI expertise.</w:t>
      </w:r>
    </w:p>
    <w:p>
      <w:pPr>
        <w:spacing w:before="140" w:after="60" w:lineRule="exact" w:line="260"/>
        <w:pBdr>
          <w:bottom w:val="single" w:sz="4" w:space="1" w:color="1A1A2E"/>
        </w:pBdr>
      </w:pPr>
      <w:r>
        <w:rPr>
          <w:b/>
          <w:color w:val="1A1A2E"/>
          <w:sz w:val="20"/>
        </w:rPr>
        <w:t>TECHNICAL SKILLS</w:t>
      </w:r>
    </w:p>
    <w:p>
      <w:pPr>
        <w:spacing w:before="0" w:after="20" w:lineRule="exact" w:line="240"/>
      </w:pPr>
      <w:r>
        <w:rPr>
          <w:b/>
          <w:sz w:val="19"/>
        </w:rPr>
        <w:t xml:space="preserve">AI &amp; LLM Frameworks: </w:t>
      </w:r>
      <w:r>
        <w:rPr>
          <w:sz w:val="19"/>
        </w:rPr>
        <w:t>LangGraph, Deep Agents, LangChain, RAG, Prompt Engineering, Agentic Orchestration, Autonomous Copilots</w:t>
      </w:r>
    </w:p>
    <w:p>
      <w:pPr>
        <w:spacing w:before="0" w:after="20" w:lineRule="exact" w:line="240"/>
      </w:pPr>
      <w:r>
        <w:rPr>
          <w:b/>
          <w:sz w:val="19"/>
        </w:rPr>
        <w:t xml:space="preserve">Search &amp; Retrieval: </w:t>
      </w:r>
      <w:r>
        <w:rPr>
          <w:sz w:val="19"/>
        </w:rPr>
        <w:t>pgvector, Cosine Similarity, Full-Text Search (ts_rank), SQLAlchemy CTEs, Hybrid Vector Search</w:t>
      </w:r>
    </w:p>
    <w:p>
      <w:pPr>
        <w:spacing w:before="0" w:after="20" w:lineRule="exact" w:line="240"/>
      </w:pPr>
      <w:r>
        <w:rPr>
          <w:b/>
          <w:sz w:val="19"/>
        </w:rPr>
        <w:t xml:space="preserve">AI Safety &amp; Compliance: </w:t>
      </w:r>
      <w:r>
        <w:rPr>
          <w:sz w:val="19"/>
        </w:rPr>
        <w:t>AWS Bedrock Guardrails, PII Anonymization/De-anonymization, Multi-Layer Content Scanning</w:t>
      </w:r>
    </w:p>
    <w:p>
      <w:pPr>
        <w:spacing w:before="0" w:after="20" w:lineRule="exact" w:line="240"/>
      </w:pPr>
      <w:r>
        <w:rPr>
          <w:b/>
          <w:sz w:val="19"/>
        </w:rPr>
        <w:t xml:space="preserve">Languages: </w:t>
      </w:r>
      <w:r>
        <w:rPr>
          <w:sz w:val="19"/>
        </w:rPr>
        <w:t>Python, TypeScript, JavaScript</w:t>
      </w:r>
    </w:p>
    <w:p>
      <w:pPr>
        <w:spacing w:before="0" w:after="20" w:lineRule="exact" w:line="240"/>
      </w:pPr>
      <w:r>
        <w:rPr>
          <w:b/>
          <w:sz w:val="19"/>
        </w:rPr>
        <w:t xml:space="preserve">Backend &amp; Data: </w:t>
      </w:r>
      <w:r>
        <w:rPr>
          <w:sz w:val="19"/>
        </w:rPr>
        <w:t>FastAPI, REST APIs, WebSocket Streaming, MongoDB, PostgreSQL, Snowflake, AWS Lambda, ETL Pipelines</w:t>
      </w:r>
    </w:p>
    <w:p>
      <w:pPr>
        <w:spacing w:before="0" w:after="20" w:lineRule="exact" w:line="240"/>
      </w:pPr>
      <w:r>
        <w:rPr>
          <w:b/>
          <w:sz w:val="19"/>
        </w:rPr>
        <w:t xml:space="preserve">Cloud &amp; Infrastructure: </w:t>
      </w:r>
      <w:r>
        <w:rPr>
          <w:sz w:val="19"/>
        </w:rPr>
        <w:t>AWS (Lambda, Bedrock), Azure (Blob Storage, Container Registry, AKS), Docker, Kubernetes, GitHub Actions, CI/CD</w:t>
      </w:r>
    </w:p>
    <w:p>
      <w:pPr>
        <w:spacing w:before="140" w:after="60" w:lineRule="exact" w:line="260"/>
        <w:pBdr>
          <w:bottom w:val="single" w:sz="4" w:space="1" w:color="1A1A2E"/>
        </w:pBdr>
      </w:pPr>
      <w:r>
        <w:rPr>
          <w:b/>
          <w:color w:val="1A1A2E"/>
          <w:sz w:val="20"/>
        </w:rPr>
        <w:t>WORK EXPERIENCE</w:t>
      </w:r>
    </w:p>
    <w:p>
      <w:pPr>
        <w:spacing w:before="100" w:after="20" w:lineRule="exact" w:line="260"/>
      </w:pPr>
      <w:r>
        <w:rPr>
          <w:b/>
          <w:color w:val="1A1A2E"/>
          <w:sz w:val="20"/>
        </w:rPr>
        <w:t xml:space="preserve">Tiger Analytics Inc  —  </w:t>
      </w:r>
      <w:r>
        <w:rPr>
          <w:i/>
          <w:sz w:val="19"/>
        </w:rPr>
        <w:t>AI Engineer</w:t>
      </w:r>
      <w:r>
        <w:rPr>
          <w:color w:val="777777"/>
          <w:sz w:val="18"/>
        </w:rPr>
        <w:t xml:space="preserve">  |  Sep 2022 — Present</w:t>
      </w:r>
    </w:p>
    <w:p>
      <w:pPr>
        <w:spacing w:before="60" w:after="20" w:lineRule="exact" w:line="240"/>
      </w:pPr>
      <w:r>
        <w:rPr>
          <w:b/>
          <w:sz w:val="19"/>
        </w:rPr>
        <w:t>Agentflow — Agent Orchestration Platform</w:t>
      </w:r>
    </w:p>
    <w:p>
      <w:pPr>
        <w:spacing w:before="0" w:after="20" w:lineRule="exact" w:line="240"/>
        <w:ind w:left="259" w:hanging="259"/>
      </w:pPr>
      <w:r>
        <w:rPr>
          <w:sz w:val="18"/>
        </w:rPr>
        <w:t>•  Designed and developed a dynamic LLM agent orchestration platform enabling canvas-based creation of LangGraph agents via React Flow, backed by a FastAPI service layer and PostgreSQL persistence.</w:t>
      </w:r>
    </w:p>
    <w:p>
      <w:pPr>
        <w:spacing w:before="0" w:after="20" w:lineRule="exact" w:line="240"/>
        <w:ind w:left="259" w:hanging="259"/>
      </w:pPr>
      <w:r>
        <w:rPr>
          <w:sz w:val="18"/>
        </w:rPr>
        <w:t>•  Built and integrated an autonomous AI copilot using the LangGraph Deep Agent stack, powering intelligent context-aware assistance across the Canvas editor, Playground testing suite, and Tool &amp; Connector registration modules.</w:t>
      </w:r>
    </w:p>
    <w:p>
      <w:pPr>
        <w:spacing w:before="0" w:after="20" w:lineRule="exact" w:line="240"/>
        <w:ind w:left="259" w:hanging="259"/>
      </w:pPr>
      <w:r>
        <w:rPr>
          <w:sz w:val="18"/>
        </w:rPr>
        <w:t>•  Engineered custom Dynamic Tool Middleware and a modular Skills architecture to lazily bind tools at inference time, significantly reducing context token overhead and improving agent execution latency.</w:t>
      </w:r>
    </w:p>
    <w:p>
      <w:pPr>
        <w:spacing w:before="0" w:after="20" w:lineRule="exact" w:line="240"/>
        <w:ind w:left="259" w:hanging="259"/>
      </w:pPr>
      <w:r>
        <w:rPr>
          <w:sz w:val="18"/>
        </w:rPr>
        <w:t>•  Architected a hybrid vector + full-text search engine in PostgreSQL using pgvector and SQLAlchemy CTEs, combining cosine similarity scoring with ts_rank for natural language discovery of tools and connectors.</w:t>
      </w:r>
    </w:p>
    <w:p>
      <w:pPr>
        <w:spacing w:before="0" w:after="20" w:lineRule="exact" w:line="240"/>
        <w:ind w:left="259" w:hanging="259"/>
      </w:pPr>
      <w:r>
        <w:rPr>
          <w:sz w:val="18"/>
        </w:rPr>
        <w:t>•  Led production migration of the AI platform into a client environment, replacing platform-native guardrails with AWS Bedrock Guardrails for multi-layer content scanning (user input, node output, tool output, final response) and implementing PII anonymization/de-anonymization for compliance-sensitive content.</w:t>
      </w:r>
    </w:p>
    <w:p>
      <w:pPr>
        <w:spacing w:before="0" w:after="20" w:lineRule="exact" w:line="240"/>
        <w:ind w:left="259" w:hanging="259"/>
      </w:pPr>
      <w:r>
        <w:rPr>
          <w:sz w:val="18"/>
        </w:rPr>
        <w:t>•  Delivered an end-to-end client use case by building a Q&amp;A agent on the platform for employee training data, including designing an ETL pipeline using AWS Lambda to ingest CSV data from SharePoint into Snowflake.</w:t>
      </w:r>
    </w:p>
    <w:p>
      <w:pPr>
        <w:spacing w:before="60" w:after="20" w:lineRule="exact" w:line="240"/>
      </w:pPr>
      <w:r>
        <w:rPr>
          <w:b/>
          <w:sz w:val="19"/>
        </w:rPr>
        <w:t>GabAI — GenAI Enterprise Chatbot (Bangko Sentral ng Pilipinas)</w:t>
      </w:r>
    </w:p>
    <w:p>
      <w:pPr>
        <w:spacing w:before="0" w:after="20" w:lineRule="exact" w:line="240"/>
        <w:ind w:left="259" w:hanging="259"/>
      </w:pPr>
      <w:r>
        <w:rPr>
          <w:sz w:val="18"/>
        </w:rPr>
        <w:t>•  Engineered a production GenAI chatbot powered by LangGraph agents with FastAPI and MongoDB, integrating MSAL SSO for enterprise authentication and Azure Blob Storage for document ingestion and retrieval.</w:t>
      </w:r>
    </w:p>
    <w:p>
      <w:pPr>
        <w:spacing w:before="0" w:after="20" w:lineRule="exact" w:line="240"/>
        <w:ind w:left="259" w:hanging="259"/>
      </w:pPr>
      <w:r>
        <w:rPr>
          <w:sz w:val="18"/>
        </w:rPr>
        <w:t>•  Designed an asynchronous API architecture with tokenized WebSocket streaming for low-latency, real-time LLM response delivery to end users across the organization.</w:t>
      </w:r>
    </w:p>
    <w:p>
      <w:pPr>
        <w:spacing w:before="0" w:after="20" w:lineRule="exact" w:line="240"/>
        <w:ind w:left="259" w:hanging="259"/>
      </w:pPr>
      <w:r>
        <w:rPr>
          <w:sz w:val="18"/>
        </w:rPr>
        <w:t>•  Established containerized deployment workflows using Docker and Azure Container Registry, with CI/CD pipelines via GitHub Actions for continuous model and application delivery.</w:t>
      </w:r>
    </w:p>
    <w:p>
      <w:pPr>
        <w:spacing w:before="60" w:after="20" w:lineRule="exact" w:line="240"/>
      </w:pPr>
      <w:r>
        <w:rPr>
          <w:b/>
          <w:sz w:val="19"/>
        </w:rPr>
        <w:t>GCash WealthCoach AI — AI-Powered Financial Chat Application</w:t>
      </w:r>
    </w:p>
    <w:p>
      <w:pPr>
        <w:spacing w:before="0" w:after="20" w:lineRule="exact" w:line="240"/>
        <w:ind w:left="259" w:hanging="259"/>
      </w:pPr>
      <w:r>
        <w:rPr>
          <w:sz w:val="18"/>
        </w:rPr>
        <w:t>•  Developed a responsive AI-powered financial chat interface using Vue 3 and TypeScript, deployed as a micro-frontend within a native mobile container for on-device advisory interactions.</w:t>
      </w:r>
    </w:p>
    <w:p>
      <w:pPr>
        <w:spacing w:before="0" w:after="20" w:lineRule="exact" w:line="240"/>
        <w:ind w:left="259" w:hanging="259"/>
      </w:pPr>
      <w:r>
        <w:rPr>
          <w:sz w:val="18"/>
        </w:rPr>
        <w:t>•  Optimized client-server communication with TanStack Query for efficient AI response caching and state synchronization, reducing redundant LLM API calls and improving perceived response time.</w:t>
      </w:r>
    </w:p>
    <w:p>
      <w:pPr>
        <w:spacing w:before="0" w:after="20" w:lineRule="exact" w:line="240"/>
        <w:ind w:left="259" w:hanging="259"/>
      </w:pPr>
      <w:r>
        <w:rPr>
          <w:sz w:val="18"/>
        </w:rPr>
        <w:t>•  Implemented custom encryption middleware via Native JS Bridges to secure sensitive financial data in transit between the client application and AI backend services.</w:t>
      </w:r>
    </w:p>
    <w:p>
      <w:pPr>
        <w:spacing w:before="60" w:after="20" w:lineRule="exact" w:line="240"/>
      </w:pPr>
      <w:r>
        <w:rPr>
          <w:b/>
          <w:sz w:val="19"/>
        </w:rPr>
        <w:t>MARS — Cloud Infrastructure Migration</w:t>
      </w:r>
    </w:p>
    <w:p>
      <w:pPr>
        <w:spacing w:before="0" w:after="20" w:lineRule="exact" w:line="240"/>
        <w:ind w:left="259" w:hanging="259"/>
      </w:pPr>
      <w:r>
        <w:rPr>
          <w:sz w:val="18"/>
        </w:rPr>
        <w:t>•  Migrated AI-serving infrastructure from Azure App Service to Azure Kubernetes Service with KEDA HTTP Add-on for scale-to-zero, optimizing compute costs for variable AI workload demand patterns.</w:t>
      </w:r>
    </w:p>
    <w:p>
      <w:pPr>
        <w:spacing w:before="0" w:after="20" w:lineRule="exact" w:line="240"/>
        <w:ind w:left="259" w:hanging="259"/>
      </w:pPr>
      <w:r>
        <w:rPr>
          <w:sz w:val="18"/>
        </w:rPr>
        <w:t>•  Authored Kubernetes manifests for containerized services and configured Ingress controllers for secure, scalable traffic management across multiple service endpoints.</w:t>
      </w:r>
    </w:p>
    <w:p>
      <w:pPr>
        <w:spacing w:before="140" w:after="60" w:lineRule="exact" w:line="260"/>
        <w:pBdr>
          <w:bottom w:val="single" w:sz="4" w:space="1" w:color="1A1A2E"/>
        </w:pBdr>
      </w:pPr>
      <w:r>
        <w:rPr>
          <w:b/>
          <w:color w:val="1A1A2E"/>
          <w:sz w:val="20"/>
        </w:rPr>
        <w:t>EDUCATION</w:t>
      </w:r>
    </w:p>
    <w:p>
      <w:pPr>
        <w:spacing w:before="20" w:after="0" w:lineRule="exact" w:line="240"/>
      </w:pPr>
      <w:r>
        <w:rPr>
          <w:b/>
          <w:sz w:val="19"/>
        </w:rPr>
        <w:t>BMS College of Engineering</w:t>
      </w:r>
      <w:r>
        <w:rPr>
          <w:sz w:val="19"/>
        </w:rPr>
        <w:t xml:space="preserve">  —  Electronics &amp; Telecommunication  |  2022</w:t>
      </w:r>
    </w:p>
    <w:sectPr w:rsidR="00FC693F" w:rsidRPr="0006063C" w:rsidSect="00034616">
      <w:pgSz w:w="12240" w:h="15840"/>
      <w:pgMar w:top="504" w:right="648" w:bottom="43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50"/>
    </w:pPr>
    <w:rPr>
      <w:rFonts w:ascii="Calibri" w:hAnsi="Calibri"/>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