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4B" w:val="clear"/>
            <w:tcMar>
              <w:top w:type="dxa" w:w="300"/>
              <w:left w:type="dxa" w:w="300"/>
              <w:bottom w:type="dxa" w:w="300"/>
              <w:right w:type="dxa" w:w="300"/>
            </w:tcMar>
            <w:vAlign w:val="top"/>
          </w:tcPr>
          <w:p>
            <w:pPr>
              <w:spacing w:before="0" w:after="60"/>
              <w:jc w:val="left"/>
            </w:pPr>
            <w:r>
              <w:rPr>
                <w:rFonts w:ascii="Arial" w:cs="Arial" w:eastAsia="Arial" w:hAnsi="Arial"/>
                <w:b/>
                <w:bCs/>
                <w:caps/>
                <w:color w:val="B0B8D0"/>
                <w:sz w:val="16"/>
                <w:szCs w:val="16"/>
              </w:rPr>
              <w:t xml:space="preserve">PROCESS DOCUMENT</w:t>
            </w:r>
          </w:p>
          <w:p>
            <w:pPr>
              <w:spacing w:before="0" w:after="80"/>
              <w:jc w:val="left"/>
            </w:pPr>
            <w:r>
              <w:rPr>
                <w:rFonts w:ascii="Arial" w:cs="Arial" w:eastAsia="Arial" w:hAnsi="Arial"/>
                <w:b/>
                <w:bCs/>
                <w:color w:val="FFFFFF"/>
                <w:sz w:val="48"/>
                <w:szCs w:val="48"/>
              </w:rPr>
              <w:t xml:space="preserve">G2RS Merchant Risk Co-Pilot</w:t>
            </w:r>
          </w:p>
          <w:p>
            <w:pPr>
              <w:spacing w:before="0" w:after="160"/>
              <w:jc w:val="left"/>
            </w:pPr>
            <w:r>
              <w:rPr>
                <w:rFonts w:ascii="Arial" w:cs="Arial" w:eastAsia="Arial" w:hAnsi="Arial"/>
                <w:i w:val="false"/>
                <w:iCs w:val="false"/>
                <w:color w:val="8B5CF6"/>
                <w:sz w:val="22"/>
                <w:szCs w:val="22"/>
              </w:rPr>
              <w:t xml:space="preserve">Senior PM Case Interview — Full Process, Thinking &amp; Final Answer</w:t>
            </w:r>
          </w:p>
          <w:p>
            <w:pPr>
              <w:pBdr>
                <w:bottom w:val="single" w:color="E5E7EB" w:sz="2" w:space="1"/>
              </w:pBd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8"/>
                      <w:szCs w:val="18"/>
                    </w:rPr>
                    <w:t xml:space="preserve">Company</w:t>
                  </w:r>
                </w:p>
              </w:tc>
              <w:tc>
                <w:tcPr>
                  <w:tcW w:type="dxa" w:w="6960"/>
                  <w:tcBorders>
                    <w:top w:val="single" w:color="E5E7EB" w:sz="1"/>
                    <w:left w:val="none" w:color="FFFFFF" w:sz="0"/>
                    <w:bottom w:val="single" w:color="E5E7EB" w:sz="1"/>
                    <w:right w:val="none" w:color="FFFFFF" w:sz="0"/>
                  </w:tcBorders>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G2 Risk Solutions (G2RS) · EverC</w:t>
                  </w:r>
                </w:p>
              </w:tc>
            </w:tr>
            <w:tr>
              <w:tc>
                <w:tcPr>
                  <w:tcW w:type="dxa" w:w="24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8"/>
                      <w:szCs w:val="18"/>
                    </w:rPr>
                    <w:t xml:space="preserve">Candidate</w:t>
                  </w:r>
                </w:p>
              </w:tc>
              <w:tc>
                <w:tcPr>
                  <w:tcW w:type="dxa" w:w="6960"/>
                  <w:tcBorders>
                    <w:top w:val="single" w:color="E5E7EB" w:sz="1"/>
                    <w:left w:val="none" w:color="FFFFFF" w:sz="0"/>
                    <w:bottom w:val="single" w:color="E5E7EB" w:sz="1"/>
                    <w:right w:val="none" w:color="FFFFFF" w:sz="0"/>
                  </w:tcBorders>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Senior Product Manager — Case Interview</w:t>
                  </w:r>
                </w:p>
              </w:tc>
            </w:tr>
            <w:tr>
              <w:tc>
                <w:tcPr>
                  <w:tcW w:type="dxa" w:w="24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8"/>
                      <w:szCs w:val="18"/>
                    </w:rPr>
                    <w:t xml:space="preserve">Interviewer</w:t>
                  </w:r>
                </w:p>
              </w:tc>
              <w:tc>
                <w:tcPr>
                  <w:tcW w:type="dxa" w:w="6960"/>
                  <w:tcBorders>
                    <w:top w:val="single" w:color="E5E7EB" w:sz="1"/>
                    <w:left w:val="none" w:color="FFFFFF" w:sz="0"/>
                    <w:bottom w:val="single" w:color="E5E7EB" w:sz="1"/>
                    <w:right w:val="none" w:color="FFFFFF" w:sz="0"/>
                  </w:tcBorders>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Ishai Froind + panel (5–7 members)</w:t>
                  </w:r>
                </w:p>
              </w:tc>
            </w:tr>
            <w:tr>
              <w:tc>
                <w:tcPr>
                  <w:tcW w:type="dxa" w:w="24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8"/>
                      <w:szCs w:val="18"/>
                    </w:rPr>
                    <w:t xml:space="preserve">Date</w:t>
                  </w:r>
                </w:p>
              </w:tc>
              <w:tc>
                <w:tcPr>
                  <w:tcW w:type="dxa" w:w="6960"/>
                  <w:tcBorders>
                    <w:top w:val="single" w:color="E5E7EB" w:sz="1"/>
                    <w:left w:val="none" w:color="FFFFFF" w:sz="0"/>
                    <w:bottom w:val="single" w:color="E5E7EB" w:sz="1"/>
                    <w:right w:val="none" w:color="FFFFFF" w:sz="0"/>
                  </w:tcBorders>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March 2026</w:t>
                  </w:r>
                </w:p>
              </w:tc>
            </w:tr>
            <w:tr>
              <w:tc>
                <w:tcPr>
                  <w:tcW w:type="dxa" w:w="24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8"/>
                      <w:szCs w:val="18"/>
                    </w:rPr>
                    <w:t xml:space="preserve">Document type</w:t>
                  </w:r>
                </w:p>
              </w:tc>
              <w:tc>
                <w:tcPr>
                  <w:tcW w:type="dxa" w:w="6960"/>
                  <w:tcBorders>
                    <w:top w:val="single" w:color="E5E7EB" w:sz="1"/>
                    <w:left w:val="none" w:color="FFFFFF" w:sz="0"/>
                    <w:bottom w:val="single" w:color="E5E7EB" w:sz="1"/>
                    <w:right w:val="none" w:color="FFFFFF" w:sz="0"/>
                  </w:tcBorders>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Full process record — brainstorm, iterations, decisions, final answer</w:t>
                  </w:r>
                </w:p>
              </w:tc>
            </w:tr>
          </w:tbl>
          <w:p/>
        </w:tc>
      </w:tr>
    </w:tbl>
    <w:p>
      <w:pPr>
        <w:spacing w:before="0" w:after="60"/>
        <w:jc w:val="left"/>
      </w:pPr>
      <w:r>
        <w:rPr>
          <w:rFonts w:ascii="Arial" w:cs="Arial" w:eastAsia="Arial" w:hAnsi="Arial"/>
          <w:color w:val="374151"/>
          <w:sz w:val="20"/>
          <w:szCs w:val="20"/>
        </w:rPr>
        <w:t xml:space="preserve"/>
      </w:r>
    </w:p>
    <w:p>
      <w:pPr>
        <w:spacing w:before="0" w:after="60"/>
        <w:jc w:val="left"/>
      </w:pPr>
      <w:r>
        <w:rPr>
          <w:rFonts w:ascii="Arial" w:cs="Arial" w:eastAsia="Arial" w:hAnsi="Arial"/>
          <w:color w:val="374151"/>
          <w:sz w:val="20"/>
          <w:szCs w:val="20"/>
        </w:rPr>
        <w:t xml:space="preserve"/>
      </w:r>
    </w:p>
    <w:p>
      <w:pPr>
        <w:pBdr>
          <w:bottom w:val="single" w:color="5B21B6" w:sz="8" w:space="6"/>
        </w:pBdr>
        <w:spacing w:before="480" w:after="160"/>
      </w:pPr>
      <w:r>
        <w:rPr>
          <w:rFonts w:ascii="Arial" w:cs="Arial" w:eastAsia="Arial" w:hAnsi="Arial"/>
          <w:b/>
          <w:bCs/>
          <w:color w:val="1E1B4B"/>
          <w:sz w:val="40"/>
          <w:szCs w:val="40"/>
        </w:rPr>
        <w:t xml:space="preserve">1. The Assignment</w:t>
      </w:r>
    </w:p>
    <w:p>
      <w:pPr>
        <w:spacing w:before="360" w:after="120"/>
      </w:pPr>
      <w:r>
        <w:rPr>
          <w:rFonts w:ascii="Arial" w:cs="Arial" w:eastAsia="Arial" w:hAnsi="Arial"/>
          <w:b/>
          <w:bCs/>
          <w:color w:val="5B21B6"/>
          <w:sz w:val="28"/>
          <w:szCs w:val="28"/>
        </w:rPr>
        <w:t xml:space="preserve">1.1 What was asked</w:t>
      </w:r>
    </w:p>
    <w:p>
      <w:pPr>
        <w:spacing w:before="0" w:after="120"/>
        <w:jc w:val="left"/>
      </w:pPr>
      <w:r>
        <w:rPr>
          <w:rFonts w:ascii="Arial" w:cs="Arial" w:eastAsia="Arial" w:hAnsi="Arial"/>
          <w:color w:val="374151"/>
          <w:sz w:val="20"/>
          <w:szCs w:val="20"/>
        </w:rPr>
        <w:t xml:space="preserve">G2RS / EverC gave a PM case interview assignment with a single brief: solve the operational overhead caused by large numbers of detected violations reaching the customer.</w:t>
      </w:r>
    </w:p>
    <w:p>
      <w:pPr>
        <w:spacing w:before="0" w:after="120"/>
        <w:jc w:val="left"/>
      </w:pPr>
      <w:r>
        <w:rPr>
          <w:rFonts w:ascii="Arial" w:cs="Arial" w:eastAsia="Arial" w:hAnsi="Arial"/>
          <w:color w:val="374151"/>
          <w:sz w:val="20"/>
          <w:szCs w:val="20"/>
        </w:rPr>
        <w:t xml:space="preserve">The presentation was to be delivered to Ishai Froind, head of product at G2RS, plus a panel of 5–7 people. The format was open — the candidate was expected to identify the real problem, design a solution, and defend the choices.</w:t>
      </w:r>
    </w:p>
    <w:p>
      <w:pPr>
        <w:spacing w:before="360" w:after="120"/>
      </w:pPr>
      <w:r>
        <w:rPr>
          <w:rFonts w:ascii="Arial" w:cs="Arial" w:eastAsia="Arial" w:hAnsi="Arial"/>
          <w:b/>
          <w:bCs/>
          <w:color w:val="5B21B6"/>
          <w:sz w:val="28"/>
          <w:szCs w:val="28"/>
        </w:rPr>
        <w:t xml:space="preserve">1.2 The company context</w:t>
      </w:r>
    </w:p>
    <w:p>
      <w:pPr>
        <w:spacing w:before="0" w:after="120"/>
        <w:jc w:val="left"/>
      </w:pPr>
      <w:r>
        <w:rPr>
          <w:rFonts w:ascii="Arial" w:cs="Arial" w:eastAsia="Arial" w:hAnsi="Arial"/>
          <w:color w:val="374151"/>
          <w:sz w:val="20"/>
          <w:szCs w:val="20"/>
        </w:rPr>
        <w:t xml:space="preserve">G2RS (G2 Risk Solutions) is a merchant risk monitoring company. Its core product detects violations in merchant websites and activities — gambling, counterfeit goods, prescription drugs sold illegally, adult content, and other violations of payment network acceptable use policies.</w:t>
      </w:r>
    </w:p>
    <w:p>
      <w:pPr>
        <w:spacing w:before="0" w:after="120"/>
        <w:jc w:val="left"/>
      </w:pPr>
      <w:r>
        <w:rPr>
          <w:rFonts w:ascii="Arial" w:cs="Arial" w:eastAsia="Arial" w:hAnsi="Arial"/>
          <w:color w:val="374151"/>
          <w:sz w:val="20"/>
          <w:szCs w:val="20"/>
        </w:rPr>
        <w:t xml:space="preserve">EverC was acquired by G2RS and provides the deep web scanning and merchant intelligence layer — the Compass Score, risk graph, and behavioral signals that power the findings.</w:t>
      </w:r>
    </w:p>
    <w:p>
      <w:pPr>
        <w:spacing w:before="0" w:after="120"/>
        <w:jc w:val="left"/>
      </w:pPr>
      <w:r>
        <w:rPr>
          <w:rFonts w:ascii="Arial" w:cs="Arial" w:eastAsia="Arial" w:hAnsi="Arial"/>
          <w:color w:val="374151"/>
          <w:sz w:val="20"/>
          <w:szCs w:val="20"/>
        </w:rPr>
        <w:t xml:space="preserve">G2RS's customers are banks, fintechs, payment facilitators (PayFacs), and acquirers — financial institutions responsible for monitoring their merchant portfolios for compliance.</w:t>
      </w:r>
    </w:p>
    <w:p>
      <w:pPr>
        <w:spacing w:before="360" w:after="120"/>
      </w:pPr>
      <w:r>
        <w:rPr>
          <w:rFonts w:ascii="Arial" w:cs="Arial" w:eastAsia="Arial" w:hAnsi="Arial"/>
          <w:b/>
          <w:bCs/>
          <w:color w:val="5B21B6"/>
          <w:sz w:val="28"/>
          <w:szCs w:val="28"/>
        </w:rPr>
        <w:t xml:space="preserve">1.3 The constraint that shaped everything</w:t>
      </w:r>
    </w:p>
    <w:p>
      <w:pPr>
        <w:pBdr>
          <w:left w:val="single" w:color="D97706" w:sz="18" w:space="8"/>
        </w:pBdr>
        <w:shd w:fill="FEF3C7" w:val="clear"/>
        <w:spacing w:before="120" w:after="120"/>
        <w:ind w:left="200" w:right="200"/>
      </w:pPr>
      <w:r>
        <w:rPr>
          <w:rFonts w:ascii="Arial" w:cs="Arial" w:eastAsia="Arial" w:hAnsi="Arial"/>
          <w:color w:val="D97706"/>
          <w:sz w:val="20"/>
          <w:szCs w:val="20"/>
        </w:rPr>
        <w:t xml:space="preserve">G2RS cannot access customer transaction data. Everything G2RS knows comes from external scanning (EverC). The customer's internal systems — transaction logs, chargeback data, invoices — are off limits. Any solution had to work entirely within this boundary.</w:t>
      </w:r>
    </w:p>
    <w:p>
      <w:pPr>
        <w:spacing w:before="0" w:after="60"/>
        <w:jc w:val="left"/>
      </w:pPr>
      <w:r>
        <w:rPr>
          <w:rFonts w:ascii="Arial" w:cs="Arial" w:eastAsia="Arial" w:hAnsi="Arial"/>
          <w:color w:val="374151"/>
          <w:sz w:val="20"/>
          <w:szCs w:val="20"/>
        </w:rPr>
        <w:t xml:space="preserve"/>
      </w:r>
    </w:p>
    <w:p>
      <w:pPr>
        <w:pBdr>
          <w:bottom w:val="single" w:color="5B21B6" w:sz="8" w:space="6"/>
        </w:pBdr>
        <w:spacing w:before="480" w:after="160"/>
      </w:pPr>
      <w:r>
        <w:rPr>
          <w:rFonts w:ascii="Arial" w:cs="Arial" w:eastAsia="Arial" w:hAnsi="Arial"/>
          <w:b/>
          <w:bCs/>
          <w:color w:val="1E1B4B"/>
          <w:sz w:val="40"/>
          <w:szCs w:val="40"/>
        </w:rPr>
        <w:t xml:space="preserve">2. Understanding the Problem — The Investigation Process</w:t>
      </w:r>
    </w:p>
    <w:p>
      <w:pPr>
        <w:spacing w:before="360" w:after="120"/>
      </w:pPr>
      <w:r>
        <w:rPr>
          <w:rFonts w:ascii="Arial" w:cs="Arial" w:eastAsia="Arial" w:hAnsi="Arial"/>
          <w:b/>
          <w:bCs/>
          <w:color w:val="5B21B6"/>
          <w:sz w:val="28"/>
          <w:szCs w:val="28"/>
        </w:rPr>
        <w:t xml:space="preserve">2.1 Where we started</w:t>
      </w:r>
    </w:p>
    <w:p>
      <w:pPr>
        <w:spacing w:before="0" w:after="120"/>
        <w:jc w:val="left"/>
      </w:pPr>
      <w:r>
        <w:rPr>
          <w:rFonts w:ascii="Arial" w:cs="Arial" w:eastAsia="Arial" w:hAnsi="Arial"/>
          <w:color w:val="374151"/>
          <w:sz w:val="20"/>
          <w:szCs w:val="20"/>
        </w:rPr>
        <w:t xml:space="preserve">The first instinct when hearing "operational overhead from detected violations" is to think about the volume of alerts. Too many alerts = too much work. Logical. But that framing leads to the wrong solutions — reduce alerts, improve precision, triage harder.</w:t>
      </w:r>
    </w:p>
    <w:p>
      <w:pPr>
        <w:spacing w:before="0" w:after="120"/>
        <w:jc w:val="left"/>
      </w:pPr>
      <w:r>
        <w:rPr>
          <w:rFonts w:ascii="Arial" w:cs="Arial" w:eastAsia="Arial" w:hAnsi="Arial"/>
          <w:color w:val="374151"/>
          <w:sz w:val="20"/>
          <w:szCs w:val="20"/>
        </w:rPr>
        <w:t xml:space="preserve">We pushed deeper: what actually happens after G2RS detects a violation? We mapped the full investigation workflow step by step.</w:t>
      </w:r>
    </w:p>
    <w:p>
      <w:pPr>
        <w:spacing w:before="360" w:after="120"/>
      </w:pPr>
      <w:r>
        <w:rPr>
          <w:rFonts w:ascii="Arial" w:cs="Arial" w:eastAsia="Arial" w:hAnsi="Arial"/>
          <w:b/>
          <w:bCs/>
          <w:color w:val="5B21B6"/>
          <w:sz w:val="28"/>
          <w:szCs w:val="28"/>
        </w:rPr>
        <w:t xml:space="preserve">2.2 The actual analyst workflow</w:t>
      </w:r>
    </w:p>
    <w:p>
      <w:pPr>
        <w:spacing w:before="0" w:after="120"/>
        <w:jc w:val="left"/>
      </w:pPr>
      <w:r>
        <w:rPr>
          <w:rFonts w:ascii="Arial" w:cs="Arial" w:eastAsia="Arial" w:hAnsi="Arial"/>
          <w:color w:val="374151"/>
          <w:sz w:val="20"/>
          <w:szCs w:val="20"/>
        </w:rPr>
        <w:t xml:space="preserve">When a G2RS customer receives a violation finding, their risk analyst must investigate it before taking action. That investigation looks like this:</w:t>
      </w:r>
    </w:p>
    <w:p>
      <w:pPr>
        <w:pStyle w:val="ListParagraph"/>
        <w:numPr>
          <w:ilvl w:val="0"/>
          <w:numId w:val="2"/>
        </w:numPr>
        <w:spacing w:before="0" w:after="80"/>
      </w:pPr>
      <w:r>
        <w:rPr>
          <w:rFonts w:ascii="Arial" w:cs="Arial" w:eastAsia="Arial" w:hAnsi="Arial"/>
          <w:color w:val="374151"/>
          <w:sz w:val="20"/>
          <w:szCs w:val="20"/>
        </w:rPr>
        <w:t xml:space="preserve">Opens the alert — no context pre-loaded. The case starts cold.</w:t>
      </w:r>
    </w:p>
    <w:p>
      <w:pPr>
        <w:pStyle w:val="ListParagraph"/>
        <w:numPr>
          <w:ilvl w:val="0"/>
          <w:numId w:val="2"/>
        </w:numPr>
        <w:spacing w:before="0" w:after="80"/>
      </w:pPr>
      <w:r>
        <w:rPr>
          <w:rFonts w:ascii="Arial" w:cs="Arial" w:eastAsia="Arial" w:hAnsi="Arial"/>
          <w:color w:val="374151"/>
          <w:sz w:val="20"/>
          <w:szCs w:val="20"/>
        </w:rPr>
        <w:t xml:space="preserve">Looks up the merchant history — manually, across 3+ internal tools. Transaction logs, chargeback data, prior violations, previous correspondence.</w:t>
      </w:r>
    </w:p>
    <w:p>
      <w:pPr>
        <w:pStyle w:val="ListParagraph"/>
        <w:numPr>
          <w:ilvl w:val="0"/>
          <w:numId w:val="2"/>
        </w:numPr>
        <w:spacing w:before="0" w:after="80"/>
      </w:pPr>
      <w:r>
        <w:rPr>
          <w:rFonts w:ascii="Arial" w:cs="Arial" w:eastAsia="Arial" w:hAnsi="Arial"/>
          <w:color w:val="374151"/>
          <w:sz w:val="20"/>
          <w:szCs w:val="20"/>
        </w:rPr>
        <w:t xml:space="preserve">Identifies the violation type — reads the G2RS finding and interprets what kind of violation it is.</w:t>
      </w:r>
    </w:p>
    <w:p>
      <w:pPr>
        <w:pStyle w:val="ListParagraph"/>
        <w:numPr>
          <w:ilvl w:val="0"/>
          <w:numId w:val="2"/>
        </w:numPr>
        <w:spacing w:before="0" w:after="80"/>
      </w:pPr>
      <w:r>
        <w:rPr>
          <w:rFonts w:ascii="Arial" w:cs="Arial" w:eastAsia="Arial" w:hAnsi="Arial"/>
          <w:color w:val="374151"/>
          <w:sz w:val="20"/>
          <w:szCs w:val="20"/>
        </w:rPr>
        <w:t xml:space="preserve">Recalls the relevant policy — opens the Acceptable Use Policy, finds the right clause for this violation type.</w:t>
      </w:r>
    </w:p>
    <w:p>
      <w:pPr>
        <w:pStyle w:val="ListParagraph"/>
        <w:numPr>
          <w:ilvl w:val="0"/>
          <w:numId w:val="2"/>
        </w:numPr>
        <w:spacing w:before="0" w:after="80"/>
      </w:pPr>
      <w:r>
        <w:rPr>
          <w:rFonts w:ascii="Arial" w:cs="Arial" w:eastAsia="Arial" w:hAnsi="Arial"/>
          <w:color w:val="374151"/>
          <w:sz w:val="20"/>
          <w:szCs w:val="20"/>
        </w:rPr>
        <w:t xml:space="preserve">Figures out what internal data to check — no guidance. The analyst makes a judgment call about what's relevant for this specific violation.</w:t>
      </w:r>
    </w:p>
    <w:p>
      <w:pPr>
        <w:pStyle w:val="ListParagraph"/>
        <w:numPr>
          <w:ilvl w:val="0"/>
          <w:numId w:val="2"/>
        </w:numPr>
        <w:spacing w:before="0" w:after="80"/>
      </w:pPr>
      <w:r>
        <w:rPr>
          <w:rFonts w:ascii="Arial" w:cs="Arial" w:eastAsia="Arial" w:hAnsi="Arial"/>
          <w:color w:val="374151"/>
          <w:sz w:val="20"/>
          <w:szCs w:val="20"/>
        </w:rPr>
        <w:t xml:space="preserve">Runs the investigation — pulls the relevant data, cross-references it with the G2RS finding, assesses severity.</w:t>
      </w:r>
    </w:p>
    <w:p>
      <w:pPr>
        <w:pStyle w:val="ListParagraph"/>
        <w:numPr>
          <w:ilvl w:val="0"/>
          <w:numId w:val="2"/>
        </w:numPr>
        <w:spacing w:before="0" w:after="80"/>
      </w:pPr>
      <w:r>
        <w:rPr>
          <w:rFonts w:ascii="Arial" w:cs="Arial" w:eastAsia="Arial" w:hAnsi="Arial"/>
          <w:color w:val="374151"/>
          <w:sz w:val="20"/>
          <w:szCs w:val="20"/>
        </w:rPr>
        <w:t xml:space="preserve">Writes a rationale — documents the finding, the evidence reviewed, and the decision. Starts from a blank page every time.</w:t>
      </w:r>
    </w:p>
    <w:p>
      <w:pPr>
        <w:pStyle w:val="ListParagraph"/>
        <w:numPr>
          <w:ilvl w:val="0"/>
          <w:numId w:val="2"/>
        </w:numPr>
        <w:spacing w:before="0" w:after="80"/>
      </w:pPr>
      <w:r>
        <w:rPr>
          <w:rFonts w:ascii="Arial" w:cs="Arial" w:eastAsia="Arial" w:hAnsi="Arial"/>
          <w:color w:val="374151"/>
          <w:sz w:val="20"/>
          <w:szCs w:val="20"/>
        </w:rPr>
        <w:t xml:space="preserve">Closes the case — 40 to 60 minutes later. Per case. Every case.</w:t>
      </w:r>
    </w:p>
    <w:p>
      <w:pPr>
        <w:spacing w:before="0" w:after="60"/>
        <w:jc w:val="left"/>
      </w:pPr>
      <w:r>
        <w:rPr>
          <w:rFonts w:ascii="Arial" w:cs="Arial" w:eastAsia="Arial" w:hAnsi="Arial"/>
          <w:color w:val="374151"/>
          <w:sz w:val="20"/>
          <w:szCs w:val="20"/>
        </w:rPr>
        <w:t xml:space="preserve"/>
      </w:r>
    </w:p>
    <w:p>
      <w:pPr>
        <w:spacing w:before="0" w:after="120"/>
        <w:jc w:val="left"/>
      </w:pPr>
      <w:r>
        <w:rPr>
          <w:rFonts w:ascii="Arial" w:cs="Arial" w:eastAsia="Arial" w:hAnsi="Arial"/>
          <w:color w:val="374151"/>
          <w:sz w:val="20"/>
          <w:szCs w:val="20"/>
        </w:rPr>
        <w:t xml:space="preserve">The time cost alone was significant. But the deeper issue was not visible yet.</w:t>
      </w:r>
    </w:p>
    <w:p>
      <w:pPr>
        <w:spacing w:before="360" w:after="120"/>
      </w:pPr>
      <w:r>
        <w:rPr>
          <w:rFonts w:ascii="Arial" w:cs="Arial" w:eastAsia="Arial" w:hAnsi="Arial"/>
          <w:b/>
          <w:bCs/>
          <w:color w:val="5B21B6"/>
          <w:sz w:val="28"/>
          <w:szCs w:val="28"/>
        </w:rPr>
        <w:t xml:space="preserve">2.3 The repetition problem — the real pain</w:t>
      </w:r>
    </w:p>
    <w:p>
      <w:pPr>
        <w:spacing w:before="0" w:after="120"/>
        <w:jc w:val="left"/>
      </w:pPr>
      <w:r>
        <w:rPr>
          <w:rFonts w:ascii="Arial" w:cs="Arial" w:eastAsia="Arial" w:hAnsi="Arial"/>
          <w:color w:val="374151"/>
          <w:sz w:val="20"/>
          <w:szCs w:val="20"/>
        </w:rPr>
        <w:t xml:space="preserve">The breakthrough insight came from noticing what happens when the analyst closes one case and opens the next. If the next alert is another gambling violation — different merchant, same violation type — the analyst starts from zero again.</w:t>
      </w:r>
    </w:p>
    <w:p>
      <w:pPr>
        <w:spacing w:before="0" w:after="120"/>
        <w:jc w:val="left"/>
      </w:pPr>
      <w:r>
        <w:rPr>
          <w:rFonts w:ascii="Arial" w:cs="Arial" w:eastAsia="Arial" w:hAnsi="Arial"/>
          <w:color w:val="374151"/>
          <w:sz w:val="20"/>
          <w:szCs w:val="20"/>
        </w:rPr>
        <w:t xml:space="preserve">The same policy is recalled. The same kind of internal data is checked. The same mental model is reconstructed. The same type of rationale is written. Everything repeats. The knowledge built during the first gambling investigation is thrown away and rebuilt from scratch.</w:t>
      </w:r>
    </w:p>
    <w:p>
      <w:pPr>
        <w:pBdr>
          <w:left w:val="single" w:color="5B21B6" w:sz="18" w:space="10"/>
        </w:pBdr>
        <w:shd w:fill="EDE9FE" w:val="clear"/>
        <w:spacing w:before="160" w:after="160"/>
        <w:ind w:left="720" w:right="720"/>
      </w:pPr>
      <w:r>
        <w:rPr>
          <w:rFonts w:ascii="Arial" w:cs="Arial" w:eastAsia="Arial" w:hAnsi="Arial"/>
          <w:b/>
          <w:bCs/>
          <w:i/>
          <w:iCs/>
          <w:color w:val="5B21B6"/>
          <w:sz w:val="22"/>
          <w:szCs w:val="22"/>
        </w:rPr>
        <w:t xml:space="preserve">“The investigation for a gambling violation is essentially the same process every time. The merchant changes. The process doesn't. But the analyst starts from zero every single time.”</w:t>
      </w:r>
    </w:p>
    <w:p>
      <w:pPr>
        <w:spacing w:before="0" w:after="120"/>
        <w:jc w:val="left"/>
      </w:pPr>
      <w:r>
        <w:rPr>
          <w:rFonts w:ascii="Arial" w:cs="Arial" w:eastAsia="Arial" w:hAnsi="Arial"/>
          <w:color w:val="374151"/>
          <w:sz w:val="20"/>
          <w:szCs w:val="20"/>
        </w:rPr>
        <w:t xml:space="preserve">This is not a volume problem. It is a structure problem. G2RS delivers alerts by merchant. Investigation logic lives by violation type. That mismatch is the real bottleneck.</w:t>
      </w:r>
    </w:p>
    <w:p>
      <w:pPr>
        <w:spacing w:before="360" w:after="120"/>
      </w:pPr>
      <w:r>
        <w:rPr>
          <w:rFonts w:ascii="Arial" w:cs="Arial" w:eastAsia="Arial" w:hAnsi="Arial"/>
          <w:b/>
          <w:bCs/>
          <w:color w:val="5B21B6"/>
          <w:sz w:val="28"/>
          <w:szCs w:val="28"/>
        </w:rPr>
        <w:t xml:space="preserve">2.4 Why this matters for G2RS — the scalability gap</w:t>
      </w:r>
    </w:p>
    <w:p>
      <w:pPr>
        <w:spacing w:before="0" w:after="120"/>
        <w:jc w:val="left"/>
      </w:pPr>
      <w:r>
        <w:rPr>
          <w:rFonts w:ascii="Arial" w:cs="Arial" w:eastAsia="Arial" w:hAnsi="Arial"/>
          <w:color w:val="374151"/>
          <w:sz w:val="20"/>
          <w:szCs w:val="20"/>
        </w:rPr>
        <w:t xml:space="preserve">This took several iterations to frame correctly. The original framing was about G2RS's growth depending on customer capacity. That was wrong — it framed it as G2RS's problem.</w:t>
      </w:r>
    </w:p>
    <w:p>
      <w:pPr>
        <w:spacing w:before="0" w:after="120"/>
        <w:jc w:val="left"/>
      </w:pPr>
      <w:r>
        <w:rPr>
          <w:rFonts w:ascii="Arial" w:cs="Arial" w:eastAsia="Arial" w:hAnsi="Arial"/>
          <w:color w:val="374151"/>
          <w:sz w:val="20"/>
          <w:szCs w:val="20"/>
        </w:rPr>
        <w:t xml:space="preserve">The correct framing is about the customer's scalability:</w:t>
      </w:r>
    </w:p>
    <w:p>
      <w:pPr>
        <w:pBdr>
          <w:left w:val="single" w:color="5B21B6" w:sz="18" w:space="8"/>
        </w:pBdr>
        <w:shd w:fill="EDE9FE" w:val="clear"/>
        <w:spacing w:before="120" w:after="120"/>
        <w:ind w:left="200" w:right="200"/>
      </w:pPr>
      <w:r>
        <w:rPr>
          <w:rFonts w:ascii="Arial" w:cs="Arial" w:eastAsia="Arial" w:hAnsi="Arial"/>
          <w:color w:val="5B21B6"/>
          <w:sz w:val="20"/>
          <w:szCs w:val="20"/>
        </w:rPr>
        <w:t xml:space="preserve">G2RS gives customers detection. It does not give them scalability. As a customer's merchant portfolio grows, the violation queue grows proportionally. The customer's risk team cannot grow at the same rate. G2RS is not giving them a way to scale. So customers either cap their portfolio growth, reduce their screening scope, or partially switch G2RS off — not because the product fails to detect, but because they cannot handle what it finds.</w:t>
      </w:r>
    </w:p>
    <w:p>
      <w:pPr>
        <w:spacing w:before="0" w:after="60"/>
        <w:jc w:val="left"/>
      </w:pPr>
      <w:r>
        <w:rPr>
          <w:rFonts w:ascii="Arial" w:cs="Arial" w:eastAsia="Arial" w:hAnsi="Arial"/>
          <w:color w:val="374151"/>
          <w:sz w:val="20"/>
          <w:szCs w:val="20"/>
        </w:rPr>
        <w:t xml:space="preserve"/>
      </w:r>
    </w:p>
    <w:p>
      <w:pPr>
        <w:spacing w:before="0" w:after="120"/>
        <w:jc w:val="left"/>
      </w:pPr>
      <w:r>
        <w:rPr>
          <w:rFonts w:ascii="Arial" w:cs="Arial" w:eastAsia="Arial" w:hAnsi="Arial"/>
          <w:color w:val="374151"/>
          <w:sz w:val="20"/>
          <w:szCs w:val="20"/>
        </w:rPr>
        <w:t xml:space="preserve">This has two concrete business consequences for G2RS:</w:t>
      </w:r>
    </w:p>
    <w:p>
      <w:pPr>
        <w:pStyle w:val="ListParagraph"/>
        <w:numPr>
          <w:ilvl w:val="0"/>
          <w:numId w:val="3"/>
        </w:numPr>
        <w:spacing w:before="0" w:after="80"/>
      </w:pPr>
      <w:r>
        <w:rPr>
          <w:rFonts w:ascii="Arial" w:cs="Arial" w:eastAsia="Arial" w:hAnsi="Arial"/>
          <w:b w:val="false"/>
          <w:bCs w:val="false"/>
          <w:color w:val="374151"/>
          <w:sz w:val="20"/>
          <w:szCs w:val="20"/>
        </w:rPr>
        <w:t xml:space="preserve">Existing customers self-limit. They stop expanding their portfolios because they've hit analyst capacity. G2RS revenue growth plateaus with them.</w:t>
      </w:r>
    </w:p>
    <w:p>
      <w:pPr>
        <w:pStyle w:val="ListParagraph"/>
        <w:numPr>
          <w:ilvl w:val="0"/>
          <w:numId w:val="3"/>
        </w:numPr>
        <w:spacing w:before="0" w:after="80"/>
      </w:pPr>
      <w:r>
        <w:rPr>
          <w:rFonts w:ascii="Arial" w:cs="Arial" w:eastAsia="Arial" w:hAnsi="Arial"/>
          <w:b w:val="false"/>
          <w:bCs w:val="false"/>
          <w:color w:val="374151"/>
          <w:sz w:val="20"/>
          <w:szCs w:val="20"/>
        </w:rPr>
        <w:t xml:space="preserve">Prospective customers don't adopt. They do the math — 50,000 merchants times violation rate times investigation time — and decide the workload is unmanageable. Deals don't close, not because of the product's detection quality but because of the operational fear of what comes after detection.</w:t>
      </w:r>
    </w:p>
    <w:p>
      <w:pPr>
        <w:spacing w:before="0" w:after="60"/>
        <w:jc w:val="left"/>
      </w:pPr>
      <w:r>
        <w:rPr>
          <w:rFonts w:ascii="Arial" w:cs="Arial" w:eastAsia="Arial" w:hAnsi="Arial"/>
          <w:color w:val="374151"/>
          <w:sz w:val="20"/>
          <w:szCs w:val="20"/>
        </w:rPr>
        <w:t xml:space="preserve"/>
      </w:r>
    </w:p>
    <w:p>
      <w:pPr>
        <w:pBdr>
          <w:bottom w:val="single" w:color="5B21B6" w:sz="8" w:space="6"/>
        </w:pBdr>
        <w:spacing w:before="480" w:after="160"/>
      </w:pPr>
      <w:r>
        <w:rPr>
          <w:rFonts w:ascii="Arial" w:cs="Arial" w:eastAsia="Arial" w:hAnsi="Arial"/>
          <w:b/>
          <w:bCs/>
          <w:color w:val="1E1B4B"/>
          <w:sz w:val="40"/>
          <w:szCs w:val="40"/>
        </w:rPr>
        <w:t xml:space="preserve">3. Alternatives Considered</w:t>
      </w:r>
    </w:p>
    <w:p>
      <w:pPr>
        <w:spacing w:before="0" w:after="120"/>
        <w:jc w:val="left"/>
      </w:pPr>
      <w:r>
        <w:rPr>
          <w:rFonts w:ascii="Arial" w:cs="Arial" w:eastAsia="Arial" w:hAnsi="Arial"/>
          <w:color w:val="374151"/>
          <w:sz w:val="20"/>
          <w:szCs w:val="20"/>
        </w:rPr>
        <w:t xml:space="preserve">Before committing to the solution, three possible directions were evaluated. This was done early in the process — after establishing the problem, before designing the answer — so that the choice is defended, not just stated.</w:t>
      </w:r>
    </w:p>
    <w:p>
      <w:pPr>
        <w:spacing w:before="360" w:after="120"/>
      </w:pPr>
      <w:r>
        <w:rPr>
          <w:rFonts w:ascii="Arial" w:cs="Arial" w:eastAsia="Arial" w:hAnsi="Arial"/>
          <w:b/>
          <w:bCs/>
          <w:color w:val="5B21B6"/>
          <w:sz w:val="28"/>
          <w:szCs w:val="28"/>
        </w:rPr>
        <w:t xml:space="preserve">Option A — Improve detection precision further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4B5563"/>
                <w:sz w:val="18"/>
                <w:szCs w:val="18"/>
              </w:rPr>
              <w:t xml:space="preserve">Hypothesis</w:t>
            </w:r>
          </w:p>
        </w:tc>
        <w:tc>
          <w:tcPr>
            <w:tcW w:type="dxa" w:w="7560"/>
            <w:tcBorders>
              <w:top w:val="single" w:color="E5E7EB" w:sz="1"/>
              <w:left w:val="none" w:color="FFFFFF" w:sz="0"/>
              <w:bottom w:val="single" w:color="E5E7EB" w:sz="1"/>
              <w:right w:val="none" w:color="FFFFFF" w:sz="0"/>
            </w:tcBorders>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Push from &gt;90% precision toward 99%. Reduce false positives so analysts spend less time on bad alerts.</w:t>
            </w:r>
          </w:p>
        </w:tc>
      </w:tr>
      <w:tr>
        <w:tc>
          <w:tcPr>
            <w:tcW w:type="dxa" w:w="1800"/>
            <w:tcBorders>
              <w:top w:val="single" w:color="FECACA" w:sz="1"/>
              <w:left w:val="none" w:color="FFFFFF" w:sz="0"/>
              <w:bottom w:val="single" w:color="FECACA" w:sz="1"/>
              <w:right w:val="none" w:color="FFFFFF" w:sz="0"/>
            </w:tcBorders>
            <w:shd w:fill="FEF2F2" w:val="clear"/>
            <w:tcMar>
              <w:top w:type="dxa" w:w="80"/>
              <w:left w:type="dxa" w:w="140"/>
              <w:bottom w:type="dxa" w:w="80"/>
              <w:right w:type="dxa" w:w="140"/>
            </w:tcMar>
            <w:vAlign w:val="top"/>
          </w:tcPr>
          <w:p>
            <w:pPr>
              <w:spacing w:before="0" w:after="120"/>
              <w:jc w:val="left"/>
            </w:pPr>
            <w:r>
              <w:rPr>
                <w:rFonts w:ascii="Arial" w:cs="Arial" w:eastAsia="Arial" w:hAnsi="Arial"/>
                <w:b/>
                <w:bCs/>
                <w:color w:val="DC2626"/>
                <w:sz w:val="18"/>
                <w:szCs w:val="18"/>
              </w:rPr>
              <w:t xml:space="preserve">Why rejected</w:t>
            </w:r>
          </w:p>
        </w:tc>
        <w:tc>
          <w:tcPr>
            <w:tcW w:type="dxa" w:w="7560"/>
            <w:tcBorders>
              <w:top w:val="single" w:color="FECACA" w:sz="1"/>
              <w:left w:val="none" w:color="FFFFFF" w:sz="0"/>
              <w:bottom w:val="single" w:color="FECACA" w:sz="1"/>
              <w:right w:val="none" w:color="FFFFFF" w:sz="0"/>
            </w:tcBorders>
            <w:shd w:fill="FEF2F2" w:val="clear"/>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Even 100% precision still generates alerts. Every true positive requires investigation. Ishai confirmed this assumption: assume all findings are valid. This direction doesn't touch investigation time at all — it attacks a problem that is already largely solved.</w:t>
            </w:r>
          </w:p>
        </w:tc>
      </w:tr>
    </w:tbl>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Option B — Risk-based monitoring tiers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4B5563"/>
                <w:sz w:val="18"/>
                <w:szCs w:val="18"/>
              </w:rPr>
              <w:t xml:space="preserve">Hypothesis</w:t>
            </w:r>
          </w:p>
        </w:tc>
        <w:tc>
          <w:tcPr>
            <w:tcW w:type="dxa" w:w="7560"/>
            <w:tcBorders>
              <w:top w:val="single" w:color="E5E7EB" w:sz="1"/>
              <w:left w:val="none" w:color="FFFFFF" w:sz="0"/>
              <w:bottom w:val="single" w:color="E5E7EB" w:sz="1"/>
              <w:right w:val="none" w:color="FFFFFF" w:sz="0"/>
            </w:tcBorders>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Segment the merchant portfolio by risk level. Screen lower-risk merchants less frequently, reducing total alert volume entering the investigation queue.</w:t>
            </w:r>
          </w:p>
        </w:tc>
      </w:tr>
      <w:tr>
        <w:tc>
          <w:tcPr>
            <w:tcW w:type="dxa" w:w="1800"/>
            <w:tcBorders>
              <w:top w:val="single" w:color="99F6E4" w:sz="1"/>
              <w:left w:val="none" w:color="FFFFFF" w:sz="0"/>
              <w:bottom w:val="single" w:color="99F6E4" w:sz="1"/>
              <w:right w:val="none" w:color="FFFFFF" w:sz="0"/>
            </w:tcBorders>
            <w:shd w:fill="F0FDF9" w:val="clear"/>
            <w:tcMar>
              <w:top w:type="dxa" w:w="80"/>
              <w:left w:type="dxa" w:w="140"/>
              <w:bottom w:type="dxa" w:w="80"/>
              <w:right w:type="dxa" w:w="140"/>
            </w:tcMar>
            <w:vAlign w:val="top"/>
          </w:tcPr>
          <w:p>
            <w:pPr>
              <w:spacing w:before="0" w:after="120"/>
              <w:jc w:val="left"/>
            </w:pPr>
            <w:r>
              <w:rPr>
                <w:rFonts w:ascii="Arial" w:cs="Arial" w:eastAsia="Arial" w:hAnsi="Arial"/>
                <w:b/>
                <w:bCs/>
                <w:color w:val="0D9488"/>
                <w:sz w:val="18"/>
                <w:szCs w:val="18"/>
              </w:rPr>
              <w:t xml:space="preserve">Verdict</w:t>
            </w:r>
          </w:p>
        </w:tc>
        <w:tc>
          <w:tcPr>
            <w:tcW w:type="dxa" w:w="7560"/>
            <w:tcBorders>
              <w:top w:val="single" w:color="99F6E4" w:sz="1"/>
              <w:left w:val="none" w:color="FFFFFF" w:sz="0"/>
              <w:bottom w:val="single" w:color="99F6E4" w:sz="1"/>
              <w:right w:val="none" w:color="FFFFFF" w:sz="0"/>
            </w:tcBorders>
            <w:shd w:fill="F0FDF9" w:val="clear"/>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Genuinely useful and complementary. Reduces the volume of alerts upstream, which helps. But it does not solve what happens when alerts do arrive. The investigation inefficiency remains unchanged. Decision: deploy alongside the Co-Pilot, not instead of it.</w:t>
            </w:r>
          </w:p>
        </w:tc>
      </w:tr>
    </w:tbl>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Option C — Merchant Risk Co-Pilot (chosen)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8"/>
                <w:szCs w:val="18"/>
              </w:rPr>
              <w:t xml:space="preserve">Why chosen</w:t>
            </w:r>
          </w:p>
        </w:tc>
        <w:tc>
          <w:tcPr>
            <w:tcW w:type="dxa" w:w="756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Attacks the root cause directly — the structural mismatch between how alerts arrive and how investigations must be conducted. Scales as software: adding a new violation type template costs near-zero. Works entirely within the data constraint. Does not require G2RS to access customer transaction data.</w:t>
            </w:r>
          </w:p>
        </w:tc>
      </w:tr>
    </w:tbl>
    <w:p>
      <w:pPr>
        <w:spacing w:before="0" w:after="60"/>
        <w:jc w:val="left"/>
      </w:pPr>
      <w:r>
        <w:rPr>
          <w:rFonts w:ascii="Arial" w:cs="Arial" w:eastAsia="Arial" w:hAnsi="Arial"/>
          <w:color w:val="374151"/>
          <w:sz w:val="20"/>
          <w:szCs w:val="20"/>
        </w:rPr>
        <w:t xml:space="preserve"/>
      </w:r>
    </w:p>
    <w:p>
      <w:pPr>
        <w:pBdr>
          <w:bottom w:val="single" w:color="5B21B6" w:sz="8" w:space="6"/>
        </w:pBdr>
        <w:spacing w:before="480" w:after="160"/>
      </w:pPr>
      <w:r>
        <w:rPr>
          <w:rFonts w:ascii="Arial" w:cs="Arial" w:eastAsia="Arial" w:hAnsi="Arial"/>
          <w:b/>
          <w:bCs/>
          <w:color w:val="1E1B4B"/>
          <w:sz w:val="40"/>
          <w:szCs w:val="40"/>
        </w:rPr>
        <w:t xml:space="preserve">4. The Solution — Merchant Risk Co-Pilot</w:t>
      </w:r>
    </w:p>
    <w:p>
      <w:pPr>
        <w:spacing w:before="360" w:after="120"/>
      </w:pPr>
      <w:r>
        <w:rPr>
          <w:rFonts w:ascii="Arial" w:cs="Arial" w:eastAsia="Arial" w:hAnsi="Arial"/>
          <w:b/>
          <w:bCs/>
          <w:color w:val="5B21B6"/>
          <w:sz w:val="28"/>
          <w:szCs w:val="28"/>
        </w:rPr>
        <w:t xml:space="preserve">4.1 The core insight</w:t>
      </w:r>
    </w:p>
    <w:p>
      <w:pPr>
        <w:pBdr>
          <w:left w:val="single" w:color="5B21B6" w:sz="18" w:space="10"/>
        </w:pBdr>
        <w:shd w:fill="EDE9FE" w:val="clear"/>
        <w:spacing w:before="160" w:after="160"/>
        <w:ind w:left="720" w:right="720"/>
      </w:pPr>
      <w:r>
        <w:rPr>
          <w:rFonts w:ascii="Arial" w:cs="Arial" w:eastAsia="Arial" w:hAnsi="Arial"/>
          <w:b/>
          <w:bCs/>
          <w:i/>
          <w:iCs/>
          <w:color w:val="5B21B6"/>
          <w:sz w:val="22"/>
          <w:szCs w:val="22"/>
        </w:rPr>
        <w:t xml:space="preserve">“Alerts arrive by merchant. Investigation logic lives by violation type. That mismatch is the bottleneck.”</w:t>
      </w:r>
    </w:p>
    <w:p>
      <w:pPr>
        <w:spacing w:before="0" w:after="120"/>
        <w:jc w:val="left"/>
      </w:pPr>
      <w:r>
        <w:rPr>
          <w:rFonts w:ascii="Arial" w:cs="Arial" w:eastAsia="Arial" w:hAnsi="Arial"/>
          <w:color w:val="374151"/>
          <w:sz w:val="20"/>
          <w:szCs w:val="20"/>
        </w:rPr>
        <w:t xml:space="preserve">The fix follows directly from the diagnosis: group alerts by violation type. When all gambling violations are batched together, the analyst loads the gambling policy and mental model once, works through the entire gambling batch, then moves to prescription, then counterfeit. Context loads once. The same process applies across merchants. Cognitive switching cost drops to near zero.</w:t>
      </w:r>
    </w:p>
    <w:p>
      <w:pPr>
        <w:spacing w:before="360" w:after="120"/>
      </w:pPr>
      <w:r>
        <w:rPr>
          <w:rFonts w:ascii="Arial" w:cs="Arial" w:eastAsia="Arial" w:hAnsi="Arial"/>
          <w:b/>
          <w:bCs/>
          <w:color w:val="5B21B6"/>
          <w:sz w:val="28"/>
          <w:szCs w:val="28"/>
        </w:rPr>
        <w:t xml:space="preserve">4.2 What grouping alone doesn't solve</w:t>
      </w:r>
    </w:p>
    <w:p>
      <w:pPr>
        <w:spacing w:before="0" w:after="120"/>
        <w:jc w:val="left"/>
      </w:pPr>
      <w:r>
        <w:rPr>
          <w:rFonts w:ascii="Arial" w:cs="Arial" w:eastAsia="Arial" w:hAnsi="Arial"/>
          <w:color w:val="374151"/>
          <w:sz w:val="20"/>
          <w:szCs w:val="20"/>
        </w:rPr>
        <w:t xml:space="preserve">Violation-type grouping is the structural fix — necessary but not sufficient. Even within a grouped batch, each individual case still opens cold. The analyst still needs to know:</w:t>
      </w:r>
    </w:p>
    <w:p>
      <w:pPr>
        <w:pStyle w:val="ListParagraph"/>
        <w:numPr>
          <w:ilvl w:val="0"/>
          <w:numId w:val="3"/>
        </w:numPr>
        <w:spacing w:before="0" w:after="80"/>
      </w:pPr>
      <w:r>
        <w:rPr>
          <w:rFonts w:ascii="Arial" w:cs="Arial" w:eastAsia="Arial" w:hAnsi="Arial"/>
          <w:b w:val="false"/>
          <w:bCs w:val="false"/>
          <w:color w:val="374151"/>
          <w:sz w:val="20"/>
          <w:szCs w:val="20"/>
        </w:rPr>
        <w:t xml:space="preserve">Who this merchant is — history, prior violations, behavioral pattern</w:t>
      </w:r>
    </w:p>
    <w:p>
      <w:pPr>
        <w:pStyle w:val="ListParagraph"/>
        <w:numPr>
          <w:ilvl w:val="0"/>
          <w:numId w:val="3"/>
        </w:numPr>
        <w:spacing w:before="0" w:after="80"/>
      </w:pPr>
      <w:r>
        <w:rPr>
          <w:rFonts w:ascii="Arial" w:cs="Arial" w:eastAsia="Arial" w:hAnsi="Arial"/>
          <w:b w:val="false"/>
          <w:bCs w:val="false"/>
          <w:color w:val="374151"/>
          <w:sz w:val="20"/>
          <w:szCs w:val="20"/>
        </w:rPr>
        <w:t xml:space="preserve">What specifically to verify internally for this violation type — which transaction data, which chargeback metrics, which internal flags matter</w:t>
      </w:r>
    </w:p>
    <w:p>
      <w:pPr>
        <w:pStyle w:val="ListParagraph"/>
        <w:numPr>
          <w:ilvl w:val="0"/>
          <w:numId w:val="3"/>
        </w:numPr>
        <w:spacing w:before="0" w:after="80"/>
      </w:pPr>
      <w:r>
        <w:rPr>
          <w:rFonts w:ascii="Arial" w:cs="Arial" w:eastAsia="Arial" w:hAnsi="Arial"/>
          <w:b w:val="false"/>
          <w:bCs w:val="false"/>
          <w:color w:val="374151"/>
          <w:sz w:val="20"/>
          <w:szCs w:val="20"/>
        </w:rPr>
        <w:t xml:space="preserve">What the AI reading of the situation is — a plain-language summary of what was found and what it suggests</w:t>
      </w:r>
    </w:p>
    <w:p>
      <w:pPr>
        <w:spacing w:before="0" w:after="120"/>
        <w:jc w:val="left"/>
      </w:pPr>
      <w:r>
        <w:rPr>
          <w:rFonts w:ascii="Arial" w:cs="Arial" w:eastAsia="Arial" w:hAnsi="Arial"/>
          <w:color w:val="374151"/>
          <w:sz w:val="20"/>
          <w:szCs w:val="20"/>
        </w:rPr>
        <w:t xml:space="preserve">The Co-Pilot adds three more layers on top of the grouping foundation:</w:t>
      </w:r>
    </w:p>
    <w:p>
      <w:pPr>
        <w:spacing w:before="360" w:after="120"/>
      </w:pPr>
      <w:r>
        <w:rPr>
          <w:rFonts w:ascii="Arial" w:cs="Arial" w:eastAsia="Arial" w:hAnsi="Arial"/>
          <w:b/>
          <w:bCs/>
          <w:color w:val="5B21B6"/>
          <w:sz w:val="28"/>
          <w:szCs w:val="28"/>
        </w:rPr>
        <w:t xml:space="preserve">4.3 The four-layer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2400"/>
        <w:gridCol w:w="6060"/>
      </w:tblGrid>
      <w:tr>
        <w:tc>
          <w:tcPr>
            <w:tcW w:type="dxa" w:w="900"/>
            <w:tcBorders>
              <w:top w:val="none" w:color="FFFFFF" w:sz="0"/>
              <w:left w:val="none" w:color="FFFFFF" w:sz="0"/>
              <w:bottom w:val="none" w:color="FFFFFF" w:sz="0"/>
              <w:right w:val="none" w:color="FFFFFF" w:sz="0"/>
            </w:tcBorders>
            <w:shd w:fill="5B21B6" w:val="clear"/>
            <w:tcMar>
              <w:top w:type="dxa" w:w="80"/>
              <w:left w:type="dxa" w:w="140"/>
              <w:bottom w:type="dxa" w:w="80"/>
              <w:right w:type="dxa" w:w="140"/>
            </w:tcMar>
            <w:vAlign w:val="top"/>
          </w:tcPr>
          <w:p>
            <w:pPr>
              <w:spacing w:before="0" w:after="120"/>
              <w:jc w:val="left"/>
            </w:pPr>
            <w:r>
              <w:rPr>
                <w:rFonts w:ascii="Arial" w:cs="Arial" w:eastAsia="Arial" w:hAnsi="Arial"/>
                <w:b/>
                <w:bCs/>
                <w:caps/>
                <w:color w:val="FFFFFF"/>
                <w:sz w:val="18"/>
                <w:szCs w:val="18"/>
              </w:rPr>
              <w:t xml:space="preserve">Layer</w:t>
            </w:r>
          </w:p>
        </w:tc>
        <w:tc>
          <w:tcPr>
            <w:tcW w:type="dxa" w:w="2400"/>
            <w:tcBorders>
              <w:top w:val="none" w:color="FFFFFF" w:sz="0"/>
              <w:left w:val="none" w:color="FFFFFF" w:sz="0"/>
              <w:bottom w:val="none" w:color="FFFFFF" w:sz="0"/>
              <w:right w:val="none" w:color="FFFFFF" w:sz="0"/>
            </w:tcBorders>
            <w:shd w:fill="5B21B6" w:val="clear"/>
            <w:tcMar>
              <w:top w:type="dxa" w:w="80"/>
              <w:left w:type="dxa" w:w="140"/>
              <w:bottom w:type="dxa" w:w="80"/>
              <w:right w:type="dxa" w:w="140"/>
            </w:tcMar>
            <w:vAlign w:val="top"/>
          </w:tcPr>
          <w:p>
            <w:pPr>
              <w:spacing w:before="0" w:after="120"/>
              <w:jc w:val="left"/>
            </w:pPr>
            <w:r>
              <w:rPr>
                <w:rFonts w:ascii="Arial" w:cs="Arial" w:eastAsia="Arial" w:hAnsi="Arial"/>
                <w:b/>
                <w:bCs/>
                <w:caps/>
                <w:color w:val="FFFFFF"/>
                <w:sz w:val="18"/>
                <w:szCs w:val="18"/>
              </w:rPr>
              <w:t xml:space="preserve">Component</w:t>
            </w:r>
          </w:p>
        </w:tc>
        <w:tc>
          <w:tcPr>
            <w:tcW w:type="dxa" w:w="6060"/>
            <w:tcBorders>
              <w:top w:val="none" w:color="FFFFFF" w:sz="0"/>
              <w:left w:val="none" w:color="FFFFFF" w:sz="0"/>
              <w:bottom w:val="none" w:color="FFFFFF" w:sz="0"/>
              <w:right w:val="none" w:color="FFFFFF" w:sz="0"/>
            </w:tcBorders>
            <w:shd w:fill="5B21B6" w:val="clear"/>
            <w:tcMar>
              <w:top w:type="dxa" w:w="80"/>
              <w:left w:type="dxa" w:w="140"/>
              <w:bottom w:type="dxa" w:w="80"/>
              <w:right w:type="dxa" w:w="140"/>
            </w:tcMar>
            <w:vAlign w:val="top"/>
          </w:tcPr>
          <w:p>
            <w:pPr>
              <w:spacing w:before="0" w:after="120"/>
              <w:jc w:val="left"/>
            </w:pPr>
            <w:r>
              <w:rPr>
                <w:rFonts w:ascii="Arial" w:cs="Arial" w:eastAsia="Arial" w:hAnsi="Arial"/>
                <w:b/>
                <w:bCs/>
                <w:caps/>
                <w:color w:val="FFFFFF"/>
                <w:sz w:val="18"/>
                <w:szCs w:val="18"/>
              </w:rPr>
              <w:t xml:space="preserve">What it solves</w:t>
            </w:r>
          </w:p>
        </w:tc>
      </w:tr>
      <w:tr>
        <w:tc>
          <w:tcPr>
            <w:tcW w:type="dxa" w:w="900"/>
            <w:tcBorders>
              <w:top w:val="none" w:color="FFFFFF" w:sz="0"/>
              <w:left w:val="none" w:color="FFFFFF" w:sz="0"/>
              <w:bottom w:val="none" w:color="FFFFFF" w:sz="0"/>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8"/>
                <w:szCs w:val="18"/>
              </w:rPr>
              <w:t xml:space="preserve">1 — Foundation</w:t>
            </w:r>
          </w:p>
        </w:tc>
        <w:tc>
          <w:tcPr>
            <w:tcW w:type="dxa" w:w="2400"/>
            <w:tcBorders>
              <w:top w:val="none" w:color="FFFFFF" w:sz="0"/>
              <w:left w:val="none" w:color="FFFFFF" w:sz="0"/>
              <w:bottom w:val="none" w:color="FFFFFF" w:sz="0"/>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Violation-type grouping</w:t>
            </w:r>
          </w:p>
        </w:tc>
        <w:tc>
          <w:tcPr>
            <w:tcW w:type="dxa" w:w="6060"/>
            <w:tcBorders>
              <w:top w:val="none" w:color="FFFFFF" w:sz="0"/>
              <w:left w:val="none" w:color="FFFFFF" w:sz="0"/>
              <w:bottom w:val="none" w:color="FFFFFF" w:sz="0"/>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Eliminates context switching between cases. Analyst stays in the same mental model across the entire batch.</w:t>
            </w:r>
          </w:p>
        </w:tc>
      </w:tr>
      <w:tr>
        <w:tc>
          <w:tcPr>
            <w:tcW w:type="dxa" w:w="900"/>
            <w:tcBorders>
              <w:top w:val="none" w:color="FFFFFF" w:sz="0"/>
              <w:left w:val="none" w:color="FFFFFF" w:sz="0"/>
              <w:bottom w:val="none" w:color="FFFFFF" w:sz="0"/>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4B5563"/>
                <w:sz w:val="18"/>
                <w:szCs w:val="18"/>
              </w:rPr>
              <w:t xml:space="preserve">2</w:t>
            </w:r>
          </w:p>
        </w:tc>
        <w:tc>
          <w:tcPr>
            <w:tcW w:type="dxa" w:w="2400"/>
            <w:tcBorders>
              <w:top w:val="none" w:color="FFFFFF" w:sz="0"/>
              <w:left w:val="none" w:color="FFFFFF" w:sz="0"/>
              <w:bottom w:val="none" w:color="FFFFFF" w:sz="0"/>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Violation-type checklist</w:t>
            </w:r>
          </w:p>
        </w:tc>
        <w:tc>
          <w:tcPr>
            <w:tcW w:type="dxa" w:w="6060"/>
            <w:tcBorders>
              <w:top w:val="none" w:color="FFFFFF" w:sz="0"/>
              <w:left w:val="none" w:color="FFFFFF" w:sz="0"/>
              <w:bottom w:val="none" w:color="FFFFFF" w:sz="0"/>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For each violation type, a pre-defined list of exactly what internal data to verify and why. The analyst executes the investigation — doesn't invent it.</w:t>
            </w:r>
          </w:p>
        </w:tc>
      </w:tr>
      <w:tr>
        <w:tc>
          <w:tcPr>
            <w:tcW w:type="dxa" w:w="9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4B5563"/>
                <w:sz w:val="18"/>
                <w:szCs w:val="18"/>
              </w:rPr>
              <w:t xml:space="preserve">3</w:t>
            </w:r>
          </w:p>
        </w:tc>
        <w:tc>
          <w:tcPr>
            <w:tcW w:type="dxa" w:w="24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Evidence pack</w:t>
            </w:r>
          </w:p>
        </w:tc>
        <w:tc>
          <w:tcPr>
            <w:tcW w:type="dxa" w:w="60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On case open: Compass Score, EverC risk graph, merchant history, behavioral delta — automatically assembled. No manual tool-switching.</w:t>
            </w:r>
          </w:p>
        </w:tc>
      </w:tr>
      <w:tr>
        <w:tc>
          <w:tcPr>
            <w:tcW w:type="dxa" w:w="900"/>
            <w:tcBorders>
              <w:top w:val="none" w:color="FFFFFF" w:sz="0"/>
              <w:left w:val="none" w:color="FFFFFF" w:sz="0"/>
              <w:bottom w:val="none" w:color="FFFFFF" w:sz="0"/>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4B5563"/>
                <w:sz w:val="18"/>
                <w:szCs w:val="18"/>
              </w:rPr>
              <w:t xml:space="preserve">4</w:t>
            </w:r>
          </w:p>
        </w:tc>
        <w:tc>
          <w:tcPr>
            <w:tcW w:type="dxa" w:w="2400"/>
            <w:tcBorders>
              <w:top w:val="none" w:color="FFFFFF" w:sz="0"/>
              <w:left w:val="none" w:color="FFFFFF" w:sz="0"/>
              <w:bottom w:val="none" w:color="FFFFFF" w:sz="0"/>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AI case summary</w:t>
            </w:r>
          </w:p>
        </w:tc>
        <w:tc>
          <w:tcPr>
            <w:tcW w:type="dxa" w:w="6060"/>
            <w:tcBorders>
              <w:top w:val="none" w:color="FFFFFF" w:sz="0"/>
              <w:left w:val="none" w:color="FFFFFF" w:sz="0"/>
              <w:bottom w:val="none" w:color="FFFFFF" w:sz="0"/>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Plain-language paragraph on open: who is this merchant, what was detected, what pattern does this suggest. On-demand only — analyst clicks to reveal, preventing anchoring bias.</w:t>
            </w:r>
          </w:p>
        </w:tc>
      </w:tr>
    </w:tbl>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4.4 The constraint, respected</w:t>
      </w:r>
    </w:p>
    <w:p>
      <w:pPr>
        <w:pBdr>
          <w:left w:val="single" w:color="D97706" w:sz="18" w:space="8"/>
        </w:pBdr>
        <w:shd w:fill="FEF3C7" w:val="clear"/>
        <w:spacing w:before="120" w:after="120"/>
        <w:ind w:left="200" w:right="200"/>
      </w:pPr>
      <w:r>
        <w:rPr>
          <w:rFonts w:ascii="Arial" w:cs="Arial" w:eastAsia="Arial" w:hAnsi="Arial"/>
          <w:color w:val="D97706"/>
          <w:sz w:val="20"/>
          <w:szCs w:val="20"/>
        </w:rPr>
        <w:t xml:space="preserve">G2RS cannot access customer transaction data. The Co-Pilot is designed around this constraint throughout. The checklist tells analysts what to verify internally — but never pulls that data. The evidence pack contains only what G2RS and EverC own. Decisions remain entirely with the customer. Analyst judgment is never bypassed.</w:t>
      </w:r>
    </w:p>
    <w:p>
      <w:pPr>
        <w:spacing w:before="360" w:after="120"/>
      </w:pPr>
      <w:r>
        <w:rPr>
          <w:rFonts w:ascii="Arial" w:cs="Arial" w:eastAsia="Arial" w:hAnsi="Arial"/>
          <w:b/>
          <w:bCs/>
          <w:color w:val="5B21B6"/>
          <w:sz w:val="28"/>
          <w:szCs w:val="28"/>
        </w:rPr>
        <w:t xml:space="preserve">4.5 What the transformation looks like</w:t>
      </w:r>
    </w:p>
    <w:p>
      <w:pPr>
        <w:spacing w:before="0" w:after="120"/>
        <w:jc w:val="left"/>
      </w:pPr>
      <w:r>
        <w:rPr>
          <w:rFonts w:ascii="Arial" w:cs="Arial" w:eastAsia="Arial" w:hAnsi="Arial"/>
          <w:color w:val="374151"/>
          <w:sz w:val="20"/>
          <w:szCs w:val="20"/>
        </w:rPr>
        <w:t xml:space="preserve">The same analyst. The same 47 Monday morning alerts. The experience is completely different: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9CA3AF"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Without Co-Pilot</w:t>
            </w:r>
          </w:p>
        </w:tc>
        <w:tc>
          <w:tcPr>
            <w:tcW w:type="dxa" w:w="4680"/>
            <w:tcBorders>
              <w:top w:val="none" w:color="FFFFFF" w:sz="0"/>
              <w:left w:val="none" w:color="FFFFFF" w:sz="0"/>
              <w:bottom w:val="none" w:color="FFFFFF" w:sz="0"/>
              <w:right w:val="none" w:color="FFFFFF" w:sz="0"/>
            </w:tcBorders>
            <w:shd w:fill="5B21B6"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With Co-Pilot</w:t>
            </w:r>
          </w:p>
        </w:tc>
      </w:tr>
      <w:tr>
        <w:tc>
          <w:tcPr>
            <w:tcW w:type="dxa" w:w="468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9"/>
                <w:szCs w:val="19"/>
              </w:rPr>
              <w:t xml:space="preserve">47 unstructured alerts, random order</w:t>
            </w:r>
          </w:p>
        </w:tc>
        <w:tc>
          <w:tcPr>
            <w:tcW w:type="dxa" w:w="468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3 grouped batches by violation type</w:t>
            </w:r>
          </w:p>
        </w:tc>
      </w:tr>
      <w:tr>
        <w:tc>
          <w:tcPr>
            <w:tcW w:type="dxa" w:w="468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4B5563"/>
                <w:sz w:val="19"/>
                <w:szCs w:val="19"/>
              </w:rPr>
              <w:t xml:space="preserve">No context on open — starts cold</w:t>
            </w:r>
          </w:p>
        </w:tc>
        <w:tc>
          <w:tcPr>
            <w:tcW w:type="dxa" w:w="4680"/>
            <w:tcBorders>
              <w:top w:val="single" w:color="DDD6FE" w:sz="1"/>
              <w:left w:val="none" w:color="FFFFFF" w:sz="0"/>
              <w:bottom w:val="single" w:color="DDD6FE"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AI summary loads in 20 seconds</w:t>
            </w:r>
          </w:p>
        </w:tc>
      </w:tr>
      <w:tr>
        <w:tc>
          <w:tcPr>
            <w:tcW w:type="dxa" w:w="468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9"/>
                <w:szCs w:val="19"/>
              </w:rPr>
              <w:t xml:space="preserve">Pull history manually from 3+ tools</w:t>
            </w:r>
          </w:p>
        </w:tc>
        <w:tc>
          <w:tcPr>
            <w:tcW w:type="dxa" w:w="468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Evidence pack pre-assembled automatically</w:t>
            </w:r>
          </w:p>
        </w:tc>
      </w:tr>
      <w:tr>
        <w:tc>
          <w:tcPr>
            <w:tcW w:type="dxa" w:w="468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4B5563"/>
                <w:sz w:val="19"/>
                <w:szCs w:val="19"/>
              </w:rPr>
              <w:t xml:space="preserve">Figure out what to check internally — guesses</w:t>
            </w:r>
          </w:p>
        </w:tc>
        <w:tc>
          <w:tcPr>
            <w:tcW w:type="dxa" w:w="4680"/>
            <w:tcBorders>
              <w:top w:val="single" w:color="DDD6FE" w:sz="1"/>
              <w:left w:val="none" w:color="FFFFFF" w:sz="0"/>
              <w:bottom w:val="single" w:color="DDD6FE"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Checklist: exactly which 3 things to verify</w:t>
            </w:r>
          </w:p>
        </w:tc>
      </w:tr>
      <w:tr>
        <w:tc>
          <w:tcPr>
            <w:tcW w:type="dxa" w:w="468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9"/>
                <w:szCs w:val="19"/>
              </w:rPr>
              <w:t xml:space="preserve">40–60 minutes per case</w:t>
            </w:r>
          </w:p>
        </w:tc>
        <w:tc>
          <w:tcPr>
            <w:tcW w:type="dxa" w:w="468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8–12 minutes per case</w:t>
            </w:r>
          </w:p>
        </w:tc>
      </w:tr>
      <w:tr>
        <w:tc>
          <w:tcPr>
            <w:tcW w:type="dxa" w:w="468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4B5563"/>
                <w:sz w:val="19"/>
                <w:szCs w:val="19"/>
              </w:rPr>
              <w:t xml:space="preserve">Write rationale from blank page</w:t>
            </w:r>
          </w:p>
        </w:tc>
        <w:tc>
          <w:tcPr>
            <w:tcW w:type="dxa" w:w="4680"/>
            <w:tcBorders>
              <w:top w:val="single" w:color="DDD6FE" w:sz="1"/>
              <w:left w:val="none" w:color="FFFFFF" w:sz="0"/>
              <w:bottom w:val="single" w:color="DDD6FE"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Edit pre-drafted rationale and approve</w:t>
            </w:r>
          </w:p>
        </w:tc>
      </w:tr>
      <w:tr>
        <w:tc>
          <w:tcPr>
            <w:tcW w:type="dxa" w:w="468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9"/>
                <w:szCs w:val="19"/>
              </w:rPr>
              <w:t xml:space="preserve">Queue never empties — SLA pressure</w:t>
            </w:r>
          </w:p>
        </w:tc>
        <w:tc>
          <w:tcPr>
            <w:tcW w:type="dxa" w:w="468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Queue empty by noon — capacity for more</w:t>
            </w:r>
          </w:p>
        </w:tc>
      </w:tr>
    </w:tbl>
    <w:p>
      <w:pPr>
        <w:spacing w:before="0" w:after="60"/>
        <w:jc w:val="left"/>
      </w:pPr>
      <w:r>
        <w:rPr>
          <w:rFonts w:ascii="Arial" w:cs="Arial" w:eastAsia="Arial" w:hAnsi="Arial"/>
          <w:color w:val="374151"/>
          <w:sz w:val="20"/>
          <w:szCs w:val="20"/>
        </w:rPr>
        <w:t xml:space="preserve"/>
      </w:r>
    </w:p>
    <w:p>
      <w:pPr>
        <w:pBdr>
          <w:bottom w:val="single" w:color="5B21B6" w:sz="8" w:space="6"/>
        </w:pBdr>
        <w:spacing w:before="480" w:after="160"/>
      </w:pPr>
      <w:r>
        <w:rPr>
          <w:rFonts w:ascii="Arial" w:cs="Arial" w:eastAsia="Arial" w:hAnsi="Arial"/>
          <w:b/>
          <w:bCs/>
          <w:color w:val="1E1B4B"/>
          <w:sz w:val="40"/>
          <w:szCs w:val="40"/>
        </w:rPr>
        <w:t xml:space="preserve">5. The MVP — Five Features</w:t>
      </w:r>
    </w:p>
    <w:p>
      <w:pPr>
        <w:spacing w:before="0" w:after="120"/>
        <w:jc w:val="left"/>
      </w:pPr>
      <w:r>
        <w:rPr>
          <w:rFonts w:ascii="Arial" w:cs="Arial" w:eastAsia="Arial" w:hAnsi="Arial"/>
          <w:color w:val="374151"/>
          <w:sz w:val="20"/>
          <w:szCs w:val="20"/>
        </w:rPr>
        <w:t xml:space="preserve">The MVP is deliberately narrow. Five features that together deliver the full investigation transformation. No nice-to-haves — only what is necessary to make the core workflow work on day one.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80"/>
        <w:gridCol w:w="2200"/>
        <w:gridCol w:w="6780"/>
      </w:tblGrid>
      <w:tr>
        <w:tc>
          <w:tcPr>
            <w:tcW w:type="dxa" w:w="38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w:t>
            </w:r>
          </w:p>
        </w:tc>
        <w:tc>
          <w:tcPr>
            <w:tcW w:type="dxa" w:w="22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Feature</w:t>
            </w:r>
          </w:p>
        </w:tc>
        <w:tc>
          <w:tcPr>
            <w:tcW w:type="dxa" w:w="678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Why it's in the MVP</w:t>
            </w:r>
          </w:p>
        </w:tc>
      </w:tr>
      <w:tr>
        <w:tc>
          <w:tcPr>
            <w:tcW w:type="dxa" w:w="38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7"/>
                <w:szCs w:val="17"/>
              </w:rPr>
              <w:t xml:space="preserve">1 — THE FOUNDATION</w:t>
            </w:r>
          </w:p>
        </w:tc>
        <w:tc>
          <w:tcPr>
            <w:tcW w:type="dxa" w:w="22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Violation-type grouping</w:t>
            </w:r>
          </w:p>
        </w:tc>
        <w:tc>
          <w:tcPr>
            <w:tcW w:type="dxa" w:w="678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color w:val="4B5563"/>
                <w:sz w:val="19"/>
                <w:szCs w:val="19"/>
              </w:rPr>
              <w:t xml:space="preserve">The structural fix. Without this, none of the other features provide their full value. Alerts arrive grouped by violation type before the analyst sees them.</w:t>
            </w:r>
          </w:p>
        </w:tc>
      </w:tr>
      <w:tr>
        <w:tc>
          <w:tcPr>
            <w:tcW w:type="dxa" w:w="38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4B5563"/>
                <w:sz w:val="17"/>
                <w:szCs w:val="17"/>
              </w:rPr>
              <w:t xml:space="preserve">2</w:t>
            </w:r>
          </w:p>
        </w:tc>
        <w:tc>
          <w:tcPr>
            <w:tcW w:type="dxa" w:w="22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Violation-type checklist</w:t>
            </w:r>
          </w:p>
        </w:tc>
        <w:tc>
          <w:tcPr>
            <w:tcW w:type="dxa" w:w="678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9"/>
                <w:szCs w:val="19"/>
              </w:rPr>
              <w:t xml:space="preserve">Eliminates the analyst's biggest cognitive load — figuring out what to verify internally. Pre-defined per violation type.</w:t>
            </w:r>
          </w:p>
        </w:tc>
      </w:tr>
      <w:tr>
        <w:tc>
          <w:tcPr>
            <w:tcW w:type="dxa" w:w="38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4B5563"/>
                <w:sz w:val="17"/>
                <w:szCs w:val="17"/>
              </w:rPr>
              <w:t xml:space="preserve">3</w:t>
            </w:r>
          </w:p>
        </w:tc>
        <w:tc>
          <w:tcPr>
            <w:tcW w:type="dxa" w:w="22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Evidence pack</w:t>
            </w:r>
          </w:p>
        </w:tc>
        <w:tc>
          <w:tcPr>
            <w:tcW w:type="dxa" w:w="678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4B5563"/>
                <w:sz w:val="19"/>
                <w:szCs w:val="19"/>
              </w:rPr>
              <w:t xml:space="preserve">Compass Score, EverC risk graph, merchant history, behavioral delta — assembled automatically on case open. No manual tool-switching.</w:t>
            </w:r>
          </w:p>
        </w:tc>
      </w:tr>
      <w:tr>
        <w:tc>
          <w:tcPr>
            <w:tcW w:type="dxa" w:w="38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4B5563"/>
                <w:sz w:val="17"/>
                <w:szCs w:val="17"/>
              </w:rPr>
              <w:t xml:space="preserve">4</w:t>
            </w:r>
          </w:p>
        </w:tc>
        <w:tc>
          <w:tcPr>
            <w:tcW w:type="dxa" w:w="22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AI case summary</w:t>
            </w:r>
          </w:p>
        </w:tc>
        <w:tc>
          <w:tcPr>
            <w:tcW w:type="dxa" w:w="678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9"/>
                <w:szCs w:val="19"/>
              </w:rPr>
              <w:t xml:space="preserve">Plain-language context loaded on open. On-demand only to prevent anchoring. Reduces cold-start time from minutes to seconds.</w:t>
            </w:r>
          </w:p>
        </w:tc>
      </w:tr>
      <w:tr>
        <w:tc>
          <w:tcPr>
            <w:tcW w:type="dxa" w:w="38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4B5563"/>
                <w:sz w:val="17"/>
                <w:szCs w:val="17"/>
              </w:rPr>
              <w:t xml:space="preserve">5</w:t>
            </w:r>
          </w:p>
        </w:tc>
        <w:tc>
          <w:tcPr>
            <w:tcW w:type="dxa" w:w="22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Risk-tier routing + audit trail</w:t>
            </w:r>
          </w:p>
        </w:tc>
        <w:tc>
          <w:tcPr>
            <w:tcW w:type="dxa" w:w="678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4B5563"/>
                <w:sz w:val="19"/>
                <w:szCs w:val="19"/>
              </w:rPr>
              <w:t xml:space="preserve">Critical/High cases surface first with SLA timer. Decision buttons and pre-drafted rationale. Full audit trail on every action.</w:t>
            </w:r>
          </w:p>
        </w:tc>
      </w:tr>
    </w:tbl>
    <w:p>
      <w:pPr>
        <w:spacing w:before="0" w:after="60"/>
        <w:jc w:val="left"/>
      </w:pPr>
      <w:r>
        <w:rPr>
          <w:rFonts w:ascii="Arial" w:cs="Arial" w:eastAsia="Arial" w:hAnsi="Arial"/>
          <w:color w:val="374151"/>
          <w:sz w:val="20"/>
          <w:szCs w:val="20"/>
        </w:rPr>
        <w:t xml:space="preserve"/>
      </w:r>
    </w:p>
    <w:p>
      <w:pPr>
        <w:pBdr>
          <w:bottom w:val="single" w:color="5B21B6" w:sz="8" w:space="6"/>
        </w:pBdr>
        <w:spacing w:before="480" w:after="160"/>
      </w:pPr>
      <w:r>
        <w:rPr>
          <w:rFonts w:ascii="Arial" w:cs="Arial" w:eastAsia="Arial" w:hAnsi="Arial"/>
          <w:b/>
          <w:bCs/>
          <w:color w:val="1E1B4B"/>
          <w:sz w:val="40"/>
          <w:szCs w:val="40"/>
        </w:rPr>
        <w:t xml:space="preserve">6. Post-MVP Roadmap</w:t>
      </w:r>
    </w:p>
    <w:p>
      <w:pPr>
        <w:spacing w:before="0" w:after="120"/>
        <w:jc w:val="left"/>
      </w:pPr>
      <w:r>
        <w:rPr>
          <w:rFonts w:ascii="Arial" w:cs="Arial" w:eastAsia="Arial" w:hAnsi="Arial"/>
          <w:color w:val="374151"/>
          <w:sz w:val="20"/>
          <w:szCs w:val="20"/>
        </w:rPr>
        <w:t xml:space="preserve">The roadmap adds capability in layers. Each layer depends on the previous one being trusted and working. No layer is shipped speculatively.</w:t>
      </w:r>
    </w:p>
    <w:p>
      <w:pPr>
        <w:spacing w:before="360" w:after="120"/>
      </w:pPr>
      <w:r>
        <w:rPr>
          <w:rFonts w:ascii="Arial" w:cs="Arial" w:eastAsia="Arial" w:hAnsi="Arial"/>
          <w:b/>
          <w:bCs/>
          <w:color w:val="5B21B6"/>
          <w:sz w:val="28"/>
          <w:szCs w:val="28"/>
        </w:rPr>
        <w:t xml:space="preserve">Phase 2A — AI Insights Layer</w:t>
      </w:r>
    </w:p>
    <w:p>
      <w:pPr>
        <w:pStyle w:val="ListParagraph"/>
        <w:numPr>
          <w:ilvl w:val="0"/>
          <w:numId w:val="3"/>
        </w:numPr>
        <w:spacing w:before="0" w:after="80"/>
      </w:pPr>
      <w:r>
        <w:rPr>
          <w:rFonts w:ascii="Arial" w:cs="Arial" w:eastAsia="Arial" w:hAnsi="Arial"/>
          <w:b w:val="false"/>
          <w:bCs w:val="false"/>
          <w:color w:val="374151"/>
          <w:sz w:val="20"/>
          <w:szCs w:val="20"/>
        </w:rPr>
        <w:t xml:space="preserve">Outcome prediction — what action does G2RS recommend based on pattern + history</w:t>
      </w:r>
    </w:p>
    <w:p>
      <w:pPr>
        <w:pStyle w:val="ListParagraph"/>
        <w:numPr>
          <w:ilvl w:val="0"/>
          <w:numId w:val="3"/>
        </w:numPr>
        <w:spacing w:before="0" w:after="80"/>
      </w:pPr>
      <w:r>
        <w:rPr>
          <w:rFonts w:ascii="Arial" w:cs="Arial" w:eastAsia="Arial" w:hAnsi="Arial"/>
          <w:b w:val="false"/>
          <w:bCs w:val="false"/>
          <w:color w:val="374151"/>
          <w:sz w:val="20"/>
          <w:szCs w:val="20"/>
        </w:rPr>
        <w:t xml:space="preserve">Recommended action with policy rationale — which clause, why it applies</w:t>
      </w:r>
    </w:p>
    <w:p>
      <w:pPr>
        <w:pStyle w:val="ListParagraph"/>
        <w:numPr>
          <w:ilvl w:val="0"/>
          <w:numId w:val="3"/>
        </w:numPr>
        <w:spacing w:before="0" w:after="80"/>
      </w:pPr>
      <w:r>
        <w:rPr>
          <w:rFonts w:ascii="Arial" w:cs="Arial" w:eastAsia="Arial" w:hAnsi="Arial"/>
          <w:b w:val="false"/>
          <w:bCs w:val="false"/>
          <w:color w:val="374151"/>
          <w:sz w:val="20"/>
          <w:szCs w:val="20"/>
        </w:rPr>
        <w:t xml:space="preserve">Pre-drafted decision rationale — analyst edits and approves, does not write from scratch</w:t>
      </w:r>
    </w:p>
    <w:p>
      <w:pPr>
        <w:spacing w:before="360" w:after="120"/>
      </w:pPr>
      <w:r>
        <w:rPr>
          <w:rFonts w:ascii="Arial" w:cs="Arial" w:eastAsia="Arial" w:hAnsi="Arial"/>
          <w:b/>
          <w:bCs/>
          <w:color w:val="5B21B6"/>
          <w:sz w:val="28"/>
          <w:szCs w:val="28"/>
        </w:rPr>
        <w:t xml:space="preserve">Phase 2A — Remediation Workflow</w:t>
      </w:r>
    </w:p>
    <w:p>
      <w:pPr>
        <w:pStyle w:val="ListParagraph"/>
        <w:numPr>
          <w:ilvl w:val="0"/>
          <w:numId w:val="3"/>
        </w:numPr>
        <w:spacing w:before="0" w:after="80"/>
      </w:pPr>
      <w:r>
        <w:rPr>
          <w:rFonts w:ascii="Arial" w:cs="Arial" w:eastAsia="Arial" w:hAnsi="Arial"/>
          <w:b w:val="false"/>
          <w:bCs w:val="false"/>
          <w:color w:val="374151"/>
          <w:sz w:val="20"/>
          <w:szCs w:val="20"/>
        </w:rPr>
        <w:t xml:space="preserve">Pre-drafted merchant outreach templates per violation type</w:t>
      </w:r>
    </w:p>
    <w:p>
      <w:pPr>
        <w:pStyle w:val="ListParagraph"/>
        <w:numPr>
          <w:ilvl w:val="0"/>
          <w:numId w:val="3"/>
        </w:numPr>
        <w:spacing w:before="0" w:after="80"/>
      </w:pPr>
      <w:r>
        <w:rPr>
          <w:rFonts w:ascii="Arial" w:cs="Arial" w:eastAsia="Arial" w:hAnsi="Arial"/>
          <w:b w:val="false"/>
          <w:bCs w:val="false"/>
          <w:color w:val="374151"/>
          <w:sz w:val="20"/>
          <w:szCs w:val="20"/>
        </w:rPr>
        <w:t xml:space="preserve">Deadline timer and response tracking per case</w:t>
      </w:r>
    </w:p>
    <w:p>
      <w:pPr>
        <w:pStyle w:val="ListParagraph"/>
        <w:numPr>
          <w:ilvl w:val="0"/>
          <w:numId w:val="3"/>
        </w:numPr>
        <w:spacing w:before="0" w:after="80"/>
      </w:pPr>
      <w:r>
        <w:rPr>
          <w:rFonts w:ascii="Arial" w:cs="Arial" w:eastAsia="Arial" w:hAnsi="Arial"/>
          <w:b w:val="false"/>
          <w:bCs w:val="false"/>
          <w:color w:val="374151"/>
          <w:sz w:val="20"/>
          <w:szCs w:val="20"/>
        </w:rPr>
        <w:t xml:space="preserve">Instant re-scan via EverC when merchant claims remediation</w:t>
      </w:r>
    </w:p>
    <w:p>
      <w:pPr>
        <w:spacing w:before="360" w:after="120"/>
      </w:pPr>
      <w:r>
        <w:rPr>
          <w:rFonts w:ascii="Arial" w:cs="Arial" w:eastAsia="Arial" w:hAnsi="Arial"/>
          <w:b/>
          <w:bCs/>
          <w:color w:val="5B21B6"/>
          <w:sz w:val="28"/>
          <w:szCs w:val="28"/>
        </w:rPr>
        <w:t xml:space="preserve">Phase 2B — Feedback Loop</w:t>
      </w:r>
    </w:p>
    <w:p>
      <w:pPr>
        <w:pStyle w:val="ListParagraph"/>
        <w:numPr>
          <w:ilvl w:val="0"/>
          <w:numId w:val="3"/>
        </w:numPr>
        <w:spacing w:before="0" w:after="80"/>
      </w:pPr>
      <w:r>
        <w:rPr>
          <w:rFonts w:ascii="Arial" w:cs="Arial" w:eastAsia="Arial" w:hAnsi="Arial"/>
          <w:b w:val="false"/>
          <w:bCs w:val="false"/>
          <w:color w:val="374151"/>
          <w:sz w:val="20"/>
          <w:szCs w:val="20"/>
        </w:rPr>
        <w:t xml:space="preserve">Outcome capture per analyst decision — tagged by merchant profile and violation type</w:t>
      </w:r>
    </w:p>
    <w:p>
      <w:pPr>
        <w:pStyle w:val="ListParagraph"/>
        <w:numPr>
          <w:ilvl w:val="0"/>
          <w:numId w:val="3"/>
        </w:numPr>
        <w:spacing w:before="0" w:after="80"/>
      </w:pPr>
      <w:r>
        <w:rPr>
          <w:rFonts w:ascii="Arial" w:cs="Arial" w:eastAsia="Arial" w:hAnsi="Arial"/>
          <w:b w:val="false"/>
          <w:bCs w:val="false"/>
          <w:color w:val="374151"/>
          <w:sz w:val="20"/>
          <w:szCs w:val="20"/>
        </w:rPr>
        <w:t xml:space="preserve">Data feeds tier calibration — which merchants graduate to lower-risk monitoring</w:t>
      </w:r>
    </w:p>
    <w:p>
      <w:pPr>
        <w:pStyle w:val="ListParagraph"/>
        <w:numPr>
          <w:ilvl w:val="0"/>
          <w:numId w:val="3"/>
        </w:numPr>
        <w:spacing w:before="0" w:after="80"/>
      </w:pPr>
      <w:r>
        <w:rPr>
          <w:rFonts w:ascii="Arial" w:cs="Arial" w:eastAsia="Arial" w:hAnsi="Arial"/>
          <w:b w:val="false"/>
          <w:bCs w:val="false"/>
          <w:color w:val="374151"/>
          <w:sz w:val="20"/>
          <w:szCs w:val="20"/>
        </w:rPr>
        <w:t xml:space="preserve">Feeds AI model improvement — decisions made by analysts inform future predictions</w:t>
      </w:r>
    </w:p>
    <w:p>
      <w:pPr>
        <w:spacing w:before="360" w:after="120"/>
      </w:pPr>
      <w:r>
        <w:rPr>
          <w:rFonts w:ascii="Arial" w:cs="Arial" w:eastAsia="Arial" w:hAnsi="Arial"/>
          <w:b/>
          <w:bCs/>
          <w:color w:val="5B21B6"/>
          <w:sz w:val="28"/>
          <w:szCs w:val="28"/>
        </w:rPr>
        <w:t xml:space="preserve">Complementary — Risk-based monitoring tiers</w:t>
      </w:r>
    </w:p>
    <w:p>
      <w:pPr>
        <w:pBdr>
          <w:left w:val="single" w:color="0D9488" w:sz="18" w:space="8"/>
        </w:pBdr>
        <w:shd w:fill="F0FDF9" w:val="clear"/>
        <w:spacing w:before="120" w:after="120"/>
        <w:ind w:left="200" w:right="200"/>
      </w:pPr>
      <w:r>
        <w:rPr>
          <w:rFonts w:ascii="Arial" w:cs="Arial" w:eastAsia="Arial" w:hAnsi="Arial"/>
          <w:color w:val="0D9488"/>
          <w:sz w:val="20"/>
          <w:szCs w:val="20"/>
        </w:rPr>
        <w:t xml:space="preserve">Deploy alongside the Co-Pilot (not instead of it). Reduces the volume of alerts entering the workflow by lowering monitoring frequency for lower-risk merchants. Does not solve investigation efficiency — that's the Co-Pilot's job.</w:t>
      </w:r>
    </w:p>
    <w:p>
      <w:pPr>
        <w:spacing w:before="0" w:after="60"/>
        <w:jc w:val="left"/>
      </w:pPr>
      <w:r>
        <w:rPr>
          <w:rFonts w:ascii="Arial" w:cs="Arial" w:eastAsia="Arial" w:hAnsi="Arial"/>
          <w:color w:val="374151"/>
          <w:sz w:val="20"/>
          <w:szCs w:val="20"/>
        </w:rPr>
        <w:t xml:space="preserve"/>
      </w:r>
    </w:p>
    <w:p>
      <w:pPr>
        <w:pBdr>
          <w:bottom w:val="single" w:color="5B21B6" w:sz="8" w:space="6"/>
        </w:pBdr>
        <w:spacing w:before="480" w:after="160"/>
      </w:pPr>
      <w:r>
        <w:rPr>
          <w:rFonts w:ascii="Arial" w:cs="Arial" w:eastAsia="Arial" w:hAnsi="Arial"/>
          <w:b/>
          <w:bCs/>
          <w:color w:val="1E1B4B"/>
          <w:sz w:val="40"/>
          <w:szCs w:val="40"/>
        </w:rPr>
        <w:t xml:space="preserve">7. Customer Segmentation</w:t>
      </w:r>
    </w:p>
    <w:p>
      <w:pPr>
        <w:spacing w:before="0" w:after="120"/>
        <w:jc w:val="left"/>
      </w:pPr>
      <w:r>
        <w:rPr>
          <w:rFonts w:ascii="Arial" w:cs="Arial" w:eastAsia="Arial" w:hAnsi="Arial"/>
          <w:color w:val="374151"/>
          <w:sz w:val="20"/>
          <w:szCs w:val="20"/>
        </w:rPr>
        <w:t xml:space="preserve">The same platform serves four distinct customer segments. The violation-type grouping is the universal foundation — what each segment values most on top of that differs.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900"/>
        <w:gridCol w:w="2800"/>
        <w:gridCol w:w="3660"/>
      </w:tblGrid>
      <w:tr>
        <w:tc>
          <w:tcPr>
            <w:tcW w:type="dxa" w:w="20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Segment</w:t>
            </w:r>
          </w:p>
        </w:tc>
        <w:tc>
          <w:tcPr>
            <w:tcW w:type="dxa" w:w="9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Phase</w:t>
            </w:r>
          </w:p>
        </w:tc>
        <w:tc>
          <w:tcPr>
            <w:tcW w:type="dxa" w:w="28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Pain</w:t>
            </w:r>
          </w:p>
        </w:tc>
        <w:tc>
          <w:tcPr>
            <w:tcW w:type="dxa" w:w="366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Primary lever</w:t>
            </w:r>
          </w:p>
        </w:tc>
      </w:tr>
      <w:tr>
        <w:tc>
          <w:tcPr>
            <w:tcW w:type="dxa" w:w="20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Growing PayFac</w:t>
            </w:r>
          </w:p>
        </w:tc>
        <w:tc>
          <w:tcPr>
            <w:tcW w:type="dxa" w:w="9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7"/>
                <w:szCs w:val="17"/>
              </w:rPr>
              <w:t xml:space="preserve">Phase 1</w:t>
            </w:r>
          </w:p>
        </w:tc>
        <w:tc>
          <w:tcPr>
            <w:tcW w:type="dxa" w:w="28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i/>
                <w:iCs/>
                <w:color w:val="4B5563"/>
                <w:sz w:val="18"/>
                <w:szCs w:val="18"/>
              </w:rPr>
              <w:t xml:space="preserve">Alert volume overwhelms team as portfolio grows. Analysts hit capacity and stop screening lower-risk merchants.</w:t>
            </w:r>
          </w:p>
        </w:tc>
        <w:tc>
          <w:tcPr>
            <w:tcW w:type="dxa" w:w="366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color w:val="1E1B4B"/>
                <w:sz w:val="18"/>
                <w:szCs w:val="18"/>
              </w:rPr>
              <w:t xml:space="preserve">Violation-type grouping eliminates the context switch overhead</w:t>
            </w:r>
          </w:p>
        </w:tc>
      </w:tr>
      <w:tr>
        <w:tc>
          <w:tcPr>
            <w:tcW w:type="dxa" w:w="20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Established Acquirer</w:t>
            </w:r>
          </w:p>
        </w:tc>
        <w:tc>
          <w:tcPr>
            <w:tcW w:type="dxa" w:w="9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7"/>
                <w:szCs w:val="17"/>
              </w:rPr>
              <w:t xml:space="preserve">Phase 1</w:t>
            </w:r>
          </w:p>
        </w:tc>
        <w:tc>
          <w:tcPr>
            <w:tcW w:type="dxa" w:w="28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i/>
                <w:iCs/>
                <w:color w:val="4B5563"/>
                <w:sz w:val="18"/>
                <w:szCs w:val="18"/>
              </w:rPr>
              <w:t xml:space="preserve">SLA breach on Critical/High cases. Evidence assembly takes too long. Decisions happen too slowly.</w:t>
            </w:r>
          </w:p>
        </w:tc>
        <w:tc>
          <w:tcPr>
            <w:tcW w:type="dxa" w:w="366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1E1B4B"/>
                <w:sz w:val="18"/>
                <w:szCs w:val="18"/>
              </w:rPr>
              <w:t xml:space="preserve">Evidence pack + violation-type checklist accelerates per-case time</w:t>
            </w:r>
          </w:p>
        </w:tc>
      </w:tr>
      <w:tr>
        <w:tc>
          <w:tcPr>
            <w:tcW w:type="dxa" w:w="20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Risk-Averse Prospect</w:t>
            </w:r>
          </w:p>
        </w:tc>
        <w:tc>
          <w:tcPr>
            <w:tcW w:type="dxa" w:w="9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7"/>
                <w:szCs w:val="17"/>
              </w:rPr>
              <w:t xml:space="preserve">Phase 2</w:t>
            </w:r>
          </w:p>
        </w:tc>
        <w:tc>
          <w:tcPr>
            <w:tcW w:type="dxa" w:w="28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i/>
                <w:iCs/>
                <w:color w:val="4B5563"/>
                <w:sz w:val="18"/>
                <w:szCs w:val="18"/>
              </w:rPr>
              <w:t xml:space="preserve">Fear of adoption. 50,000 merchants sounds like 50,000 uninvestigatable alerts. Deals don't close.</w:t>
            </w:r>
          </w:p>
        </w:tc>
        <w:tc>
          <w:tcPr>
            <w:tcW w:type="dxa" w:w="366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color w:val="1E1B4B"/>
                <w:sz w:val="18"/>
                <w:szCs w:val="18"/>
              </w:rPr>
              <w:t xml:space="preserve">Structured workflow = predictable capacity. Numbers become manageable.</w:t>
            </w:r>
          </w:p>
        </w:tc>
      </w:tr>
      <w:tr>
        <w:tc>
          <w:tcPr>
            <w:tcW w:type="dxa" w:w="20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1E1B4B"/>
                <w:sz w:val="19"/>
                <w:szCs w:val="19"/>
              </w:rPr>
              <w:t xml:space="preserve">Marketplace / Platform</w:t>
            </w:r>
          </w:p>
        </w:tc>
        <w:tc>
          <w:tcPr>
            <w:tcW w:type="dxa" w:w="9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7"/>
                <w:szCs w:val="17"/>
              </w:rPr>
              <w:t xml:space="preserve">Phase 3</w:t>
            </w:r>
          </w:p>
        </w:tc>
        <w:tc>
          <w:tcPr>
            <w:tcW w:type="dxa" w:w="28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i/>
                <w:iCs/>
                <w:color w:val="4B5563"/>
                <w:sz w:val="18"/>
                <w:szCs w:val="18"/>
              </w:rPr>
              <w:t xml:space="preserve">Millions of sellers, tiny trust and safety team. Scale is the existential challenge.</w:t>
            </w:r>
          </w:p>
        </w:tc>
        <w:tc>
          <w:tcPr>
            <w:tcW w:type="dxa" w:w="366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1E1B4B"/>
                <w:sz w:val="18"/>
                <w:szCs w:val="18"/>
              </w:rPr>
              <w:t xml:space="preserve">All levers combined with EverC Smart Scan for continuous monitoring</w:t>
            </w:r>
          </w:p>
        </w:tc>
      </w:tr>
    </w:tbl>
    <w:p>
      <w:pPr>
        <w:spacing w:before="0" w:after="60"/>
        <w:jc w:val="left"/>
      </w:pPr>
      <w:r>
        <w:rPr>
          <w:rFonts w:ascii="Arial" w:cs="Arial" w:eastAsia="Arial" w:hAnsi="Arial"/>
          <w:color w:val="374151"/>
          <w:sz w:val="20"/>
          <w:szCs w:val="20"/>
        </w:rPr>
        <w:t xml:space="preserve"/>
      </w:r>
    </w:p>
    <w:p>
      <w:pPr>
        <w:pBdr>
          <w:bottom w:val="single" w:color="5B21B6" w:sz="8" w:space="6"/>
        </w:pBdr>
        <w:spacing w:before="480" w:after="160"/>
      </w:pPr>
      <w:r>
        <w:rPr>
          <w:rFonts w:ascii="Arial" w:cs="Arial" w:eastAsia="Arial" w:hAnsi="Arial"/>
          <w:b/>
          <w:bCs/>
          <w:color w:val="1E1B4B"/>
          <w:sz w:val="40"/>
          <w:szCs w:val="40"/>
        </w:rPr>
        <w:t xml:space="preserve">8. Execution Plan</w:t>
      </w:r>
    </w:p>
    <w:p>
      <w:pPr>
        <w:spacing w:before="0" w:after="120"/>
        <w:jc w:val="left"/>
      </w:pPr>
      <w:r>
        <w:rPr>
          <w:rFonts w:ascii="Arial" w:cs="Arial" w:eastAsia="Arial" w:hAnsi="Arial"/>
          <w:color w:val="374151"/>
          <w:sz w:val="20"/>
          <w:szCs w:val="20"/>
        </w:rPr>
        <w:t xml:space="preserve">Four phases. Each gated by a real-world signal — not a calendar date. The gate matters more than the timeline: we move to the next phase when evidence says we should, not when a quarter ends.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900"/>
        <w:gridCol w:w="3500"/>
        <w:gridCol w:w="3960"/>
      </w:tblGrid>
      <w:tr>
        <w:tc>
          <w:tcPr>
            <w:tcW w:type="dxa" w:w="10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Phase</w:t>
            </w:r>
          </w:p>
        </w:tc>
        <w:tc>
          <w:tcPr>
            <w:tcW w:type="dxa" w:w="9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Duration</w:t>
            </w:r>
          </w:p>
        </w:tc>
        <w:tc>
          <w:tcPr>
            <w:tcW w:type="dxa" w:w="35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Activities</w:t>
            </w:r>
          </w:p>
        </w:tc>
        <w:tc>
          <w:tcPr>
            <w:tcW w:type="dxa" w:w="396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Gate to next phase</w:t>
            </w:r>
          </w:p>
        </w:tc>
      </w:tr>
      <w:tr>
        <w:tc>
          <w:tcPr>
            <w:tcW w:type="dxa" w:w="10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4B5563"/>
                <w:sz w:val="18"/>
                <w:szCs w:val="18"/>
              </w:rPr>
              <w:t xml:space="preserve">Phase 0: Discover</w:t>
            </w:r>
          </w:p>
        </w:tc>
        <w:tc>
          <w:tcPr>
            <w:tcW w:type="dxa" w:w="9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i/>
                <w:iCs/>
                <w:color w:val="6B7280"/>
                <w:sz w:val="17"/>
                <w:szCs w:val="17"/>
              </w:rPr>
              <w:t xml:space="preserve">4–6 weeks</w:t>
            </w:r>
          </w:p>
        </w:tc>
        <w:tc>
          <w:tcPr>
            <w:tcW w:type="dxa" w:w="35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2–3 design partners identified. Shadow analysts live — watch the actual investigation workflow. Capture baseline metrics: current case volume, time per case by type, SLA adherence by tier.</w:t>
            </w:r>
          </w:p>
        </w:tc>
        <w:tc>
          <w:tcPr>
            <w:tcW w:type="dxa" w:w="396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i/>
                <w:iCs/>
                <w:color w:val="4B5563"/>
                <w:sz w:val="18"/>
                <w:szCs w:val="18"/>
              </w:rPr>
              <w:t xml:space="preserve">Design partners agreed and baselines captured.</w:t>
            </w:r>
          </w:p>
        </w:tc>
      </w:tr>
      <w:tr>
        <w:tc>
          <w:tcPr>
            <w:tcW w:type="dxa" w:w="10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8"/>
                <w:szCs w:val="18"/>
              </w:rPr>
              <w:t xml:space="preserve">Phase 1: MVP</w:t>
            </w:r>
          </w:p>
        </w:tc>
        <w:tc>
          <w:tcPr>
            <w:tcW w:type="dxa" w:w="9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i/>
                <w:iCs/>
                <w:color w:val="6B7280"/>
                <w:sz w:val="17"/>
                <w:szCs w:val="17"/>
              </w:rPr>
              <w:t xml:space="preserve">3–4 months</w:t>
            </w:r>
          </w:p>
        </w:tc>
        <w:tc>
          <w:tcPr>
            <w:tcW w:type="dxa" w:w="35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5 MVP features built and shipped to design partners only. Weekly analyst feedback sessions. Fix friction within the same sprint. No broader rollout until the signal is clear.</w:t>
            </w:r>
          </w:p>
        </w:tc>
        <w:tc>
          <w:tcPr>
            <w:tcW w:type="dxa" w:w="396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i/>
                <w:iCs/>
                <w:color w:val="5B21B6"/>
                <w:sz w:val="18"/>
                <w:szCs w:val="18"/>
              </w:rPr>
              <w:t xml:space="preserve">Analysts say: 'we could handle more merchants with this.'</w:t>
            </w:r>
          </w:p>
        </w:tc>
      </w:tr>
      <w:tr>
        <w:tc>
          <w:tcPr>
            <w:tcW w:type="dxa" w:w="10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4B5563"/>
                <w:sz w:val="18"/>
                <w:szCs w:val="18"/>
              </w:rPr>
              <w:t xml:space="preserve">Phase 2: Deepen</w:t>
            </w:r>
          </w:p>
        </w:tc>
        <w:tc>
          <w:tcPr>
            <w:tcW w:type="dxa" w:w="9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i/>
                <w:iCs/>
                <w:color w:val="6B7280"/>
                <w:sz w:val="17"/>
                <w:szCs w:val="17"/>
              </w:rPr>
              <w:t xml:space="preserve">4–6 months</w:t>
            </w:r>
          </w:p>
        </w:tc>
        <w:tc>
          <w:tcPr>
            <w:tcW w:type="dxa" w:w="35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AI insights layer and remediation workflow added. Broader rollout using pilot data as proof, not case studies. Before/after metrics are the selling tool.</w:t>
            </w:r>
          </w:p>
        </w:tc>
        <w:tc>
          <w:tcPr>
            <w:tcW w:type="dxa" w:w="396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i/>
                <w:iCs/>
                <w:color w:val="4B5563"/>
                <w:sz w:val="18"/>
                <w:szCs w:val="18"/>
              </w:rPr>
              <w:t xml:space="preserve">Screening requests per customer per week is increasing.</w:t>
            </w:r>
          </w:p>
        </w:tc>
      </w:tr>
      <w:tr>
        <w:tc>
          <w:tcPr>
            <w:tcW w:type="dxa" w:w="10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color w:val="5B21B6"/>
                <w:sz w:val="18"/>
                <w:szCs w:val="18"/>
              </w:rPr>
              <w:t xml:space="preserve">Phase 3: Scale</w:t>
            </w:r>
          </w:p>
        </w:tc>
        <w:tc>
          <w:tcPr>
            <w:tcW w:type="dxa" w:w="9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i/>
                <w:iCs/>
                <w:color w:val="6B7280"/>
                <w:sz w:val="17"/>
                <w:szCs w:val="17"/>
              </w:rPr>
              <w:t xml:space="preserve">Ongoing</w:t>
            </w:r>
          </w:p>
        </w:tc>
        <w:tc>
          <w:tcPr>
            <w:tcW w:type="dxa" w:w="350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color w:val="374151"/>
                <w:sz w:val="18"/>
                <w:szCs w:val="18"/>
              </w:rPr>
              <w:t xml:space="preserve">Full market rollout. Co-Pilot named and priced as a distinct product tier. Feedback loop compounds quarterly — analyst decisions feed tier calibration and AI improvement.</w:t>
            </w:r>
          </w:p>
        </w:tc>
        <w:tc>
          <w:tcPr>
            <w:tcW w:type="dxa" w:w="3960"/>
            <w:tcBorders>
              <w:top w:val="single" w:color="DDD6FE" w:sz="1"/>
              <w:left w:val="none" w:color="FFFFFF" w:sz="0"/>
              <w:bottom w:val="single" w:color="DDD6FE" w:sz="1"/>
              <w:right w:val="none" w:color="FFFFFF" w:sz="0"/>
            </w:tcBorders>
            <w:shd w:fill="EDE9FE" w:val="clear"/>
            <w:tcMar>
              <w:top w:type="dxa" w:w="80"/>
              <w:left w:type="dxa" w:w="140"/>
              <w:bottom w:type="dxa" w:w="80"/>
              <w:right w:type="dxa" w:w="140"/>
            </w:tcMar>
            <w:vAlign w:val="top"/>
          </w:tcPr>
          <w:p>
            <w:pPr>
              <w:spacing w:before="0" w:after="120"/>
              <w:jc w:val="left"/>
            </w:pPr>
            <w:r>
              <w:rPr>
                <w:rFonts w:ascii="Arial" w:cs="Arial" w:eastAsia="Arial" w:hAnsi="Arial"/>
                <w:b/>
                <w:bCs/>
                <w:i/>
                <w:iCs/>
                <w:color w:val="5B21B6"/>
                <w:sz w:val="18"/>
                <w:szCs w:val="18"/>
              </w:rPr>
              <w:t xml:space="preserve">Portfolio expansion rate sustained across the customer base.</w:t>
            </w:r>
          </w:p>
        </w:tc>
      </w:tr>
    </w:tbl>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Team required</w:t>
      </w:r>
    </w:p>
    <w:p>
      <w:pPr>
        <w:spacing w:before="0" w:after="120"/>
        <w:jc w:val="left"/>
      </w:pPr>
      <w:r>
        <w:rPr>
          <w:rFonts w:ascii="Arial" w:cs="Arial" w:eastAsia="Arial" w:hAnsi="Arial"/>
          <w:color w:val="374151"/>
          <w:sz w:val="20"/>
          <w:szCs w:val="20"/>
        </w:rPr>
        <w:t xml:space="preserve">Core team for MVP: 1 PM, 0.5 UX, 4–5 backend engineers, 2 frontend engineers, 1–2 data/ML, 1 QA, shared solutions engineer for design partner onboarding. All inside G2RS. No customer-side dependency.</w:t>
      </w:r>
    </w:p>
    <w:p>
      <w:pPr>
        <w:spacing w:before="0" w:after="60"/>
        <w:jc w:val="left"/>
      </w:pPr>
      <w:r>
        <w:rPr>
          <w:rFonts w:ascii="Arial" w:cs="Arial" w:eastAsia="Arial" w:hAnsi="Arial"/>
          <w:color w:val="374151"/>
          <w:sz w:val="20"/>
          <w:szCs w:val="20"/>
        </w:rPr>
        <w:t xml:space="preserve"/>
      </w:r>
    </w:p>
    <w:p>
      <w:pPr>
        <w:pBdr>
          <w:bottom w:val="single" w:color="5B21B6" w:sz="8" w:space="6"/>
        </w:pBdr>
        <w:spacing w:before="480" w:after="160"/>
      </w:pPr>
      <w:r>
        <w:rPr>
          <w:rFonts w:ascii="Arial" w:cs="Arial" w:eastAsia="Arial" w:hAnsi="Arial"/>
          <w:b/>
          <w:bCs/>
          <w:color w:val="1E1B4B"/>
          <w:sz w:val="40"/>
          <w:szCs w:val="40"/>
        </w:rPr>
        <w:t xml:space="preserve">9. Success Metrics</w:t>
      </w:r>
    </w:p>
    <w:p>
      <w:pPr>
        <w:spacing w:before="360" w:after="120"/>
      </w:pPr>
      <w:r>
        <w:rPr>
          <w:rFonts w:ascii="Arial" w:cs="Arial" w:eastAsia="Arial" w:hAnsi="Arial"/>
          <w:b/>
          <w:bCs/>
          <w:color w:val="5B21B6"/>
          <w:sz w:val="28"/>
          <w:szCs w:val="28"/>
        </w:rPr>
        <w:t xml:space="preserve">North Star — Alerts investigated per analyst per week</w:t>
      </w:r>
    </w:p>
    <w:p>
      <w:pPr>
        <w:spacing w:before="0" w:after="120"/>
        <w:jc w:val="left"/>
      </w:pPr>
      <w:r>
        <w:rPr>
          <w:rFonts w:ascii="Arial" w:cs="Arial" w:eastAsia="Arial" w:hAnsi="Arial"/>
          <w:color w:val="374151"/>
          <w:sz w:val="20"/>
          <w:szCs w:val="20"/>
        </w:rPr>
        <w:t xml:space="preserve">The direct expression of the scalability problem we are solving. If analysts are investigating more alerts per week with the same headcount, the Co-Pilot is working. This metric captures all three levers simultaneously — grouping efficiency, evidence pack speed, and checklist guidance.</w:t>
      </w:r>
    </w:p>
    <w:p>
      <w:pPr>
        <w:pBdr>
          <w:left w:val="single" w:color="5B21B6" w:sz="18" w:space="8"/>
        </w:pBdr>
        <w:shd w:fill="EDE9FE" w:val="clear"/>
        <w:spacing w:before="80" w:after="80"/>
        <w:ind w:left="200" w:right="200"/>
      </w:pPr>
      <w:r>
        <w:rPr>
          <w:rFonts w:ascii="Arial" w:cs="Arial" w:eastAsia="Arial" w:hAnsi="Arial"/>
          <w:b/>
          <w:bCs/>
          <w:color w:val="5B21B6"/>
          <w:sz w:val="20"/>
          <w:szCs w:val="20"/>
        </w:rPr>
        <w:t xml:space="preserve">How measured:  </w:t>
      </w:r>
      <w:r>
        <w:rPr>
          <w:rFonts w:ascii="Arial" w:cs="Arial" w:eastAsia="Arial" w:hAnsi="Arial"/>
          <w:color w:val="4B5563"/>
          <w:sz w:val="20"/>
          <w:szCs w:val="20"/>
        </w:rPr>
        <w:t xml:space="preserve">Case open timestamp → decision timestamp, per analyst. Measured entirely within the Co-Pilot. No dependency on customer data.</w:t>
      </w:r>
    </w:p>
    <w:p>
      <w:pPr>
        <w:spacing w:before="360" w:after="120"/>
      </w:pPr>
      <w:r>
        <w:rPr>
          <w:rFonts w:ascii="Arial" w:cs="Arial" w:eastAsia="Arial" w:hAnsi="Arial"/>
          <w:b/>
          <w:bCs/>
          <w:color w:val="5B21B6"/>
          <w:sz w:val="28"/>
          <w:szCs w:val="28"/>
        </w:rPr>
        <w:t xml:space="preserve">Guardrail — Case creation to decision time, by tier</w:t>
      </w:r>
    </w:p>
    <w:p>
      <w:pPr>
        <w:spacing w:before="0" w:after="120"/>
        <w:jc w:val="left"/>
      </w:pPr>
      <w:r>
        <w:rPr>
          <w:rFonts w:ascii="Arial" w:cs="Arial" w:eastAsia="Arial" w:hAnsi="Arial"/>
          <w:color w:val="374151"/>
          <w:sz w:val="20"/>
          <w:szCs w:val="20"/>
        </w:rPr>
        <w:t xml:space="preserve">Ensures that speed improvements don't come at the cost of SLA discipline or decision quality. Measured separately for Critical, High, Medium, and Low tiers. If this degrades, we are optimising for throughput at the expense of the right decisions — the failure mode.</w:t>
      </w:r>
    </w:p>
    <w:p>
      <w:pPr>
        <w:pBdr>
          <w:left w:val="single" w:color="4B5563" w:sz="18" w:space="8"/>
        </w:pBdr>
        <w:shd w:fill="F9FAFB" w:val="clear"/>
        <w:spacing w:before="80" w:after="80"/>
        <w:ind w:left="200" w:right="200"/>
      </w:pPr>
      <w:r>
        <w:rPr>
          <w:rFonts w:ascii="Arial" w:cs="Arial" w:eastAsia="Arial" w:hAnsi="Arial"/>
          <w:b/>
          <w:bCs/>
          <w:color w:val="4B5563"/>
          <w:sz w:val="20"/>
          <w:szCs w:val="20"/>
        </w:rPr>
        <w:t xml:space="preserve">How measured:  </w:t>
      </w:r>
      <w:r>
        <w:rPr>
          <w:rFonts w:ascii="Arial" w:cs="Arial" w:eastAsia="Arial" w:hAnsi="Arial"/>
          <w:color w:val="4B5563"/>
          <w:sz w:val="20"/>
          <w:szCs w:val="20"/>
        </w:rPr>
        <w:t xml:space="preserve">G2RS owns both timestamps. Per tier. No customer data sharing required.</w:t>
      </w:r>
    </w:p>
    <w:p>
      <w:pPr>
        <w:spacing w:before="360" w:after="120"/>
      </w:pPr>
      <w:r>
        <w:rPr>
          <w:rFonts w:ascii="Arial" w:cs="Arial" w:eastAsia="Arial" w:hAnsi="Arial"/>
          <w:b/>
          <w:bCs/>
          <w:color w:val="5B21B6"/>
          <w:sz w:val="28"/>
          <w:szCs w:val="28"/>
        </w:rPr>
        <w:t xml:space="preserve">Growth Signal — Screening requests per customer per week</w:t>
      </w:r>
    </w:p>
    <w:p>
      <w:pPr>
        <w:spacing w:before="0" w:after="120"/>
        <w:jc w:val="left"/>
      </w:pPr>
      <w:r>
        <w:rPr>
          <w:rFonts w:ascii="Arial" w:cs="Arial" w:eastAsia="Arial" w:hAnsi="Arial"/>
          <w:color w:val="374151"/>
          <w:sz w:val="20"/>
          <w:szCs w:val="20"/>
        </w:rPr>
        <w:t xml:space="preserve">Measures whether the scalability problem is actually being solved — not just for existing users but as an adoption signal. If customers were self-limiting before (capping their portfolio, reducing screening scope), this number will rise as the Co-Pilot gives them confidence to grow. Customers growing with G2RS rather than despite it.</w:t>
      </w:r>
    </w:p>
    <w:p>
      <w:pPr>
        <w:pBdr>
          <w:left w:val="single" w:color="0D9488" w:sz="18" w:space="8"/>
        </w:pBdr>
        <w:shd w:fill="F0FDF9" w:val="clear"/>
        <w:spacing w:before="80" w:after="80"/>
        <w:ind w:left="200" w:right="200"/>
      </w:pPr>
      <w:r>
        <w:rPr>
          <w:rFonts w:ascii="Arial" w:cs="Arial" w:eastAsia="Arial" w:hAnsi="Arial"/>
          <w:b/>
          <w:bCs/>
          <w:color w:val="0D9488"/>
          <w:sz w:val="20"/>
          <w:szCs w:val="20"/>
        </w:rPr>
        <w:t xml:space="preserve">How measured:  </w:t>
      </w:r>
      <w:r>
        <w:rPr>
          <w:rFonts w:ascii="Arial" w:cs="Arial" w:eastAsia="Arial" w:hAnsi="Arial"/>
          <w:color w:val="4B5563"/>
          <w:sz w:val="20"/>
          <w:szCs w:val="20"/>
        </w:rPr>
        <w:t xml:space="preserve">Measured directly in G2RS API and portal. No customer data sharing required. Baseline captured in Phase 0.</w:t>
      </w:r>
    </w:p>
    <w:p>
      <w:pPr>
        <w:spacing w:before="0" w:after="60"/>
        <w:jc w:val="left"/>
      </w:pPr>
      <w:r>
        <w:rPr>
          <w:rFonts w:ascii="Arial" w:cs="Arial" w:eastAsia="Arial" w:hAnsi="Arial"/>
          <w:color w:val="374151"/>
          <w:sz w:val="20"/>
          <w:szCs w:val="20"/>
        </w:rPr>
        <w:t xml:space="preserve"/>
      </w:r>
    </w:p>
    <w:p>
      <w:pPr>
        <w:pBdr>
          <w:bottom w:val="single" w:color="5B21B6" w:sz="8" w:space="6"/>
        </w:pBdr>
        <w:spacing w:before="480" w:after="160"/>
      </w:pPr>
      <w:r>
        <w:rPr>
          <w:rFonts w:ascii="Arial" w:cs="Arial" w:eastAsia="Arial" w:hAnsi="Arial"/>
          <w:b/>
          <w:bCs/>
          <w:color w:val="1E1B4B"/>
          <w:sz w:val="40"/>
          <w:szCs w:val="40"/>
        </w:rPr>
        <w:t xml:space="preserve">10. Key Tradeoffs Made</w:t>
      </w:r>
    </w:p>
    <w:p>
      <w:pPr>
        <w:spacing w:before="360" w:after="120"/>
      </w:pPr>
      <w:r>
        <w:rPr>
          <w:rFonts w:ascii="Arial" w:cs="Arial" w:eastAsia="Arial" w:hAnsi="Arial"/>
          <w:b/>
          <w:bCs/>
          <w:color w:val="5B21B6"/>
          <w:sz w:val="28"/>
          <w:szCs w:val="28"/>
        </w:rPr>
        <w:t xml:space="preserve">Tradeoff 1 — Workflow layer, not a new detection product</w:t>
      </w:r>
    </w:p>
    <w:p>
      <w:pPr>
        <w:spacing w:before="0" w:after="120"/>
        <w:jc w:val="left"/>
      </w:pPr>
      <w:r>
        <w:rPr>
          <w:rFonts w:ascii="Arial" w:cs="Arial" w:eastAsia="Arial" w:hAnsi="Arial"/>
          <w:color w:val="374151"/>
          <w:sz w:val="20"/>
          <w:szCs w:val="20"/>
        </w:rPr>
        <w:t xml:space="preserve">The Co-Pilot is deliberately not a new detection product. It adds no new signals, no new data sources, no new ML models. It is a layer on top of what G2RS and EverC already produce.</w:t>
      </w:r>
    </w:p>
    <w:p>
      <w:pPr>
        <w:pBdr>
          <w:left w:val="single" w:color="5B21B6" w:sz="18" w:space="8"/>
        </w:pBdr>
        <w:shd w:fill="EDE9FE" w:val="clear"/>
        <w:spacing w:before="80" w:after="80"/>
        <w:ind w:left="200" w:right="200"/>
      </w:pPr>
      <w:r>
        <w:rPr>
          <w:rFonts w:ascii="Arial" w:cs="Arial" w:eastAsia="Arial" w:hAnsi="Arial"/>
          <w:b/>
          <w:bCs/>
          <w:color w:val="5B21B6"/>
          <w:sz w:val="20"/>
          <w:szCs w:val="20"/>
        </w:rPr>
        <w:t xml:space="preserve">Why:  </w:t>
      </w:r>
      <w:r>
        <w:rPr>
          <w:rFonts w:ascii="Arial" w:cs="Arial" w:eastAsia="Arial" w:hAnsi="Arial"/>
          <w:color w:val="4B5563"/>
          <w:sz w:val="20"/>
          <w:szCs w:val="20"/>
        </w:rPr>
        <w:t xml:space="preserve">Building on existing detection keeps the constraint respected (no customer transaction data), shortens time to value, and avoids the risk of cannibalising the core product. The detection is already good. The gap is what happens after detection.</w:t>
      </w:r>
    </w:p>
    <w:p>
      <w:pPr>
        <w:pBdr>
          <w:left w:val="single" w:color="D97706" w:sz="18" w:space="8"/>
        </w:pBdr>
        <w:shd w:fill="FEF3C7" w:val="clear"/>
        <w:spacing w:before="80" w:after="80"/>
        <w:ind w:left="200" w:right="200"/>
      </w:pPr>
      <w:r>
        <w:rPr>
          <w:rFonts w:ascii="Arial" w:cs="Arial" w:eastAsia="Arial" w:hAnsi="Arial"/>
          <w:b/>
          <w:bCs/>
          <w:color w:val="D97706"/>
          <w:sz w:val="20"/>
          <w:szCs w:val="20"/>
        </w:rPr>
        <w:t xml:space="preserve">What we give up:  </w:t>
      </w:r>
      <w:r>
        <w:rPr>
          <w:rFonts w:ascii="Arial" w:cs="Arial" w:eastAsia="Arial" w:hAnsi="Arial"/>
          <w:color w:val="4B5563"/>
          <w:sz w:val="20"/>
          <w:szCs w:val="20"/>
        </w:rPr>
        <w:t xml:space="preserve">The Co-Pilot cannot detect things that G2RS and EverC miss. If detection quality drops, the Co-Pilot's value drops with it. We are betting on detection staying strong.</w:t>
      </w:r>
    </w:p>
    <w:p>
      <w:pPr>
        <w:spacing w:before="360" w:after="120"/>
      </w:pPr>
      <w:r>
        <w:rPr>
          <w:rFonts w:ascii="Arial" w:cs="Arial" w:eastAsia="Arial" w:hAnsi="Arial"/>
          <w:b/>
          <w:bCs/>
          <w:color w:val="5B21B6"/>
          <w:sz w:val="28"/>
          <w:szCs w:val="28"/>
        </w:rPr>
        <w:t xml:space="preserve">Tradeoff 2 — AI is on-demand, not automatic</w:t>
      </w:r>
    </w:p>
    <w:p>
      <w:pPr>
        <w:spacing w:before="0" w:after="120"/>
        <w:jc w:val="left"/>
      </w:pPr>
      <w:r>
        <w:rPr>
          <w:rFonts w:ascii="Arial" w:cs="Arial" w:eastAsia="Arial" w:hAnsi="Arial"/>
          <w:color w:val="374151"/>
          <w:sz w:val="20"/>
          <w:szCs w:val="20"/>
        </w:rPr>
        <w:t xml:space="preserve">The AI case summary is revealed only when the analyst clicks to see it — not shown automatically on case open.</w:t>
      </w:r>
    </w:p>
    <w:p>
      <w:pPr>
        <w:pBdr>
          <w:left w:val="single" w:color="5B21B6" w:sz="18" w:space="8"/>
        </w:pBdr>
        <w:shd w:fill="EDE9FE" w:val="clear"/>
        <w:spacing w:before="80" w:after="80"/>
        <w:ind w:left="200" w:right="200"/>
      </w:pPr>
      <w:r>
        <w:rPr>
          <w:rFonts w:ascii="Arial" w:cs="Arial" w:eastAsia="Arial" w:hAnsi="Arial"/>
          <w:b/>
          <w:bCs/>
          <w:color w:val="5B21B6"/>
          <w:sz w:val="20"/>
          <w:szCs w:val="20"/>
        </w:rPr>
        <w:t xml:space="preserve">Why:  </w:t>
      </w:r>
      <w:r>
        <w:rPr>
          <w:rFonts w:ascii="Arial" w:cs="Arial" w:eastAsia="Arial" w:hAnsi="Arial"/>
          <w:color w:val="4B5563"/>
          <w:sz w:val="20"/>
          <w:szCs w:val="20"/>
        </w:rPr>
        <w:t xml:space="preserve">Showing the AI summary automatically creates anchoring bias. Analysts see the recommendation and it distorts their independent judgment. Experienced analysts in particular resent being told what to think before they've looked at the evidence.</w:t>
      </w:r>
    </w:p>
    <w:p>
      <w:pPr>
        <w:pBdr>
          <w:left w:val="single" w:color="D97706" w:sz="18" w:space="8"/>
        </w:pBdr>
        <w:shd w:fill="FEF3C7" w:val="clear"/>
        <w:spacing w:before="80" w:after="80"/>
        <w:ind w:left="200" w:right="200"/>
      </w:pPr>
      <w:r>
        <w:rPr>
          <w:rFonts w:ascii="Arial" w:cs="Arial" w:eastAsia="Arial" w:hAnsi="Arial"/>
          <w:b/>
          <w:bCs/>
          <w:color w:val="D97706"/>
          <w:sz w:val="20"/>
          <w:szCs w:val="20"/>
        </w:rPr>
        <w:t xml:space="preserve">What we give up:  </w:t>
      </w:r>
      <w:r>
        <w:rPr>
          <w:rFonts w:ascii="Arial" w:cs="Arial" w:eastAsia="Arial" w:hAnsi="Arial"/>
          <w:color w:val="4B5563"/>
          <w:sz w:val="20"/>
          <w:szCs w:val="20"/>
        </w:rPr>
        <w:t xml:space="preserve">Some analysts will not click to see the summary. They won't get the full benefit of the AI layer. We accept this in exchange for preserving judgment quality and analyst trust.</w:t>
      </w:r>
    </w:p>
    <w:p>
      <w:pPr>
        <w:spacing w:before="360" w:after="120"/>
      </w:pPr>
      <w:r>
        <w:rPr>
          <w:rFonts w:ascii="Arial" w:cs="Arial" w:eastAsia="Arial" w:hAnsi="Arial"/>
          <w:b/>
          <w:bCs/>
          <w:color w:val="5B21B6"/>
          <w:sz w:val="28"/>
          <w:szCs w:val="28"/>
        </w:rPr>
        <w:t xml:space="preserve">Tradeoff 3 — MVP excludes remediation</w:t>
      </w:r>
    </w:p>
    <w:p>
      <w:pPr>
        <w:spacing w:before="0" w:after="120"/>
        <w:jc w:val="left"/>
      </w:pPr>
      <w:r>
        <w:rPr>
          <w:rFonts w:ascii="Arial" w:cs="Arial" w:eastAsia="Arial" w:hAnsi="Arial"/>
          <w:color w:val="374151"/>
          <w:sz w:val="20"/>
          <w:szCs w:val="20"/>
        </w:rPr>
        <w:t xml:space="preserve">The ability to reach out to merchants, track their responses, and trigger re-scans is valuable but is excluded from the MVP.</w:t>
      </w:r>
    </w:p>
    <w:p>
      <w:pPr>
        <w:pBdr>
          <w:left w:val="single" w:color="5B21B6" w:sz="18" w:space="8"/>
        </w:pBdr>
        <w:shd w:fill="EDE9FE" w:val="clear"/>
        <w:spacing w:before="80" w:after="80"/>
        <w:ind w:left="200" w:right="200"/>
      </w:pPr>
      <w:r>
        <w:rPr>
          <w:rFonts w:ascii="Arial" w:cs="Arial" w:eastAsia="Arial" w:hAnsi="Arial"/>
          <w:b/>
          <w:bCs/>
          <w:color w:val="5B21B6"/>
          <w:sz w:val="20"/>
          <w:szCs w:val="20"/>
        </w:rPr>
        <w:t xml:space="preserve">Why:  </w:t>
      </w:r>
      <w:r>
        <w:rPr>
          <w:rFonts w:ascii="Arial" w:cs="Arial" w:eastAsia="Arial" w:hAnsi="Arial"/>
          <w:color w:val="4B5563"/>
          <w:sz w:val="20"/>
          <w:szCs w:val="20"/>
        </w:rPr>
        <w:t xml:space="preserve">Investigation and remediation are two distinct workflows. Shipping both at once would make the MVP too large to validate cleanly. Phase 1 must prove the investigation transformation before we add the remediation layer on top.</w:t>
      </w:r>
    </w:p>
    <w:p>
      <w:pPr>
        <w:pBdr>
          <w:left w:val="single" w:color="D97706" w:sz="18" w:space="8"/>
        </w:pBdr>
        <w:shd w:fill="FEF3C7" w:val="clear"/>
        <w:spacing w:before="80" w:after="80"/>
        <w:ind w:left="200" w:right="200"/>
      </w:pPr>
      <w:r>
        <w:rPr>
          <w:rFonts w:ascii="Arial" w:cs="Arial" w:eastAsia="Arial" w:hAnsi="Arial"/>
          <w:b/>
          <w:bCs/>
          <w:color w:val="D97706"/>
          <w:sz w:val="20"/>
          <w:szCs w:val="20"/>
        </w:rPr>
        <w:t xml:space="preserve">What we give up:  </w:t>
      </w:r>
      <w:r>
        <w:rPr>
          <w:rFonts w:ascii="Arial" w:cs="Arial" w:eastAsia="Arial" w:hAnsi="Arial"/>
          <w:color w:val="4B5563"/>
          <w:sz w:val="20"/>
          <w:szCs w:val="20"/>
        </w:rPr>
        <w:t xml:space="preserve">Early adopters must still manage merchant communication in their existing tools. The workflow is incomplete until Phase 2A.</w:t>
      </w:r>
    </w:p>
    <w:p>
      <w:pPr>
        <w:spacing w:before="360" w:after="120"/>
      </w:pPr>
      <w:r>
        <w:rPr>
          <w:rFonts w:ascii="Arial" w:cs="Arial" w:eastAsia="Arial" w:hAnsi="Arial"/>
          <w:b/>
          <w:bCs/>
          <w:color w:val="5B21B6"/>
          <w:sz w:val="28"/>
          <w:szCs w:val="28"/>
        </w:rPr>
        <w:t xml:space="preserve">Tradeoff 4 — Design partner model, not broad launch</w:t>
      </w:r>
    </w:p>
    <w:p>
      <w:pPr>
        <w:spacing w:before="0" w:after="120"/>
        <w:jc w:val="left"/>
      </w:pPr>
      <w:r>
        <w:rPr>
          <w:rFonts w:ascii="Arial" w:cs="Arial" w:eastAsia="Arial" w:hAnsi="Arial"/>
          <w:color w:val="374151"/>
          <w:sz w:val="20"/>
          <w:szCs w:val="20"/>
        </w:rPr>
        <w:t xml:space="preserve">Phase 1 ships only to 2–3 design partners, not to the full customer base.</w:t>
      </w:r>
    </w:p>
    <w:p>
      <w:pPr>
        <w:pBdr>
          <w:left w:val="single" w:color="5B21B6" w:sz="18" w:space="8"/>
        </w:pBdr>
        <w:shd w:fill="EDE9FE" w:val="clear"/>
        <w:spacing w:before="80" w:after="80"/>
        <w:ind w:left="200" w:right="200"/>
      </w:pPr>
      <w:r>
        <w:rPr>
          <w:rFonts w:ascii="Arial" w:cs="Arial" w:eastAsia="Arial" w:hAnsi="Arial"/>
          <w:b/>
          <w:bCs/>
          <w:color w:val="5B21B6"/>
          <w:sz w:val="20"/>
          <w:szCs w:val="20"/>
        </w:rPr>
        <w:t xml:space="preserve">Why:  </w:t>
      </w:r>
      <w:r>
        <w:rPr>
          <w:rFonts w:ascii="Arial" w:cs="Arial" w:eastAsia="Arial" w:hAnsi="Arial"/>
          <w:color w:val="4B5563"/>
          <w:sz w:val="20"/>
          <w:szCs w:val="20"/>
        </w:rPr>
        <w:t xml:space="preserve">The investigation workflow varies by institution. What works for a growing PayFac may not work for an established acquirer. Design partners provide the real-world friction signals that a broader launch would obscure in aggregate metrics.</w:t>
      </w:r>
    </w:p>
    <w:p>
      <w:pPr>
        <w:pBdr>
          <w:left w:val="single" w:color="D97706" w:sz="18" w:space="8"/>
        </w:pBdr>
        <w:shd w:fill="FEF3C7" w:val="clear"/>
        <w:spacing w:before="80" w:after="80"/>
        <w:ind w:left="200" w:right="200"/>
      </w:pPr>
      <w:r>
        <w:rPr>
          <w:rFonts w:ascii="Arial" w:cs="Arial" w:eastAsia="Arial" w:hAnsi="Arial"/>
          <w:b/>
          <w:bCs/>
          <w:color w:val="D97706"/>
          <w:sz w:val="20"/>
          <w:szCs w:val="20"/>
        </w:rPr>
        <w:t xml:space="preserve">What we give up:  </w:t>
      </w:r>
      <w:r>
        <w:rPr>
          <w:rFonts w:ascii="Arial" w:cs="Arial" w:eastAsia="Arial" w:hAnsi="Arial"/>
          <w:color w:val="4B5563"/>
          <w:sz w:val="20"/>
          <w:szCs w:val="20"/>
        </w:rPr>
        <w:t xml:space="preserve">Slower initial revenue impact. The product earns nothing from the broader customer base until Phase 2.</w:t>
      </w:r>
    </w:p>
    <w:p>
      <w:pPr>
        <w:spacing w:before="0" w:after="60"/>
        <w:jc w:val="left"/>
      </w:pPr>
      <w:r>
        <w:rPr>
          <w:rFonts w:ascii="Arial" w:cs="Arial" w:eastAsia="Arial" w:hAnsi="Arial"/>
          <w:color w:val="374151"/>
          <w:sz w:val="20"/>
          <w:szCs w:val="20"/>
        </w:rPr>
        <w:t xml:space="preserve"/>
      </w:r>
    </w:p>
    <w:p>
      <w:pPr>
        <w:pBdr>
          <w:bottom w:val="single" w:color="5B21B6" w:sz="8" w:space="6"/>
        </w:pBdr>
        <w:spacing w:before="480" w:after="160"/>
      </w:pPr>
      <w:r>
        <w:rPr>
          <w:rFonts w:ascii="Arial" w:cs="Arial" w:eastAsia="Arial" w:hAnsi="Arial"/>
          <w:b/>
          <w:bCs/>
          <w:color w:val="1E1B4B"/>
          <w:sz w:val="40"/>
          <w:szCs w:val="40"/>
        </w:rPr>
        <w:t xml:space="preserve">11. The Process We Went Through</w:t>
      </w:r>
    </w:p>
    <w:p>
      <w:pPr>
        <w:spacing w:before="0" w:after="120"/>
        <w:jc w:val="left"/>
      </w:pPr>
      <w:r>
        <w:rPr>
          <w:rFonts w:ascii="Arial" w:cs="Arial" w:eastAsia="Arial" w:hAnsi="Arial"/>
          <w:color w:val="374151"/>
          <w:sz w:val="20"/>
          <w:szCs w:val="20"/>
        </w:rPr>
        <w:t xml:space="preserve">This section documents the actual working process — the iterations, the dead ends, the corrections, and the decisions made along the way.</w:t>
      </w:r>
    </w:p>
    <w:p>
      <w:pPr>
        <w:spacing w:before="360" w:after="120"/>
      </w:pPr>
      <w:r>
        <w:rPr>
          <w:rFonts w:ascii="Arial" w:cs="Arial" w:eastAsia="Arial" w:hAnsi="Arial"/>
          <w:b/>
          <w:bCs/>
          <w:color w:val="5B21B6"/>
          <w:sz w:val="28"/>
          <w:szCs w:val="28"/>
        </w:rPr>
        <w:t xml:space="preserve">11.1 Where we started — the demo</w:t>
      </w:r>
    </w:p>
    <w:p>
      <w:pPr>
        <w:spacing w:before="0" w:after="120"/>
        <w:jc w:val="left"/>
      </w:pPr>
      <w:r>
        <w:rPr>
          <w:rFonts w:ascii="Arial" w:cs="Arial" w:eastAsia="Arial" w:hAnsi="Arial"/>
          <w:color w:val="374151"/>
          <w:sz w:val="20"/>
          <w:szCs w:val="20"/>
        </w:rPr>
        <w:t xml:space="preserve">The work began with building an interactive HTML demo of the Co-Pilot interface — a functional prototype that could be shown to the panel in the room. The demo went through several design iterations:</w:t>
      </w:r>
    </w:p>
    <w:p>
      <w:pPr>
        <w:pStyle w:val="ListParagraph"/>
        <w:numPr>
          <w:ilvl w:val="0"/>
          <w:numId w:val="3"/>
        </w:numPr>
        <w:spacing w:before="0" w:after="80"/>
      </w:pPr>
      <w:r>
        <w:rPr>
          <w:rFonts w:ascii="Arial" w:cs="Arial" w:eastAsia="Arial" w:hAnsi="Arial"/>
          <w:b w:val="false"/>
          <w:bCs w:val="false"/>
          <w:color w:val="374151"/>
          <w:sz w:val="20"/>
          <w:szCs w:val="20"/>
        </w:rPr>
        <w:t xml:space="preserve">Initial concept using G2RS brand colours (navy, teal) with SF Pro font on Mac — matching the G2RS product aesthetic</w:t>
      </w:r>
    </w:p>
    <w:p>
      <w:pPr>
        <w:pStyle w:val="ListParagraph"/>
        <w:numPr>
          <w:ilvl w:val="0"/>
          <w:numId w:val="3"/>
        </w:numPr>
        <w:spacing w:before="0" w:after="80"/>
      </w:pPr>
      <w:r>
        <w:rPr>
          <w:rFonts w:ascii="Arial" w:cs="Arial" w:eastAsia="Arial" w:hAnsi="Arial"/>
          <w:b w:val="false"/>
          <w:bCs w:val="false"/>
          <w:color w:val="374151"/>
          <w:sz w:val="20"/>
          <w:szCs w:val="20"/>
        </w:rPr>
        <w:t xml:space="preserve">Option 1: Creative dashboard style with merchant cards, live URL analysis via the Claude API, demo mode fallback, dark navy design</w:t>
      </w:r>
    </w:p>
    <w:p>
      <w:pPr>
        <w:pStyle w:val="ListParagraph"/>
        <w:numPr>
          <w:ilvl w:val="0"/>
          <w:numId w:val="3"/>
        </w:numPr>
        <w:spacing w:before="0" w:after="80"/>
      </w:pPr>
      <w:r>
        <w:rPr>
          <w:rFonts w:ascii="Arial" w:cs="Arial" w:eastAsia="Arial" w:hAnsi="Arial"/>
          <w:b w:val="false"/>
          <w:bCs w:val="false"/>
          <w:color w:val="374151"/>
          <w:sz w:val="20"/>
          <w:szCs w:val="20"/>
        </w:rPr>
        <w:t xml:space="preserve">Option 2: Clean design with stroke icons</w:t>
      </w:r>
    </w:p>
    <w:p>
      <w:pPr>
        <w:pStyle w:val="ListParagraph"/>
        <w:numPr>
          <w:ilvl w:val="0"/>
          <w:numId w:val="3"/>
        </w:numPr>
        <w:spacing w:before="0" w:after="80"/>
      </w:pPr>
      <w:r>
        <w:rPr>
          <w:rFonts w:ascii="Arial" w:cs="Arial" w:eastAsia="Arial" w:hAnsi="Arial"/>
          <w:b w:val="false"/>
          <w:bCs w:val="false"/>
          <w:color w:val="374151"/>
          <w:sz w:val="20"/>
          <w:szCs w:val="20"/>
        </w:rPr>
        <w:t xml:space="preserve">Selected Option 1 — richer and more impressive in a presentation room context</w:t>
      </w:r>
    </w:p>
    <w:p>
      <w:pPr>
        <w:spacing w:before="0" w:after="120"/>
        <w:jc w:val="left"/>
      </w:pPr>
      <w:r>
        <w:rPr>
          <w:rFonts w:ascii="Arial" w:cs="Arial" w:eastAsia="Arial" w:hAnsi="Arial"/>
          <w:color w:val="374151"/>
          <w:sz w:val="20"/>
          <w:szCs w:val="20"/>
        </w:rPr>
        <w:t xml:space="preserve">The demo used the Claude API (claude-sonnet model) for live URL analysis with structured JSON output, falling back to pre-seeded merchant data when no API key was available.</w:t>
      </w:r>
    </w:p>
    <w:p>
      <w:pPr>
        <w:spacing w:before="360" w:after="120"/>
      </w:pPr>
      <w:r>
        <w:rPr>
          <w:rFonts w:ascii="Arial" w:cs="Arial" w:eastAsia="Arial" w:hAnsi="Arial"/>
          <w:b/>
          <w:bCs/>
          <w:color w:val="5B21B6"/>
          <w:sz w:val="28"/>
          <w:szCs w:val="28"/>
        </w:rPr>
        <w:t xml:space="preserve">11.2 The first deck iteration</w:t>
      </w:r>
    </w:p>
    <w:p>
      <w:pPr>
        <w:spacing w:before="0" w:after="120"/>
        <w:jc w:val="left"/>
      </w:pPr>
      <w:r>
        <w:rPr>
          <w:rFonts w:ascii="Arial" w:cs="Arial" w:eastAsia="Arial" w:hAnsi="Arial"/>
          <w:color w:val="374151"/>
          <w:sz w:val="20"/>
          <w:szCs w:val="20"/>
        </w:rPr>
        <w:t xml:space="preserve">The first deck attempt was feature-driven: a slide for each component, alternatives, metrics, execution. It was visually clean but had a fundamental problem — it presented answers without establishing the question. The audience had no reason to care about the solution before understanding the pain.</w:t>
      </w:r>
    </w:p>
    <w:p>
      <w:pPr>
        <w:pBdr>
          <w:left w:val="single" w:color="DC2626" w:sz="18" w:space="8"/>
        </w:pBdr>
        <w:shd w:fill="FEF2F2" w:val="clear"/>
        <w:spacing w:before="120" w:after="120"/>
        <w:ind w:left="200" w:right="200"/>
      </w:pPr>
      <w:r>
        <w:rPr>
          <w:rFonts w:ascii="Arial" w:cs="Arial" w:eastAsia="Arial" w:hAnsi="Arial"/>
          <w:color w:val="DC2626"/>
          <w:sz w:val="20"/>
          <w:szCs w:val="20"/>
        </w:rPr>
        <w:t xml:space="preserve">Critical feedback: the deck did not show the investigation process, did not show why the analyst is in pain, and did not tell a story. It was a feature dump with a framework around it.</w:t>
      </w:r>
    </w:p>
    <w:p>
      <w:pPr>
        <w:spacing w:before="360" w:after="120"/>
      </w:pPr>
      <w:r>
        <w:rPr>
          <w:rFonts w:ascii="Arial" w:cs="Arial" w:eastAsia="Arial" w:hAnsi="Arial"/>
          <w:b/>
          <w:bCs/>
          <w:color w:val="5B21B6"/>
          <w:sz w:val="28"/>
          <w:szCs w:val="28"/>
        </w:rPr>
        <w:t xml:space="preserve">11.3 The framing correction — scalability</w:t>
      </w:r>
    </w:p>
    <w:p>
      <w:pPr>
        <w:spacing w:before="0" w:after="120"/>
        <w:jc w:val="left"/>
      </w:pPr>
      <w:r>
        <w:rPr>
          <w:rFonts w:ascii="Arial" w:cs="Arial" w:eastAsia="Arial" w:hAnsi="Arial"/>
          <w:color w:val="374151"/>
          <w:sz w:val="20"/>
          <w:szCs w:val="20"/>
        </w:rPr>
        <w:t xml:space="preserve">Early versions framed the problem as "G2RS growth depends on customer capacity." This was incorrect. The problem is about the customer's scalability — their ability to grow their own portfolio while using G2RS.</w:t>
      </w:r>
    </w:p>
    <w:p>
      <w:pPr>
        <w:spacing w:before="0" w:after="120"/>
        <w:jc w:val="left"/>
      </w:pPr>
      <w:r>
        <w:rPr>
          <w:rFonts w:ascii="Arial" w:cs="Arial" w:eastAsia="Arial" w:hAnsi="Arial"/>
          <w:color w:val="374151"/>
          <w:sz w:val="20"/>
          <w:szCs w:val="20"/>
        </w:rPr>
        <w:t xml:space="preserve">The corrected framing:</w:t>
      </w:r>
    </w:p>
    <w:p>
      <w:pPr>
        <w:pBdr>
          <w:left w:val="single" w:color="5B21B6" w:sz="18" w:space="10"/>
        </w:pBdr>
        <w:shd w:fill="EDE9FE" w:val="clear"/>
        <w:spacing w:before="160" w:after="160"/>
        <w:ind w:left="720" w:right="720"/>
      </w:pPr>
      <w:r>
        <w:rPr>
          <w:rFonts w:ascii="Arial" w:cs="Arial" w:eastAsia="Arial" w:hAnsi="Arial"/>
          <w:b/>
          <w:bCs/>
          <w:i/>
          <w:iCs/>
          <w:color w:val="5B21B6"/>
          <w:sz w:val="22"/>
          <w:szCs w:val="22"/>
        </w:rPr>
        <w:t xml:space="preserve">“G2RS gives customers detection. It doesn't give them scalability. As portfolios grow, teams can't keep up — and G2RS isn't giving them a way to scale.”</w:t>
      </w:r>
    </w:p>
    <w:p>
      <w:pPr>
        <w:spacing w:before="0" w:after="120"/>
        <w:jc w:val="left"/>
      </w:pPr>
      <w:r>
        <w:rPr>
          <w:rFonts w:ascii="Arial" w:cs="Arial" w:eastAsia="Arial" w:hAnsi="Arial"/>
          <w:color w:val="374151"/>
          <w:sz w:val="20"/>
          <w:szCs w:val="20"/>
        </w:rPr>
        <w:t xml:space="preserve">This correction cascaded through every affected slide: the section tag, the equation labels, the callout text, the Co-Pilot definition, and the growth signal metric description. The framing had to be consistent throughout.</w:t>
      </w:r>
    </w:p>
    <w:p>
      <w:pPr>
        <w:spacing w:before="360" w:after="120"/>
      </w:pPr>
      <w:r>
        <w:rPr>
          <w:rFonts w:ascii="Arial" w:cs="Arial" w:eastAsia="Arial" w:hAnsi="Arial"/>
          <w:b/>
          <w:bCs/>
          <w:color w:val="5B21B6"/>
          <w:sz w:val="28"/>
          <w:szCs w:val="28"/>
        </w:rPr>
        <w:t xml:space="preserve">11.4 The story structure — finding the spine</w:t>
      </w:r>
    </w:p>
    <w:p>
      <w:pPr>
        <w:spacing w:before="0" w:after="120"/>
        <w:jc w:val="left"/>
      </w:pPr>
      <w:r>
        <w:rPr>
          <w:rFonts w:ascii="Arial" w:cs="Arial" w:eastAsia="Arial" w:hAnsi="Arial"/>
          <w:color w:val="374151"/>
          <w:sz w:val="20"/>
          <w:szCs w:val="20"/>
        </w:rPr>
        <w:t xml:space="preserve">Multiple story structures were tested before the right spine emerged:</w:t>
      </w:r>
    </w:p>
    <w:p>
      <w:pPr>
        <w:pStyle w:val="ListParagraph"/>
        <w:numPr>
          <w:ilvl w:val="0"/>
          <w:numId w:val="2"/>
        </w:numPr>
        <w:spacing w:before="0" w:after="80"/>
      </w:pPr>
      <w:r>
        <w:rPr>
          <w:rFonts w:ascii="Arial" w:cs="Arial" w:eastAsia="Arial" w:hAnsi="Arial"/>
          <w:color w:val="374151"/>
          <w:sz w:val="20"/>
          <w:szCs w:val="20"/>
        </w:rPr>
        <w:t xml:space="preserve">Problem → Diagnosis → Solution — too abstract, starts with frameworks before feelings</w:t>
      </w:r>
    </w:p>
    <w:p>
      <w:pPr>
        <w:pStyle w:val="ListParagraph"/>
        <w:numPr>
          <w:ilvl w:val="0"/>
          <w:numId w:val="2"/>
        </w:numPr>
        <w:spacing w:before="0" w:after="80"/>
      </w:pPr>
      <w:r>
        <w:rPr>
          <w:rFonts w:ascii="Arial" w:cs="Arial" w:eastAsia="Arial" w:hAnsi="Arial"/>
          <w:color w:val="374151"/>
          <w:sz w:val="20"/>
          <w:szCs w:val="20"/>
        </w:rPr>
        <w:t xml:space="preserve">Day-in-the-life — better, but needed to be anchored in the right problem</w:t>
      </w:r>
    </w:p>
    <w:p>
      <w:pPr>
        <w:pStyle w:val="ListParagraph"/>
        <w:numPr>
          <w:ilvl w:val="0"/>
          <w:numId w:val="2"/>
        </w:numPr>
        <w:spacing w:before="0" w:after="80"/>
      </w:pPr>
      <w:r>
        <w:rPr>
          <w:rFonts w:ascii="Arial" w:cs="Arial" w:eastAsia="Arial" w:hAnsi="Arial"/>
          <w:color w:val="374151"/>
          <w:sz w:val="20"/>
          <w:szCs w:val="20"/>
        </w:rPr>
        <w:t xml:space="preserve">Customer journey — close, but the journey needed to be the analyst's, not the merchant's</w:t>
      </w:r>
    </w:p>
    <w:p>
      <w:pPr>
        <w:spacing w:before="0" w:after="120"/>
        <w:jc w:val="left"/>
      </w:pPr>
      <w:r>
        <w:rPr>
          <w:rFonts w:ascii="Arial" w:cs="Arial" w:eastAsia="Arial" w:hAnsi="Arial"/>
          <w:color w:val="374151"/>
          <w:sz w:val="20"/>
          <w:szCs w:val="20"/>
        </w:rPr>
        <w:t xml:space="preserve">The final spine:</w:t>
      </w:r>
    </w:p>
    <w:p>
      <w:pPr>
        <w:pStyle w:val="ListParagraph"/>
        <w:numPr>
          <w:ilvl w:val="0"/>
          <w:numId w:val="3"/>
        </w:numPr>
        <w:spacing w:before="0" w:after="80"/>
      </w:pPr>
      <w:r>
        <w:rPr>
          <w:rFonts w:ascii="Arial" w:cs="Arial" w:eastAsia="Arial" w:hAnsi="Arial"/>
          <w:b w:val="false"/>
          <w:bCs w:val="false"/>
          <w:color w:val="374151"/>
          <w:sz w:val="20"/>
          <w:szCs w:val="20"/>
        </w:rPr>
        <w:t xml:space="preserve">Slide 1: Title</w:t>
      </w:r>
    </w:p>
    <w:p>
      <w:pPr>
        <w:pStyle w:val="ListParagraph"/>
        <w:numPr>
          <w:ilvl w:val="0"/>
          <w:numId w:val="3"/>
        </w:numPr>
        <w:spacing w:before="0" w:after="80"/>
      </w:pPr>
      <w:r>
        <w:rPr>
          <w:rFonts w:ascii="Arial" w:cs="Arial" w:eastAsia="Arial" w:hAnsi="Arial"/>
          <w:b w:val="false"/>
          <w:bCs w:val="false"/>
          <w:color w:val="374151"/>
          <w:sz w:val="20"/>
          <w:szCs w:val="20"/>
        </w:rPr>
        <w:t xml:space="preserve">Slide 2: The analyst — show the Monday inbox first, before any analysis</w:t>
      </w:r>
    </w:p>
    <w:p>
      <w:pPr>
        <w:pStyle w:val="ListParagraph"/>
        <w:numPr>
          <w:ilvl w:val="0"/>
          <w:numId w:val="3"/>
        </w:numPr>
        <w:spacing w:before="0" w:after="80"/>
      </w:pPr>
      <w:r>
        <w:rPr>
          <w:rFonts w:ascii="Arial" w:cs="Arial" w:eastAsia="Arial" w:hAnsi="Arial"/>
          <w:b w:val="false"/>
          <w:bCs w:val="false"/>
          <w:color w:val="374151"/>
          <w:sz w:val="20"/>
          <w:szCs w:val="20"/>
        </w:rPr>
        <w:t xml:space="preserve">Slide 3: The scalability gap — the structural reason for the chaos</w:t>
      </w:r>
    </w:p>
    <w:p>
      <w:pPr>
        <w:pStyle w:val="ListParagraph"/>
        <w:numPr>
          <w:ilvl w:val="0"/>
          <w:numId w:val="3"/>
        </w:numPr>
        <w:spacing w:before="0" w:after="80"/>
      </w:pPr>
      <w:r>
        <w:rPr>
          <w:rFonts w:ascii="Arial" w:cs="Arial" w:eastAsia="Arial" w:hAnsi="Arial"/>
          <w:b w:val="false"/>
          <w:bCs w:val="false"/>
          <w:color w:val="374151"/>
          <w:sz w:val="20"/>
          <w:szCs w:val="20"/>
        </w:rPr>
        <w:t xml:space="preserve">Slide 4: Alternatives — before showing the journey, show what was rejected</w:t>
      </w:r>
    </w:p>
    <w:p>
      <w:pPr>
        <w:pStyle w:val="ListParagraph"/>
        <w:numPr>
          <w:ilvl w:val="0"/>
          <w:numId w:val="3"/>
        </w:numPr>
        <w:spacing w:before="0" w:after="80"/>
      </w:pPr>
      <w:r>
        <w:rPr>
          <w:rFonts w:ascii="Arial" w:cs="Arial" w:eastAsia="Arial" w:hAnsi="Arial"/>
          <w:b w:val="false"/>
          <w:bCs w:val="false"/>
          <w:color w:val="374151"/>
          <w:sz w:val="20"/>
          <w:szCs w:val="20"/>
        </w:rPr>
        <w:t xml:space="preserve">Slide 5: One alert's journey — 8-step map with pain annotations</w:t>
      </w:r>
    </w:p>
    <w:p>
      <w:pPr>
        <w:pStyle w:val="ListParagraph"/>
        <w:numPr>
          <w:ilvl w:val="0"/>
          <w:numId w:val="3"/>
        </w:numPr>
        <w:spacing w:before="0" w:after="80"/>
      </w:pPr>
      <w:r>
        <w:rPr>
          <w:rFonts w:ascii="Arial" w:cs="Arial" w:eastAsia="Arial" w:hAnsi="Arial"/>
          <w:b w:val="false"/>
          <w:bCs w:val="false"/>
          <w:color w:val="374151"/>
          <w:sz w:val="20"/>
          <w:szCs w:val="20"/>
        </w:rPr>
        <w:t xml:space="preserve">Slide 6: The repetition problem — same process, 3 merchants, FULL RESET label</w:t>
      </w:r>
    </w:p>
    <w:p>
      <w:pPr>
        <w:pStyle w:val="ListParagraph"/>
        <w:numPr>
          <w:ilvl w:val="0"/>
          <w:numId w:val="3"/>
        </w:numPr>
        <w:spacing w:before="0" w:after="80"/>
      </w:pPr>
      <w:r>
        <w:rPr>
          <w:rFonts w:ascii="Arial" w:cs="Arial" w:eastAsia="Arial" w:hAnsi="Arial"/>
          <w:b w:val="false"/>
          <w:bCs w:val="false"/>
          <w:color w:val="374151"/>
          <w:sz w:val="20"/>
          <w:szCs w:val="20"/>
        </w:rPr>
        <w:t xml:space="preserve">Slide 7: The diagnosis — dark statement slide, the core insight</w:t>
      </w:r>
    </w:p>
    <w:p>
      <w:pPr>
        <w:pStyle w:val="ListParagraph"/>
        <w:numPr>
          <w:ilvl w:val="0"/>
          <w:numId w:val="3"/>
        </w:numPr>
        <w:spacing w:before="0" w:after="80"/>
      </w:pPr>
      <w:r>
        <w:rPr>
          <w:rFonts w:ascii="Arial" w:cs="Arial" w:eastAsia="Arial" w:hAnsi="Arial"/>
          <w:b w:val="false"/>
          <w:bCs w:val="false"/>
          <w:color w:val="374151"/>
          <w:sz w:val="20"/>
          <w:szCs w:val="20"/>
        </w:rPr>
        <w:t xml:space="preserve">Slides 8–12: Fix → Co-Pilot layers → Solution → Transformation → MVP</w:t>
      </w:r>
    </w:p>
    <w:p>
      <w:pPr>
        <w:pStyle w:val="ListParagraph"/>
        <w:numPr>
          <w:ilvl w:val="0"/>
          <w:numId w:val="3"/>
        </w:numPr>
        <w:spacing w:before="0" w:after="80"/>
      </w:pPr>
      <w:r>
        <w:rPr>
          <w:rFonts w:ascii="Arial" w:cs="Arial" w:eastAsia="Arial" w:hAnsi="Arial"/>
          <w:b w:val="false"/>
          <w:bCs w:val="false"/>
          <w:color w:val="374151"/>
          <w:sz w:val="20"/>
          <w:szCs w:val="20"/>
        </w:rPr>
        <w:t xml:space="preserve">Slides 13–17: Roadmap → Segments → Execution → Metrics → Closing</w:t>
      </w:r>
    </w:p>
    <w:p>
      <w:pPr>
        <w:spacing w:before="360" w:after="120"/>
      </w:pPr>
      <w:r>
        <w:rPr>
          <w:rFonts w:ascii="Arial" w:cs="Arial" w:eastAsia="Arial" w:hAnsi="Arial"/>
          <w:b/>
          <w:bCs/>
          <w:color w:val="5B21B6"/>
          <w:sz w:val="28"/>
          <w:szCs w:val="28"/>
        </w:rPr>
        <w:t xml:space="preserve">11.5 Design decisions</w:t>
      </w:r>
    </w:p>
    <w:p>
      <w:pPr>
        <w:spacing w:before="0" w:after="120"/>
        <w:jc w:val="left"/>
      </w:pPr>
      <w:r>
        <w:rPr>
          <w:rFonts w:ascii="Arial" w:cs="Arial" w:eastAsia="Arial" w:hAnsi="Arial"/>
          <w:color w:val="374151"/>
          <w:sz w:val="20"/>
          <w:szCs w:val="20"/>
        </w:rPr>
        <w:t xml:space="preserve">The deck visual direction:</w:t>
      </w:r>
    </w:p>
    <w:p>
      <w:pPr>
        <w:pStyle w:val="ListParagraph"/>
        <w:numPr>
          <w:ilvl w:val="0"/>
          <w:numId w:val="3"/>
        </w:numPr>
        <w:spacing w:before="0" w:after="80"/>
      </w:pPr>
      <w:r>
        <w:rPr>
          <w:rFonts w:ascii="Arial" w:cs="Arial" w:eastAsia="Arial" w:hAnsi="Arial"/>
          <w:b w:val="false"/>
          <w:bCs w:val="false"/>
          <w:color w:val="374151"/>
          <w:sz w:val="20"/>
          <w:szCs w:val="20"/>
        </w:rPr>
        <w:t xml:space="preserve">Font: Poppins throughout — geometric, clean, approachable, professional</w:t>
      </w:r>
    </w:p>
    <w:p>
      <w:pPr>
        <w:pStyle w:val="ListParagraph"/>
        <w:numPr>
          <w:ilvl w:val="0"/>
          <w:numId w:val="3"/>
        </w:numPr>
        <w:spacing w:before="0" w:after="80"/>
      </w:pPr>
      <w:r>
        <w:rPr>
          <w:rFonts w:ascii="Arial" w:cs="Arial" w:eastAsia="Arial" w:hAnsi="Arial"/>
          <w:b w:val="false"/>
          <w:bCs w:val="false"/>
          <w:color w:val="374151"/>
          <w:sz w:val="20"/>
          <w:szCs w:val="20"/>
        </w:rPr>
        <w:t xml:space="preserve">Palette: Purple shades (p900 to p50) with teal accent. Flat design, no gradients.</w:t>
      </w:r>
    </w:p>
    <w:p>
      <w:pPr>
        <w:pStyle w:val="ListParagraph"/>
        <w:numPr>
          <w:ilvl w:val="0"/>
          <w:numId w:val="3"/>
        </w:numPr>
        <w:spacing w:before="0" w:after="80"/>
      </w:pPr>
      <w:r>
        <w:rPr>
          <w:rFonts w:ascii="Arial" w:cs="Arial" w:eastAsia="Arial" w:hAnsi="Arial"/>
          <w:b w:val="false"/>
          <w:bCs w:val="false"/>
          <w:color w:val="374151"/>
          <w:sz w:val="20"/>
          <w:szCs w:val="20"/>
        </w:rPr>
        <w:t xml:space="preserve">Style: Learning/training PPT aesthetic — large bold headers, icon circles, flow diagrams, annotation cards</w:t>
      </w:r>
    </w:p>
    <w:p>
      <w:pPr>
        <w:pStyle w:val="ListParagraph"/>
        <w:numPr>
          <w:ilvl w:val="0"/>
          <w:numId w:val="3"/>
        </w:numPr>
        <w:spacing w:before="0" w:after="80"/>
      </w:pPr>
      <w:r>
        <w:rPr>
          <w:rFonts w:ascii="Arial" w:cs="Arial" w:eastAsia="Arial" w:hAnsi="Arial"/>
          <w:b w:val="false"/>
          <w:bCs w:val="false"/>
          <w:color w:val="374151"/>
          <w:sz w:val="20"/>
          <w:szCs w:val="20"/>
        </w:rPr>
        <w:t xml:space="preserve">Rounded corners on all cards (rectRadius 0.12 in PptxGenJS)</w:t>
      </w:r>
    </w:p>
    <w:p>
      <w:pPr>
        <w:pStyle w:val="ListParagraph"/>
        <w:numPr>
          <w:ilvl w:val="0"/>
          <w:numId w:val="3"/>
        </w:numPr>
        <w:spacing w:before="0" w:after="80"/>
      </w:pPr>
      <w:r>
        <w:rPr>
          <w:rFonts w:ascii="Arial" w:cs="Arial" w:eastAsia="Arial" w:hAnsi="Arial"/>
          <w:b w:val="false"/>
          <w:bCs w:val="false"/>
          <w:color w:val="374151"/>
          <w:sz w:val="20"/>
          <w:szCs w:val="20"/>
        </w:rPr>
        <w:t xml:space="preserve">Section tags in small caps with letter-spacing — provide slide context without repeating the title</w:t>
      </w:r>
    </w:p>
    <w:p>
      <w:pPr>
        <w:spacing w:before="0" w:after="120"/>
        <w:jc w:val="left"/>
      </w:pPr>
      <w:r>
        <w:rPr>
          <w:rFonts w:ascii="Arial" w:cs="Arial" w:eastAsia="Arial" w:hAnsi="Arial"/>
          <w:color w:val="374151"/>
          <w:sz w:val="20"/>
          <w:szCs w:val="20"/>
        </w:rPr>
        <w:t xml:space="preserve">Key visual decisions made during iteration:</w:t>
      </w:r>
    </w:p>
    <w:p>
      <w:pPr>
        <w:pStyle w:val="ListParagraph"/>
        <w:numPr>
          <w:ilvl w:val="0"/>
          <w:numId w:val="3"/>
        </w:numPr>
        <w:spacing w:before="0" w:after="80"/>
      </w:pPr>
      <w:r>
        <w:rPr>
          <w:rFonts w:ascii="Arial" w:cs="Arial" w:eastAsia="Arial" w:hAnsi="Arial"/>
          <w:b w:val="false"/>
          <w:bCs w:val="false"/>
          <w:color w:val="374151"/>
          <w:sz w:val="20"/>
          <w:szCs w:val="20"/>
        </w:rPr>
        <w:t xml:space="preserve">Slide 2 ↔ 3 swap: Analyst inbox appears before the equation. Show the chaos before explaining the structure.</w:t>
      </w:r>
    </w:p>
    <w:p>
      <w:pPr>
        <w:pStyle w:val="ListParagraph"/>
        <w:numPr>
          <w:ilvl w:val="0"/>
          <w:numId w:val="3"/>
        </w:numPr>
        <w:spacing w:before="0" w:after="80"/>
      </w:pPr>
      <w:r>
        <w:rPr>
          <w:rFonts w:ascii="Arial" w:cs="Arial" w:eastAsia="Arial" w:hAnsi="Arial"/>
          <w:b w:val="false"/>
          <w:bCs w:val="false"/>
          <w:color w:val="374151"/>
          <w:sz w:val="20"/>
          <w:szCs w:val="20"/>
        </w:rPr>
        <w:t xml:space="preserve">"40–60 minutes gone" punched up as a full-width red bar at the bottom of the journey slide — visually dominant, not a footnote</w:t>
      </w:r>
    </w:p>
    <w:p>
      <w:pPr>
        <w:pStyle w:val="ListParagraph"/>
        <w:numPr>
          <w:ilvl w:val="0"/>
          <w:numId w:val="3"/>
        </w:numPr>
        <w:spacing w:before="0" w:after="80"/>
      </w:pPr>
      <w:r>
        <w:rPr>
          <w:rFonts w:ascii="Arial" w:cs="Arial" w:eastAsia="Arial" w:hAnsi="Arial"/>
          <w:b w:val="false"/>
          <w:bCs w:val="false"/>
          <w:color w:val="374151"/>
          <w:sz w:val="20"/>
          <w:szCs w:val="20"/>
        </w:rPr>
        <w:t xml:space="preserve">Repetition lanes 2 and 3 faded to grey — makes the repetition feel like a stamp, not three parallel processes</w:t>
      </w:r>
    </w:p>
    <w:p>
      <w:pPr>
        <w:pStyle w:val="ListParagraph"/>
        <w:numPr>
          <w:ilvl w:val="0"/>
          <w:numId w:val="3"/>
        </w:numPr>
        <w:spacing w:before="0" w:after="80"/>
      </w:pPr>
      <w:r>
        <w:rPr>
          <w:rFonts w:ascii="Arial" w:cs="Arial" w:eastAsia="Arial" w:hAnsi="Arial"/>
          <w:b w:val="false"/>
          <w:bCs w:val="false"/>
          <w:color w:val="374151"/>
          <w:sz w:val="20"/>
          <w:szCs w:val="20"/>
        </w:rPr>
        <w:t xml:space="preserve">Slide 6 (diagnosis) anchor callout: "This is why G2RS customers can't scale. Not their team size — the structure of how alerts arrive."</w:t>
      </w:r>
    </w:p>
    <w:p>
      <w:pPr>
        <w:pStyle w:val="ListParagraph"/>
        <w:numPr>
          <w:ilvl w:val="0"/>
          <w:numId w:val="3"/>
        </w:numPr>
        <w:spacing w:before="0" w:after="80"/>
      </w:pPr>
      <w:r>
        <w:rPr>
          <w:rFonts w:ascii="Arial" w:cs="Arial" w:eastAsia="Arial" w:hAnsi="Arial"/>
          <w:b w:val="false"/>
          <w:bCs w:val="false"/>
          <w:color w:val="374151"/>
          <w:sz w:val="20"/>
          <w:szCs w:val="20"/>
        </w:rPr>
        <w:t xml:space="preserve">Slide 8 (layers): Co-Pilot brace made bolder — 2px lines, solid purple label pill</w:t>
      </w:r>
    </w:p>
    <w:p>
      <w:pPr>
        <w:pStyle w:val="ListParagraph"/>
        <w:numPr>
          <w:ilvl w:val="0"/>
          <w:numId w:val="3"/>
        </w:numPr>
        <w:spacing w:before="0" w:after="80"/>
      </w:pPr>
      <w:r>
        <w:rPr>
          <w:rFonts w:ascii="Arial" w:cs="Arial" w:eastAsia="Arial" w:hAnsi="Arial"/>
          <w:b w:val="false"/>
          <w:bCs w:val="false"/>
          <w:color w:val="374151"/>
          <w:sz w:val="20"/>
          <w:szCs w:val="20"/>
        </w:rPr>
        <w:t xml:space="preserve">Feature 1 on MVP slide: wider accent bar (0.18"), purple background, "THE FOUNDATION" badge on the right</w:t>
      </w:r>
    </w:p>
    <w:p>
      <w:pPr>
        <w:pStyle w:val="ListParagraph"/>
        <w:numPr>
          <w:ilvl w:val="0"/>
          <w:numId w:val="3"/>
        </w:numPr>
        <w:spacing w:before="0" w:after="80"/>
      </w:pPr>
      <w:r>
        <w:rPr>
          <w:rFonts w:ascii="Arial" w:cs="Arial" w:eastAsia="Arial" w:hAnsi="Arial"/>
          <w:b w:val="false"/>
          <w:bCs w:val="false"/>
          <w:color w:val="374151"/>
          <w:sz w:val="20"/>
          <w:szCs w:val="20"/>
        </w:rPr>
        <w:t xml:space="preserve">Slide 16 (metrics) and Slide 17 (closing) split apart — closing quote gets its own full dark slide</w:t>
      </w:r>
    </w:p>
    <w:p>
      <w:pPr>
        <w:spacing w:before="360" w:after="120"/>
      </w:pPr>
      <w:r>
        <w:rPr>
          <w:rFonts w:ascii="Arial" w:cs="Arial" w:eastAsia="Arial" w:hAnsi="Arial"/>
          <w:b/>
          <w:bCs/>
          <w:color w:val="5B21B6"/>
          <w:sz w:val="28"/>
          <w:szCs w:val="28"/>
        </w:rPr>
        <w:t xml:space="preserve">11.6 Content decisions</w:t>
      </w:r>
    </w:p>
    <w:p>
      <w:pPr>
        <w:spacing w:before="0" w:after="120"/>
        <w:jc w:val="left"/>
      </w:pPr>
      <w:r>
        <w:rPr>
          <w:rFonts w:ascii="Arial" w:cs="Arial" w:eastAsia="Arial" w:hAnsi="Arial"/>
          <w:color w:val="374151"/>
          <w:sz w:val="20"/>
          <w:szCs w:val="20"/>
        </w:rPr>
        <w:t xml:space="preserve">Several content questions were debated and resolved:</w:t>
      </w:r>
    </w:p>
    <w:p>
      <w:pPr>
        <w:pBdr>
          <w:left w:val="single" w:color="5B21B6" w:sz="18" w:space="8"/>
        </w:pBdr>
        <w:shd w:fill="EDE9FE" w:val="clear"/>
        <w:spacing w:before="80" w:after="80"/>
        <w:ind w:left="200" w:right="200"/>
      </w:pPr>
      <w:r>
        <w:rPr>
          <w:rFonts w:ascii="Arial" w:cs="Arial" w:eastAsia="Arial" w:hAnsi="Arial"/>
          <w:b/>
          <w:bCs/>
          <w:color w:val="5B21B6"/>
          <w:sz w:val="20"/>
          <w:szCs w:val="20"/>
        </w:rPr>
        <w:t xml:space="preserve">Q: Should we include a "two customer types" slide?  </w:t>
      </w:r>
      <w:r>
        <w:rPr>
          <w:rFonts w:ascii="Arial" w:cs="Arial" w:eastAsia="Arial" w:hAnsi="Arial"/>
          <w:color w:val="4B5563"/>
          <w:sz w:val="20"/>
          <w:szCs w:val="20"/>
        </w:rPr>
        <w:t xml:space="preserve">No. The business consequence is a callout on the scalability slide — not a full slide. It interrupts the story before the analyst pain is established.</w:t>
      </w:r>
    </w:p>
    <w:p>
      <w:pPr>
        <w:pBdr>
          <w:left w:val="single" w:color="5B21B6" w:sz="18" w:space="8"/>
        </w:pBdr>
        <w:shd w:fill="EDE9FE" w:val="clear"/>
        <w:spacing w:before="80" w:after="80"/>
        <w:ind w:left="200" w:right="200"/>
      </w:pPr>
      <w:r>
        <w:rPr>
          <w:rFonts w:ascii="Arial" w:cs="Arial" w:eastAsia="Arial" w:hAnsi="Arial"/>
          <w:b/>
          <w:bCs/>
          <w:color w:val="5B21B6"/>
          <w:sz w:val="20"/>
          <w:szCs w:val="20"/>
        </w:rPr>
        <w:t xml:space="preserve">Q: Where do alternatives go?  </w:t>
      </w:r>
      <w:r>
        <w:rPr>
          <w:rFonts w:ascii="Arial" w:cs="Arial" w:eastAsia="Arial" w:hAnsi="Arial"/>
          <w:color w:val="4B5563"/>
          <w:sz w:val="20"/>
          <w:szCs w:val="20"/>
        </w:rPr>
        <w:t xml:space="preserve">After the scalability problem is established (slide 3), before the analyst journey (slide 5). The audience needs to know what was rejected before they follow the journey that justifies the choice.</w:t>
      </w:r>
    </w:p>
    <w:p>
      <w:pPr>
        <w:pBdr>
          <w:left w:val="single" w:color="5B21B6" w:sz="18" w:space="8"/>
        </w:pBdr>
        <w:shd w:fill="EDE9FE" w:val="clear"/>
        <w:spacing w:before="80" w:after="80"/>
        <w:ind w:left="200" w:right="200"/>
      </w:pPr>
      <w:r>
        <w:rPr>
          <w:rFonts w:ascii="Arial" w:cs="Arial" w:eastAsia="Arial" w:hAnsi="Arial"/>
          <w:b/>
          <w:bCs/>
          <w:color w:val="5B21B6"/>
          <w:sz w:val="20"/>
          <w:szCs w:val="20"/>
        </w:rPr>
        <w:t xml:space="preserve">Q: Is the problem at the merchant level or the violation-type level?  </w:t>
      </w:r>
      <w:r>
        <w:rPr>
          <w:rFonts w:ascii="Arial" w:cs="Arial" w:eastAsia="Arial" w:hAnsi="Arial"/>
          <w:color w:val="4B5563"/>
          <w:sz w:val="20"/>
          <w:szCs w:val="20"/>
        </w:rPr>
        <w:t xml:space="preserve">It is at the violation-type level. The merchant changes. The investigation process for a given violation type does not. The "merchant level" framing is secondary — grouping by merchant does not solve repetition; grouping by violation type does.</w:t>
      </w:r>
    </w:p>
    <w:p>
      <w:pPr>
        <w:pBdr>
          <w:left w:val="single" w:color="D97706" w:sz="18" w:space="8"/>
        </w:pBdr>
        <w:shd w:fill="FEF3C7" w:val="clear"/>
        <w:spacing w:before="80" w:after="80"/>
        <w:ind w:left="200" w:right="200"/>
      </w:pPr>
      <w:r>
        <w:rPr>
          <w:rFonts w:ascii="Arial" w:cs="Arial" w:eastAsia="Arial" w:hAnsi="Arial"/>
          <w:b/>
          <w:bCs/>
          <w:color w:val="D97706"/>
          <w:sz w:val="20"/>
          <w:szCs w:val="20"/>
        </w:rPr>
        <w:t xml:space="preserve">Q: Does G2RS actually dump alerts ungrouped?  </w:t>
      </w:r>
      <w:r>
        <w:rPr>
          <w:rFonts w:ascii="Arial" w:cs="Arial" w:eastAsia="Arial" w:hAnsi="Arial"/>
          <w:color w:val="4B5563"/>
          <w:sz w:val="20"/>
          <w:szCs w:val="20"/>
        </w:rPr>
        <w:t xml:space="preserve">We don't know for certain. The framing was corrected to avoid asserting a specific UI behavior we cannot verify. Instead: "Whether alerts are grouped today or not — the investigation workflow has no structure at the violation-type level." This holds regardless of what the current product does.</w:t>
      </w:r>
    </w:p>
    <w:p>
      <w:pPr>
        <w:spacing w:before="0" w:after="60"/>
        <w:jc w:val="left"/>
      </w:pPr>
      <w:r>
        <w:rPr>
          <w:rFonts w:ascii="Arial" w:cs="Arial" w:eastAsia="Arial" w:hAnsi="Arial"/>
          <w:color w:val="374151"/>
          <w:sz w:val="20"/>
          <w:szCs w:val="20"/>
        </w:rPr>
        <w:t xml:space="preserve"/>
      </w:r>
    </w:p>
    <w:p>
      <w:pPr>
        <w:pBdr>
          <w:bottom w:val="single" w:color="5B21B6" w:sz="8" w:space="6"/>
        </w:pBdr>
        <w:spacing w:before="480" w:after="160"/>
      </w:pPr>
      <w:r>
        <w:rPr>
          <w:rFonts w:ascii="Arial" w:cs="Arial" w:eastAsia="Arial" w:hAnsi="Arial"/>
          <w:b/>
          <w:bCs/>
          <w:color w:val="1E1B4B"/>
          <w:sz w:val="40"/>
          <w:szCs w:val="40"/>
        </w:rPr>
        <w:t xml:space="preserve">12. The Final Answer</w:t>
      </w:r>
    </w:p>
    <w:p>
      <w:pPr>
        <w:spacing w:before="360" w:after="120"/>
      </w:pPr>
      <w:r>
        <w:rPr>
          <w:rFonts w:ascii="Arial" w:cs="Arial" w:eastAsia="Arial" w:hAnsi="Arial"/>
          <w:b/>
          <w:bCs/>
          <w:color w:val="5B21B6"/>
          <w:sz w:val="28"/>
          <w:szCs w:val="28"/>
        </w:rPr>
        <w:t xml:space="preserve">The problem in one sentence</w:t>
      </w:r>
    </w:p>
    <w:p>
      <w:pPr>
        <w:pBdr>
          <w:left w:val="single" w:color="5B21B6" w:sz="18" w:space="10"/>
        </w:pBdr>
        <w:shd w:fill="EDE9FE" w:val="clear"/>
        <w:spacing w:before="160" w:after="160"/>
        <w:ind w:left="720" w:right="720"/>
      </w:pPr>
      <w:r>
        <w:rPr>
          <w:rFonts w:ascii="Arial" w:cs="Arial" w:eastAsia="Arial" w:hAnsi="Arial"/>
          <w:b/>
          <w:bCs/>
          <w:i/>
          <w:iCs/>
          <w:color w:val="5B21B6"/>
          <w:sz w:val="22"/>
          <w:szCs w:val="22"/>
        </w:rPr>
        <w:t xml:space="preserve">“G2RS customers cannot scale their merchant portfolio growth because G2RS gives them detection but not the workflow layer to act on it at scale.”</w:t>
      </w:r>
    </w:p>
    <w:p>
      <w:pPr>
        <w:spacing w:before="360" w:after="120"/>
      </w:pPr>
      <w:r>
        <w:rPr>
          <w:rFonts w:ascii="Arial" w:cs="Arial" w:eastAsia="Arial" w:hAnsi="Arial"/>
          <w:b/>
          <w:bCs/>
          <w:color w:val="5B21B6"/>
          <w:sz w:val="28"/>
          <w:szCs w:val="28"/>
        </w:rPr>
        <w:t xml:space="preserve">The solution in one sentence</w:t>
      </w:r>
    </w:p>
    <w:p>
      <w:pPr>
        <w:pBdr>
          <w:left w:val="single" w:color="5B21B6" w:sz="18" w:space="10"/>
        </w:pBdr>
        <w:shd w:fill="EDE9FE" w:val="clear"/>
        <w:spacing w:before="160" w:after="160"/>
        <w:ind w:left="720" w:right="720"/>
      </w:pPr>
      <w:r>
        <w:rPr>
          <w:rFonts w:ascii="Arial" w:cs="Arial" w:eastAsia="Arial" w:hAnsi="Arial"/>
          <w:b/>
          <w:bCs/>
          <w:i/>
          <w:iCs/>
          <w:color w:val="5B21B6"/>
          <w:sz w:val="22"/>
          <w:szCs w:val="22"/>
        </w:rPr>
        <w:t xml:space="preserve">“Merchant Risk Co-Pilot — the scalability layer G2RS is missing — groups violation alerts by type, loads context once, and gives analysts a structured verification workflow instead of an open-ended hunt.”</w:t>
      </w:r>
    </w:p>
    <w:p>
      <w:pPr>
        <w:spacing w:before="360" w:after="120"/>
      </w:pPr>
      <w:r>
        <w:rPr>
          <w:rFonts w:ascii="Arial" w:cs="Arial" w:eastAsia="Arial" w:hAnsi="Arial"/>
          <w:b/>
          <w:bCs/>
          <w:color w:val="5B21B6"/>
          <w:sz w:val="28"/>
          <w:szCs w:val="28"/>
        </w:rPr>
        <w:t xml:space="preserve">The proof of success</w:t>
      </w:r>
    </w:p>
    <w:p>
      <w:pPr>
        <w:spacing w:before="0" w:after="120"/>
        <w:jc w:val="left"/>
      </w:pPr>
      <w:r>
        <w:rPr>
          <w:rFonts w:ascii="Arial" w:cs="Arial" w:eastAsia="Arial" w:hAnsi="Arial"/>
          <w:color w:val="374151"/>
          <w:sz w:val="20"/>
          <w:szCs w:val="20"/>
        </w:rPr>
        <w:t xml:space="preserve">If the north star metric moves — more alerts investigated per analyst per week — the Co-Pilot is working. If the growth signal moves — customers submitting more screening requests, expanding their portfolios — we have solved the adoption barrier. If the guardrail holds, we did not sacrifice quality for speed.</w:t>
      </w:r>
    </w:p>
    <w:p>
      <w:pPr>
        <w:spacing w:before="360" w:after="120"/>
      </w:pPr>
      <w:r>
        <w:rPr>
          <w:rFonts w:ascii="Arial" w:cs="Arial" w:eastAsia="Arial" w:hAnsi="Arial"/>
          <w:b/>
          <w:bCs/>
          <w:color w:val="5B21B6"/>
          <w:sz w:val="28"/>
          <w:szCs w:val="28"/>
        </w:rPr>
        <w:t xml:space="preserve">The closing statement</w:t>
      </w:r>
    </w:p>
    <w:p>
      <w:pPr>
        <w:pBdr>
          <w:left w:val="single" w:color="5B21B6" w:sz="18" w:space="10"/>
        </w:pBdr>
        <w:shd w:fill="EDE9FE" w:val="clear"/>
        <w:spacing w:before="160" w:after="160"/>
        <w:ind w:left="720" w:right="720"/>
      </w:pPr>
      <w:r>
        <w:rPr>
          <w:rFonts w:ascii="Arial" w:cs="Arial" w:eastAsia="Arial" w:hAnsi="Arial"/>
          <w:b/>
          <w:bCs/>
          <w:i/>
          <w:iCs/>
          <w:color w:val="5B21B6"/>
          <w:sz w:val="22"/>
          <w:szCs w:val="22"/>
        </w:rPr>
        <w:t xml:space="preserve">“A customer with 100,000 merchants can monitor all of them — and tell G2RS to send more. That's what scalability means. That's what the Co-Pilot delivers.”</w:t>
      </w:r>
    </w:p>
    <w:p>
      <w:pPr>
        <w:spacing w:before="0" w:after="60"/>
        <w:jc w:val="left"/>
      </w:pPr>
      <w:r>
        <w:rPr>
          <w:rFonts w:ascii="Arial" w:cs="Arial" w:eastAsia="Arial" w:hAnsi="Arial"/>
          <w:color w:val="374151"/>
          <w:sz w:val="20"/>
          <w:szCs w:val="20"/>
        </w:rPr>
        <w:t xml:space="preserve"/>
      </w:r>
    </w:p>
    <w:p>
      <w:pPr>
        <w:pBdr>
          <w:bottom w:val="single" w:color="5B21B6" w:sz="8" w:space="6"/>
        </w:pBdr>
        <w:spacing w:before="480" w:after="160"/>
      </w:pPr>
      <w:r>
        <w:rPr>
          <w:rFonts w:ascii="Arial" w:cs="Arial" w:eastAsia="Arial" w:hAnsi="Arial"/>
          <w:b/>
          <w:bCs/>
          <w:color w:val="1E1B4B"/>
          <w:sz w:val="40"/>
          <w:szCs w:val="40"/>
        </w:rPr>
        <w:t xml:space="preserve">13. Interactive Demo — Full Specification</w:t>
      </w:r>
    </w:p>
    <w:p>
      <w:pPr>
        <w:spacing w:before="0" w:after="120"/>
        <w:jc w:val="left"/>
      </w:pPr>
      <w:r>
        <w:rPr>
          <w:rFonts w:ascii="Arial" w:cs="Arial" w:eastAsia="Arial" w:hAnsi="Arial"/>
          <w:color w:val="374151"/>
          <w:sz w:val="20"/>
          <w:szCs w:val="20"/>
        </w:rPr>
        <w:t xml:space="preserve">The demo is a fully functional single-page HTML application simulating the Co-Pilot interface. It runs in any browser with no server or backend required. Two modes: live AI via the Anthropic API, or pre-loaded demo responses with no key needed.</w:t>
      </w:r>
    </w:p>
    <w:p>
      <w:pPr>
        <w:spacing w:before="360" w:after="120"/>
      </w:pPr>
      <w:r>
        <w:rPr>
          <w:rFonts w:ascii="Arial" w:cs="Arial" w:eastAsia="Arial" w:hAnsi="Arial"/>
          <w:b/>
          <w:bCs/>
          <w:color w:val="5B21B6"/>
          <w:sz w:val="28"/>
          <w:szCs w:val="28"/>
        </w:rPr>
        <w:t xml:space="preserve">13.1 Launch Modal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1000"/>
        <w:gridCol w:w="6360"/>
      </w:tblGrid>
      <w:tr>
        <w:tc>
          <w:tcPr>
            <w:tcW w:type="dxa" w:w="20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Element</w:t>
            </w:r>
          </w:p>
        </w:tc>
        <w:tc>
          <w:tcPr>
            <w:tcW w:type="dxa" w:w="10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Type</w:t>
            </w:r>
          </w:p>
        </w:tc>
        <w:tc>
          <w:tcPr>
            <w:tcW w:type="dxa" w:w="636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Behaviour</w:t>
            </w:r>
          </w:p>
        </w:tc>
      </w:tr>
      <w:tr>
        <w:tc>
          <w:tcPr>
            <w:tcW w:type="dxa" w:w="20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API key input</w:t>
            </w:r>
          </w:p>
        </w:tc>
        <w:tc>
          <w:tcPr>
            <w:tcW w:type="dxa" w:w="10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i/>
                <w:iCs/>
                <w:color w:val="0D9488"/>
                <w:sz w:val="17"/>
                <w:szCs w:val="17"/>
              </w:rPr>
              <w:t xml:space="preserve">Password field</w:t>
            </w:r>
          </w:p>
        </w:tc>
        <w:tc>
          <w:tcPr>
            <w:tcW w:type="dxa" w:w="636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8"/>
                <w:szCs w:val="18"/>
              </w:rPr>
              <w:t xml:space="preserve">Accepts Anthropic API key (sk-ant-...). Stored in memory only. Left blank = auto demo mode.</w:t>
            </w:r>
          </w:p>
        </w:tc>
      </w:tr>
      <w:tr>
        <w:tc>
          <w:tcPr>
            <w:tcW w:type="dxa" w:w="20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Launch with live AI</w:t>
            </w:r>
          </w:p>
        </w:tc>
        <w:tc>
          <w:tcPr>
            <w:tcW w:type="dxa" w:w="10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i/>
                <w:iCs/>
                <w:color w:val="0D9488"/>
                <w:sz w:val="17"/>
                <w:szCs w:val="17"/>
              </w:rPr>
              <w:t xml:space="preserve">Primary button</w:t>
            </w:r>
          </w:p>
        </w:tc>
        <w:tc>
          <w:tcPr>
            <w:tcW w:type="dxa" w:w="636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4B5563"/>
                <w:sz w:val="18"/>
                <w:szCs w:val="18"/>
              </w:rPr>
              <w:t xml:space="preserve">Validates key format. If valid: live API mode. If blank: demo mode. If invalid format: shows error.</w:t>
            </w:r>
          </w:p>
        </w:tc>
      </w:tr>
      <w:tr>
        <w:tc>
          <w:tcPr>
            <w:tcW w:type="dxa" w:w="20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Launch in demo mode</w:t>
            </w:r>
          </w:p>
        </w:tc>
        <w:tc>
          <w:tcPr>
            <w:tcW w:type="dxa" w:w="10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i/>
                <w:iCs/>
                <w:color w:val="0D9488"/>
                <w:sz w:val="17"/>
                <w:szCs w:val="17"/>
              </w:rPr>
              <w:t xml:space="preserve">Secondary button</w:t>
            </w:r>
          </w:p>
        </w:tc>
        <w:tc>
          <w:tcPr>
            <w:tcW w:type="dxa" w:w="636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8"/>
                <w:szCs w:val="18"/>
              </w:rPr>
              <w:t xml:space="preserve">Bypasses API. All AI summaries use pre-loaded strings from demoSummaries object.</w:t>
            </w:r>
          </w:p>
        </w:tc>
      </w:tr>
    </w:tbl>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13.2 Top Navigation Bar</w:t>
      </w:r>
    </w:p>
    <w:p>
      <w:pPr>
        <w:pStyle w:val="ListParagraph"/>
        <w:numPr>
          <w:ilvl w:val="0"/>
          <w:numId w:val="3"/>
        </w:numPr>
        <w:spacing w:before="0" w:after="80"/>
      </w:pPr>
      <w:r>
        <w:rPr>
          <w:rFonts w:ascii="Arial" w:cs="Arial" w:eastAsia="Arial" w:hAnsi="Arial"/>
          <w:b w:val="false"/>
          <w:bCs w:val="false"/>
          <w:color w:val="374151"/>
          <w:sz w:val="20"/>
          <w:szCs w:val="20"/>
        </w:rPr>
        <w:t xml:space="preserve">"Without Co-Pilot" / "With Co-Pilot" toggle — core demo control. Switches currentMode, re-renders both queue panel and right panel completely.</w:t>
      </w:r>
    </w:p>
    <w:p>
      <w:pPr>
        <w:pStyle w:val="ListParagraph"/>
        <w:numPr>
          <w:ilvl w:val="0"/>
          <w:numId w:val="3"/>
        </w:numPr>
        <w:spacing w:before="0" w:after="80"/>
      </w:pPr>
      <w:r>
        <w:rPr>
          <w:rFonts w:ascii="Arial" w:cs="Arial" w:eastAsia="Arial" w:hAnsi="Arial"/>
          <w:b w:val="false"/>
          <w:bCs w:val="false"/>
          <w:color w:val="374151"/>
          <w:sz w:val="20"/>
          <w:szCs w:val="20"/>
        </w:rPr>
        <w:t xml:space="preserve">Alert count pills (2 Critical / 2 High / 2 Medium) — static, always visible in nav regardless of mode.</w:t>
      </w:r>
    </w:p>
    <w:p>
      <w:pPr>
        <w:pStyle w:val="ListParagraph"/>
        <w:numPr>
          <w:ilvl w:val="0"/>
          <w:numId w:val="3"/>
        </w:numPr>
        <w:spacing w:before="0" w:after="80"/>
      </w:pPr>
      <w:r>
        <w:rPr>
          <w:rFonts w:ascii="Arial" w:cs="Arial" w:eastAsia="Arial" w:hAnsi="Arial"/>
          <w:b w:val="false"/>
          <w:bCs w:val="false"/>
          <w:color w:val="374151"/>
          <w:sz w:val="20"/>
          <w:szCs w:val="20"/>
        </w:rPr>
        <w:t xml:space="preserve">Navigation tabs (Queue / Analytics / History) — Queue is active; Analytics and History are decorative, simulating product depth.</w:t>
      </w:r>
    </w:p>
    <w:p>
      <w:pPr>
        <w:pStyle w:val="ListParagraph"/>
        <w:numPr>
          <w:ilvl w:val="0"/>
          <w:numId w:val="3"/>
        </w:numPr>
        <w:spacing w:before="0" w:after="80"/>
      </w:pPr>
      <w:r>
        <w:rPr>
          <w:rFonts w:ascii="Arial" w:cs="Arial" w:eastAsia="Arial" w:hAnsi="Arial"/>
          <w:b w:val="false"/>
          <w:bCs w:val="false"/>
          <w:color w:val="374151"/>
          <w:sz w:val="20"/>
          <w:szCs w:val="20"/>
        </w:rPr>
        <w:t xml:space="preserve">URL analysis search bar — live feature. Analyst types any merchant URL. In demo mode: 2-second loading, generic pre-written summary. In live mode: calls Claude API to generate a JSON-structured merchant risk profile (violation type, severity, pattern, checklist, recommendation). Auto-switches to Co-Pilot mode if currently in Before mode.</w:t>
      </w:r>
    </w:p>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13.3 Queue Panel — Without Co-Pilot Mode</w:t>
      </w:r>
    </w:p>
    <w:p>
      <w:pPr>
        <w:pStyle w:val="ListParagraph"/>
        <w:numPr>
          <w:ilvl w:val="0"/>
          <w:numId w:val="3"/>
        </w:numPr>
        <w:spacing w:before="0" w:after="80"/>
      </w:pPr>
      <w:r>
        <w:rPr>
          <w:rFonts w:ascii="Arial" w:cs="Arial" w:eastAsia="Arial" w:hAnsi="Arial"/>
          <w:b w:val="false"/>
          <w:bCs w:val="false"/>
          <w:color w:val="374151"/>
          <w:sz w:val="20"/>
          <w:szCs w:val="20"/>
        </w:rPr>
        <w:t xml:space="preserve">"Today’s violations" title — no structure implied.</w:t>
      </w:r>
    </w:p>
    <w:p>
      <w:pPr>
        <w:pStyle w:val="ListParagraph"/>
        <w:numPr>
          <w:ilvl w:val="0"/>
          <w:numId w:val="3"/>
        </w:numPr>
        <w:spacing w:before="0" w:after="80"/>
      </w:pPr>
      <w:r>
        <w:rPr>
          <w:rFonts w:ascii="Arial" w:cs="Arial" w:eastAsia="Arial" w:hAnsi="Arial"/>
          <w:b w:val="false"/>
          <w:bCs w:val="false"/>
          <w:color w:val="374151"/>
          <w:sz w:val="20"/>
          <w:szCs w:val="20"/>
        </w:rPr>
        <w:t xml:space="preserve">Stats row — 3 cards: Critical (red), High (orange), Medium (grey). Static counts.</w:t>
      </w:r>
    </w:p>
    <w:p>
      <w:pPr>
        <w:pStyle w:val="ListParagraph"/>
        <w:numPr>
          <w:ilvl w:val="0"/>
          <w:numId w:val="3"/>
        </w:numPr>
        <w:spacing w:before="0" w:after="80"/>
      </w:pPr>
      <w:r>
        <w:rPr>
          <w:rFonts w:ascii="Arial" w:cs="Arial" w:eastAsia="Arial" w:hAnsi="Arial"/>
          <w:b w:val="false"/>
          <w:bCs w:val="false"/>
          <w:color w:val="374151"/>
          <w:sz w:val="20"/>
          <w:szCs w:val="20"/>
        </w:rPr>
        <w:t xml:space="preserve">"All alerts · No grouping" label with red "No grouping" badge — signals immediately that alerts arrive without structure.</w:t>
      </w:r>
    </w:p>
    <w:p>
      <w:pPr>
        <w:pStyle w:val="ListParagraph"/>
        <w:numPr>
          <w:ilvl w:val="0"/>
          <w:numId w:val="3"/>
        </w:numPr>
        <w:spacing w:before="0" w:after="80"/>
      </w:pPr>
      <w:r>
        <w:rPr>
          <w:rFonts w:ascii="Arial" w:cs="Arial" w:eastAsia="Arial" w:hAnsi="Arial"/>
          <w:b w:val="false"/>
          <w:bCs w:val="false"/>
          <w:color w:val="374151"/>
          <w:sz w:val="20"/>
          <w:szCs w:val="20"/>
        </w:rPr>
        <w:t xml:space="preserve">Alert cards rendered in randomised order (.sort(() =&gt; 0.5 - Math.random())) — emphasises chaos. Different types interleaved randomly every render.</w:t>
      </w:r>
    </w:p>
    <w:p>
      <w:pPr>
        <w:pStyle w:val="ListParagraph"/>
        <w:numPr>
          <w:ilvl w:val="0"/>
          <w:numId w:val="3"/>
        </w:numPr>
        <w:spacing w:before="0" w:after="80"/>
      </w:pPr>
      <w:r>
        <w:rPr>
          <w:rFonts w:ascii="Arial" w:cs="Arial" w:eastAsia="Arial" w:hAnsi="Arial"/>
          <w:b w:val="false"/>
          <w:bCs w:val="false"/>
          <w:color w:val="374151"/>
          <w:sz w:val="20"/>
          <w:szCs w:val="20"/>
        </w:rPr>
        <w:t xml:space="preserve">Each card shows: merchant URL (bold), severity badge (CRITICAL/HIGH/MEDIUM colour-coded), violation type + months in portfolio. This is all the analyst sees before opening.</w:t>
      </w:r>
    </w:p>
    <w:p>
      <w:pPr>
        <w:pStyle w:val="ListParagraph"/>
        <w:numPr>
          <w:ilvl w:val="0"/>
          <w:numId w:val="3"/>
        </w:numPr>
        <w:spacing w:before="0" w:after="80"/>
      </w:pPr>
      <w:r>
        <w:rPr>
          <w:rFonts w:ascii="Arial" w:cs="Arial" w:eastAsia="Arial" w:hAnsi="Arial"/>
          <w:b w:val="false"/>
          <w:bCs w:val="false"/>
          <w:color w:val="374151"/>
          <w:sz w:val="20"/>
          <w:szCs w:val="20"/>
        </w:rPr>
        <w:t xml:space="preserve">Card click — loads the 7-step manual investigation workflow in the right panel.</w:t>
      </w:r>
    </w:p>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13.4 Queue Panel — Co-Pilot Mode</w:t>
      </w:r>
    </w:p>
    <w:p>
      <w:pPr>
        <w:pStyle w:val="ListParagraph"/>
        <w:numPr>
          <w:ilvl w:val="0"/>
          <w:numId w:val="3"/>
        </w:numPr>
        <w:spacing w:before="0" w:after="80"/>
      </w:pPr>
      <w:r>
        <w:rPr>
          <w:rFonts w:ascii="Arial" w:cs="Arial" w:eastAsia="Arial" w:hAnsi="Arial"/>
          <w:b w:val="false"/>
          <w:bCs w:val="false"/>
          <w:color w:val="374151"/>
          <w:sz w:val="20"/>
          <w:szCs w:val="20"/>
        </w:rPr>
        <w:t xml:space="preserve">"Violations · grouped by type" title — signals the structural change.</w:t>
      </w:r>
    </w:p>
    <w:p>
      <w:pPr>
        <w:pStyle w:val="ListParagraph"/>
        <w:numPr>
          <w:ilvl w:val="0"/>
          <w:numId w:val="3"/>
        </w:numPr>
        <w:spacing w:before="0" w:after="80"/>
      </w:pPr>
      <w:r>
        <w:rPr>
          <w:rFonts w:ascii="Arial" w:cs="Arial" w:eastAsia="Arial" w:hAnsi="Arial"/>
          <w:b w:val="false"/>
          <w:bCs w:val="false"/>
          <w:color w:val="374151"/>
          <w:sz w:val="20"/>
          <w:szCs w:val="20"/>
        </w:rPr>
        <w:t xml:space="preserve">3 group headers: Gambling (2 merchants), Prescription Drugs (2 merchants), Counterfeit Goods (2 merchants). Each with count badge + teal "Context pre-loaded" pill.</w:t>
      </w:r>
    </w:p>
    <w:p>
      <w:pPr>
        <w:pStyle w:val="ListParagraph"/>
        <w:numPr>
          <w:ilvl w:val="0"/>
          <w:numId w:val="3"/>
        </w:numPr>
        <w:spacing w:before="0" w:after="80"/>
      </w:pPr>
      <w:r>
        <w:rPr>
          <w:rFonts w:ascii="Arial" w:cs="Arial" w:eastAsia="Arial" w:hAnsi="Arial"/>
          <w:b w:val="false"/>
          <w:bCs w:val="false"/>
          <w:color w:val="374151"/>
          <w:sz w:val="20"/>
          <w:szCs w:val="20"/>
        </w:rPr>
        <w:t xml:space="preserve">"Context pre-loaded" pill — communicates the core value: policy context is loaded for the entire batch, not just the individual case.</w:t>
      </w:r>
    </w:p>
    <w:p>
      <w:pPr>
        <w:pStyle w:val="ListParagraph"/>
        <w:numPr>
          <w:ilvl w:val="0"/>
          <w:numId w:val="3"/>
        </w:numPr>
        <w:spacing w:before="0" w:after="80"/>
      </w:pPr>
      <w:r>
        <w:rPr>
          <w:rFonts w:ascii="Arial" w:cs="Arial" w:eastAsia="Arial" w:hAnsi="Arial"/>
          <w:b w:val="false"/>
          <w:bCs w:val="false"/>
          <w:color w:val="374151"/>
          <w:sz w:val="20"/>
          <w:szCs w:val="20"/>
        </w:rPr>
        <w:t xml:space="preserve">Alert cards show pattern indicator instead of plain violation type: ↑ Escalating (orange), ↻ Recurring (red), ! New merchant (red), ● First occurrence (grey). Additional signal not available in Before mode.</w:t>
      </w:r>
    </w:p>
    <w:p>
      <w:pPr>
        <w:pStyle w:val="ListParagraph"/>
        <w:numPr>
          <w:ilvl w:val="0"/>
          <w:numId w:val="3"/>
        </w:numPr>
        <w:spacing w:before="0" w:after="80"/>
      </w:pPr>
      <w:r>
        <w:rPr>
          <w:rFonts w:ascii="Arial" w:cs="Arial" w:eastAsia="Arial" w:hAnsi="Arial"/>
          <w:b w:val="false"/>
          <w:bCs w:val="false"/>
          <w:color w:val="374151"/>
          <w:sz w:val="20"/>
          <w:szCs w:val="20"/>
        </w:rPr>
        <w:t xml:space="preserve">Card click — shows 4-step sequential loading animation (500ms apart), then renders the full structured case view.</w:t>
      </w:r>
    </w:p>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13.5 Right Panel — Without Co-Pilot Empty State</w:t>
      </w:r>
    </w:p>
    <w:p>
      <w:pPr>
        <w:spacing w:before="0" w:after="120"/>
        <w:jc w:val="left"/>
      </w:pPr>
      <w:r>
        <w:rPr>
          <w:rFonts w:ascii="Arial" w:cs="Arial" w:eastAsia="Arial" w:hAnsi="Arial"/>
          <w:color w:val="374151"/>
          <w:sz w:val="20"/>
          <w:szCs w:val="20"/>
        </w:rPr>
        <w:t xml:space="preserve">4 friction stat cards in a 2×2 grid: Avg. time per case (40–60 min / "From scratch every time"), Context switch (After every case / "Full reset, no memory"), Tools needed (3+ / "Manual cross-reference"), Rationale (Blank page / "Written from scratch"). These four cards quantify the pain — each one is a dimension the Co-Pilot directly addresses.</w:t>
      </w:r>
    </w:p>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13.6 Right Panel — Without Co-Pilot Case View</w:t>
      </w:r>
    </w:p>
    <w:p>
      <w:pPr>
        <w:pStyle w:val="ListParagraph"/>
        <w:numPr>
          <w:ilvl w:val="0"/>
          <w:numId w:val="3"/>
        </w:numPr>
        <w:spacing w:before="0" w:after="80"/>
      </w:pPr>
      <w:r>
        <w:rPr>
          <w:rFonts w:ascii="Arial" w:cs="Arial" w:eastAsia="Arial" w:hAnsi="Arial"/>
          <w:b w:val="false"/>
          <w:bCs w:val="false"/>
          <w:color w:val="374151"/>
          <w:sz w:val="20"/>
          <w:szCs w:val="20"/>
        </w:rPr>
        <w:t xml:space="preserve">"Cold open — no context loaded" red badge + "Full reset after this case" orange badge in the case header.</w:t>
      </w:r>
    </w:p>
    <w:p>
      <w:pPr>
        <w:pStyle w:val="ListParagraph"/>
        <w:numPr>
          <w:ilvl w:val="0"/>
          <w:numId w:val="3"/>
        </w:numPr>
        <w:spacing w:before="0" w:after="80"/>
      </w:pPr>
      <w:r>
        <w:rPr>
          <w:rFonts w:ascii="Arial" w:cs="Arial" w:eastAsia="Arial" w:hAnsi="Arial"/>
          <w:b w:val="false"/>
          <w:bCs w:val="false"/>
          <w:color w:val="374151"/>
          <w:sz w:val="20"/>
          <w:szCs w:val="20"/>
        </w:rPr>
        <w:t xml:space="preserve">7-step investigation list: (1) Open alert — No context pre-loaded; (2) Locate merchant history — Manual lookup across 3+ tools; (3) Identify violation type — Read and interpret manually; (4) Recall AUP policy clause — Open doc, search; (5) Build investigation checklist — No guidance, analyst experience only; (6) Run full investigation — Txn logs, chargebacks, invoices; (7) Write rationale — Blank page, no template. Each step shows the pain note in red underneath.</w:t>
      </w:r>
    </w:p>
    <w:p>
      <w:pPr>
        <w:pStyle w:val="ListParagraph"/>
        <w:numPr>
          <w:ilvl w:val="0"/>
          <w:numId w:val="3"/>
        </w:numPr>
        <w:spacing w:before="0" w:after="80"/>
      </w:pPr>
      <w:r>
        <w:rPr>
          <w:rFonts w:ascii="Arial" w:cs="Arial" w:eastAsia="Arial" w:hAnsi="Arial"/>
          <w:b w:val="false"/>
          <w:bCs w:val="false"/>
          <w:color w:val="374151"/>
          <w:sz w:val="20"/>
          <w:szCs w:val="20"/>
        </w:rPr>
        <w:t xml:space="preserve">Time estimate banner — red background. "Estimated investigation time: 40–60 min" + "Then full reset — same 7 steps repeat for the next case." The puncher.</w:t>
      </w:r>
    </w:p>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13.7 Loading State (Co-Pilot)</w:t>
      </w:r>
    </w:p>
    <w:p>
      <w:pPr>
        <w:pStyle w:val="ListParagraph"/>
        <w:numPr>
          <w:ilvl w:val="0"/>
          <w:numId w:val="3"/>
        </w:numPr>
        <w:spacing w:before="0" w:after="80"/>
      </w:pPr>
      <w:r>
        <w:rPr>
          <w:rFonts w:ascii="Arial" w:cs="Arial" w:eastAsia="Arial" w:hAnsi="Arial"/>
          <w:b w:val="false"/>
          <w:bCs w:val="false"/>
          <w:color w:val="374151"/>
          <w:sz w:val="20"/>
          <w:szCs w:val="20"/>
        </w:rPr>
        <w:t xml:space="preserve">Teal spinner + merchant URL as title.</w:t>
      </w:r>
    </w:p>
    <w:p>
      <w:pPr>
        <w:pStyle w:val="ListParagraph"/>
        <w:numPr>
          <w:ilvl w:val="0"/>
          <w:numId w:val="3"/>
        </w:numPr>
        <w:spacing w:before="0" w:after="80"/>
      </w:pPr>
      <w:r>
        <w:rPr>
          <w:rFonts w:ascii="Arial" w:cs="Arial" w:eastAsia="Arial" w:hAnsi="Arial"/>
          <w:b w:val="false"/>
          <w:bCs w:val="false"/>
          <w:color w:val="374151"/>
          <w:sz w:val="20"/>
          <w:szCs w:val="20"/>
        </w:rPr>
        <w:t xml:space="preserve">4 loading steps appearing sequentially at 500ms intervals: "Loading merchant history..." → "Assembling evidence pack..." → "Loading investigation template..." → "Generating AI case summary..."</w:t>
      </w:r>
    </w:p>
    <w:p>
      <w:pPr>
        <w:spacing w:before="0" w:after="120"/>
        <w:jc w:val="left"/>
      </w:pPr>
      <w:r>
        <w:rPr>
          <w:rFonts w:ascii="Arial" w:cs="Arial" w:eastAsia="Arial" w:hAnsi="Arial"/>
          <w:color w:val="374151"/>
          <w:sz w:val="20"/>
          <w:szCs w:val="20"/>
        </w:rPr>
        <w:t xml:space="preserve">The sequential steps narrate to the audience what the Co-Pilot is doing automatically. The analyst does none of these — the system does. This is the core demo moment.</w:t>
      </w:r>
    </w:p>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13.8 Co-Pilot Case Header Fields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Field</w:t>
            </w:r>
          </w:p>
        </w:tc>
        <w:tc>
          <w:tcPr>
            <w:tcW w:type="dxa" w:w="686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Source &amp; purpose</w:t>
            </w:r>
          </w:p>
        </w:tc>
      </w:tr>
      <w:tr>
        <w:tc>
          <w:tcPr>
            <w:tcW w:type="dxa" w:w="25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Teal/navy accent bar</w:t>
            </w:r>
          </w:p>
        </w:tc>
        <w:tc>
          <w:tcPr>
            <w:tcW w:type="dxa" w:w="686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8"/>
                <w:szCs w:val="18"/>
              </w:rPr>
              <w:t xml:space="preserve">3px gradient bar across top. Visual signal this is a structured case, not a cold alert.</w:t>
            </w:r>
          </w:p>
        </w:tc>
      </w:tr>
      <w:tr>
        <w:tc>
          <w:tcPr>
            <w:tcW w:type="dxa" w:w="25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Merchant URL (large)</w:t>
            </w:r>
          </w:p>
        </w:tc>
        <w:tc>
          <w:tcPr>
            <w:tcW w:type="dxa" w:w="686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4B5563"/>
                <w:sz w:val="18"/>
                <w:szCs w:val="18"/>
              </w:rPr>
              <w:t xml:space="preserve">Primary identifier throughout the case view.</w:t>
            </w:r>
          </w:p>
        </w:tc>
      </w:tr>
      <w:tr>
        <w:tc>
          <w:tcPr>
            <w:tcW w:type="dxa" w:w="25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Declared business type</w:t>
            </w:r>
          </w:p>
        </w:tc>
        <w:tc>
          <w:tcPr>
            <w:tcW w:type="dxa" w:w="686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8"/>
                <w:szCs w:val="18"/>
              </w:rPr>
              <w:t xml:space="preserve">What the merchant claimed at onboarding. Contrast with what was detected is implicit.</w:t>
            </w:r>
          </w:p>
        </w:tc>
      </w:tr>
      <w:tr>
        <w:tc>
          <w:tcPr>
            <w:tcW w:type="dxa" w:w="25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Portfolio duration</w:t>
            </w:r>
          </w:p>
        </w:tc>
        <w:tc>
          <w:tcPr>
            <w:tcW w:type="dxa" w:w="686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4B5563"/>
                <w:sz w:val="18"/>
                <w:szCs w:val="18"/>
              </w:rPr>
              <w:t xml:space="preserve">Months in portfolio. Context for severity assessment.</w:t>
            </w:r>
          </w:p>
        </w:tc>
      </w:tr>
      <w:tr>
        <w:tc>
          <w:tcPr>
            <w:tcW w:type="dxa" w:w="25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Compass Score badge</w:t>
            </w:r>
          </w:p>
        </w:tc>
        <w:tc>
          <w:tcPr>
            <w:tcW w:type="dxa" w:w="686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8"/>
                <w:szCs w:val="18"/>
              </w:rPr>
              <w:t xml:space="preserve">G2RS/EverC composite risk score (38–88 in demo). Amber badge. Higher = more risk signals.</w:t>
            </w:r>
          </w:p>
        </w:tc>
      </w:tr>
      <w:tr>
        <w:tc>
          <w:tcPr>
            <w:tcW w:type="dxa" w:w="25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"Context loaded · [Group] batch" pill</w:t>
            </w:r>
          </w:p>
        </w:tc>
        <w:tc>
          <w:tcPr>
            <w:tcW w:type="dxa" w:w="686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4B5563"/>
                <w:sz w:val="18"/>
                <w:szCs w:val="18"/>
              </w:rPr>
              <w:t xml:space="preserve">Teal pill. Signals context was pre-loaded for the entire violation-type batch, not just this case.</w:t>
            </w:r>
          </w:p>
        </w:tc>
      </w:tr>
      <w:tr>
        <w:tc>
          <w:tcPr>
            <w:tcW w:type="dxa" w:w="25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Decision buttons (Terminate / Engage / Accept risk)</w:t>
            </w:r>
          </w:p>
        </w:tc>
        <w:tc>
          <w:tcPr>
            <w:tcW w:type="dxa" w:w="686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8"/>
                <w:szCs w:val="18"/>
              </w:rPr>
              <w:t xml:space="preserve">Always visible in header. On click: records decision with timestamp, shows green confirmation banner, updates queue card meta to show decision label, auto-switches to Document tab.</w:t>
            </w:r>
          </w:p>
        </w:tc>
      </w:tr>
      <w:tr>
        <w:tc>
          <w:tcPr>
            <w:tcW w:type="dxa" w:w="25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8"/>
                <w:szCs w:val="18"/>
              </w:rPr>
              <w:t xml:space="preserve">Pattern tag</w:t>
            </w:r>
          </w:p>
        </w:tc>
        <w:tc>
          <w:tcPr>
            <w:tcW w:type="dxa" w:w="686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4B5563"/>
                <w:sz w:val="18"/>
                <w:szCs w:val="18"/>
              </w:rPr>
              <w:t xml:space="preserve">⚠ Escalating (orange) / ↻ Recurring (red) / 🚨 New merchant (red) / ● First occurrence (grey). Pattern communicated at a glance without reading history.</w:t>
            </w:r>
          </w:p>
        </w:tc>
      </w:tr>
    </w:tbl>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13.9 Left Column — Evidence Pack</w:t>
      </w:r>
    </w:p>
    <w:p>
      <w:pPr>
        <w:spacing w:before="240" w:after="80"/>
      </w:pPr>
      <w:r>
        <w:rPr>
          <w:rFonts w:ascii="Arial" w:cs="Arial" w:eastAsia="Arial" w:hAnsi="Arial"/>
          <w:b/>
          <w:bCs/>
          <w:color w:val="374151"/>
          <w:sz w:val="22"/>
          <w:szCs w:val="22"/>
        </w:rPr>
        <w:t xml:space="preserve">AI Case Summary</w:t>
      </w:r>
    </w:p>
    <w:p>
      <w:pPr>
        <w:pStyle w:val="ListParagraph"/>
        <w:numPr>
          <w:ilvl w:val="0"/>
          <w:numId w:val="3"/>
        </w:numPr>
        <w:spacing w:before="0" w:after="80"/>
      </w:pPr>
      <w:r>
        <w:rPr>
          <w:rFonts w:ascii="Arial" w:cs="Arial" w:eastAsia="Arial" w:hAnsi="Arial"/>
          <w:b w:val="false"/>
          <w:bCs w:val="false"/>
          <w:color w:val="374151"/>
          <w:sz w:val="20"/>
          <w:szCs w:val="20"/>
        </w:rPr>
        <w:t xml:space="preserve">✶ Claude AI badge — teal, explicitly marks AI-generated content.</w:t>
      </w:r>
    </w:p>
    <w:p>
      <w:pPr>
        <w:pStyle w:val="ListParagraph"/>
        <w:numPr>
          <w:ilvl w:val="0"/>
          <w:numId w:val="3"/>
        </w:numPr>
        <w:spacing w:before="0" w:after="80"/>
      </w:pPr>
      <w:r>
        <w:rPr>
          <w:rFonts w:ascii="Arial" w:cs="Arial" w:eastAsia="Arial" w:hAnsi="Arial"/>
          <w:b w:val="false"/>
          <w:bCs w:val="false"/>
          <w:color w:val="374151"/>
          <w:sz w:val="20"/>
          <w:szCs w:val="20"/>
        </w:rPr>
        <w:t xml:space="preserve">Summary text — Demo mode: pre-written 3–4 sentence prose paragraph per merchant. Live mode: Claude API call with merchant metadata. Prose only, no bullets. Format: (1) who the merchant is, (2) what was detected and why concerning, (3) what the pattern suggests.</w:t>
      </w:r>
    </w:p>
    <w:p>
      <w:pPr>
        <w:spacing w:before="240" w:after="80"/>
      </w:pPr>
      <w:r>
        <w:rPr>
          <w:rFonts w:ascii="Arial" w:cs="Arial" w:eastAsia="Arial" w:hAnsi="Arial"/>
          <w:b/>
          <w:bCs/>
          <w:color w:val="374151"/>
          <w:sz w:val="22"/>
          <w:szCs w:val="22"/>
        </w:rPr>
        <w:t xml:space="preserve">EverC Signals (4 rows)</w:t>
      </w:r>
    </w:p>
    <w:p>
      <w:pPr>
        <w:pStyle w:val="ListParagraph"/>
        <w:numPr>
          <w:ilvl w:val="0"/>
          <w:numId w:val="3"/>
        </w:numPr>
        <w:spacing w:before="0" w:after="80"/>
      </w:pPr>
      <w:r>
        <w:rPr>
          <w:rFonts w:ascii="Arial" w:cs="Arial" w:eastAsia="Arial" w:hAnsi="Arial"/>
          <w:b w:val="false"/>
          <w:bCs w:val="false"/>
          <w:color w:val="374151"/>
          <w:sz w:val="20"/>
          <w:szCs w:val="20"/>
        </w:rPr>
        <w:t xml:space="preserve">Domain age — plain value (e.g. "14 months").</w:t>
      </w:r>
    </w:p>
    <w:p>
      <w:pPr>
        <w:pStyle w:val="ListParagraph"/>
        <w:numPr>
          <w:ilvl w:val="0"/>
          <w:numId w:val="3"/>
        </w:numPr>
        <w:spacing w:before="0" w:after="80"/>
      </w:pPr>
      <w:r>
        <w:rPr>
          <w:rFonts w:ascii="Arial" w:cs="Arial" w:eastAsia="Arial" w:hAnsi="Arial"/>
          <w:b w:val="false"/>
          <w:bCs w:val="false"/>
          <w:color w:val="374151"/>
          <w:sz w:val="20"/>
          <w:szCs w:val="20"/>
        </w:rPr>
        <w:t xml:space="preserve">Risk graph — number of known network connections. Orange if any detected, green if clean.</w:t>
      </w:r>
    </w:p>
    <w:p>
      <w:pPr>
        <w:pStyle w:val="ListParagraph"/>
        <w:numPr>
          <w:ilvl w:val="0"/>
          <w:numId w:val="3"/>
        </w:numPr>
        <w:spacing w:before="0" w:after="80"/>
      </w:pPr>
      <w:r>
        <w:rPr>
          <w:rFonts w:ascii="Arial" w:cs="Arial" w:eastAsia="Arial" w:hAnsi="Arial"/>
          <w:b w:val="false"/>
          <w:bCs w:val="false"/>
          <w:color w:val="374151"/>
          <w:sz w:val="20"/>
          <w:szCs w:val="20"/>
        </w:rPr>
        <w:t xml:space="preserve">Traffic vs transaction — inconsistency flag. Orange warning if traffic/txn ratio is anomalous.</w:t>
      </w:r>
    </w:p>
    <w:p>
      <w:pPr>
        <w:pStyle w:val="ListParagraph"/>
        <w:numPr>
          <w:ilvl w:val="0"/>
          <w:numId w:val="3"/>
        </w:numPr>
        <w:spacing w:before="0" w:after="80"/>
      </w:pPr>
      <w:r>
        <w:rPr>
          <w:rFonts w:ascii="Arial" w:cs="Arial" w:eastAsia="Arial" w:hAnsi="Arial"/>
          <w:b w:val="false"/>
          <w:bCs w:val="false"/>
          <w:color w:val="374151"/>
          <w:sz w:val="20"/>
          <w:szCs w:val="20"/>
        </w:rPr>
        <w:t xml:space="preserve">Adverse media — consumer complaints or brand enforcement actions. Orange if present, green if none.</w:t>
      </w:r>
    </w:p>
    <w:p>
      <w:pPr>
        <w:spacing w:before="240" w:after="80"/>
      </w:pPr>
      <w:r>
        <w:rPr>
          <w:rFonts w:ascii="Arial" w:cs="Arial" w:eastAsia="Arial" w:hAnsi="Arial"/>
          <w:b/>
          <w:bCs/>
          <w:color w:val="374151"/>
          <w:sz w:val="22"/>
          <w:szCs w:val="22"/>
        </w:rPr>
        <w:t xml:space="preserve">Violation History Timeline</w:t>
      </w:r>
    </w:p>
    <w:p>
      <w:pPr>
        <w:pStyle w:val="ListParagraph"/>
        <w:numPr>
          <w:ilvl w:val="0"/>
          <w:numId w:val="3"/>
        </w:numPr>
        <w:spacing w:before="0" w:after="80"/>
      </w:pPr>
      <w:r>
        <w:rPr>
          <w:rFonts w:ascii="Arial" w:cs="Arial" w:eastAsia="Arial" w:hAnsi="Arial"/>
          <w:b w:val="false"/>
          <w:bCs w:val="false"/>
          <w:color w:val="374151"/>
          <w:sz w:val="20"/>
          <w:szCs w:val="20"/>
        </w:rPr>
        <w:t xml:space="preserve">Three dot types: green (clean scan), red (violation detected), blue with glow (current / NOW).</w:t>
      </w:r>
    </w:p>
    <w:p>
      <w:pPr>
        <w:pStyle w:val="ListParagraph"/>
        <w:numPr>
          <w:ilvl w:val="0"/>
          <w:numId w:val="3"/>
        </w:numPr>
        <w:spacing w:before="0" w:after="80"/>
      </w:pPr>
      <w:r>
        <w:rPr>
          <w:rFonts w:ascii="Arial" w:cs="Arial" w:eastAsia="Arial" w:hAnsi="Arial"/>
          <w:b w:val="false"/>
          <w:bCs w:val="false"/>
          <w:color w:val="374151"/>
          <w:sz w:val="20"/>
          <w:szCs w:val="20"/>
        </w:rPr>
        <w:t xml:space="preserve">Each entry: date, event description, detail note. "NOW" blue badge on the current entry.</w:t>
      </w:r>
    </w:p>
    <w:p>
      <w:pPr>
        <w:pStyle w:val="ListParagraph"/>
        <w:numPr>
          <w:ilvl w:val="0"/>
          <w:numId w:val="3"/>
        </w:numPr>
        <w:spacing w:before="0" w:after="80"/>
      </w:pPr>
      <w:r>
        <w:rPr>
          <w:rFonts w:ascii="Arial" w:cs="Arial" w:eastAsia="Arial" w:hAnsi="Arial"/>
          <w:b w:val="false"/>
          <w:bCs w:val="false"/>
          <w:color w:val="374151"/>
          <w:sz w:val="20"/>
          <w:szCs w:val="20"/>
        </w:rPr>
        <w:t xml:space="preserve">Pre-populated per merchant. Tells the full compliance story in chronological order.</w:t>
      </w:r>
    </w:p>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13.10 Right Column — Three Tabs</w:t>
      </w:r>
    </w:p>
    <w:p>
      <w:pPr>
        <w:spacing w:before="240" w:after="80"/>
      </w:pPr>
      <w:r>
        <w:rPr>
          <w:rFonts w:ascii="Arial" w:cs="Arial" w:eastAsia="Arial" w:hAnsi="Arial"/>
          <w:b/>
          <w:bCs/>
          <w:color w:val="374151"/>
          <w:sz w:val="22"/>
          <w:szCs w:val="22"/>
        </w:rPr>
        <w:t xml:space="preserve">Tab 1: Investigate</w:t>
      </w:r>
    </w:p>
    <w:p>
      <w:pPr>
        <w:pStyle w:val="ListParagraph"/>
        <w:numPr>
          <w:ilvl w:val="0"/>
          <w:numId w:val="3"/>
        </w:numPr>
        <w:spacing w:before="0" w:after="80"/>
      </w:pPr>
      <w:r>
        <w:rPr>
          <w:rFonts w:ascii="Arial" w:cs="Arial" w:eastAsia="Arial" w:hAnsi="Arial"/>
          <w:b w:val="false"/>
          <w:bCs w:val="false"/>
          <w:color w:val="374151"/>
          <w:sz w:val="20"/>
          <w:szCs w:val="20"/>
        </w:rPr>
        <w:t xml:space="preserve">Checklist header: "Verify internally" + teal "[Violation Group] template" pill — signals type-specific checklist, not generic.</w:t>
      </w:r>
    </w:p>
    <w:p>
      <w:pPr>
        <w:pStyle w:val="ListParagraph"/>
        <w:numPr>
          <w:ilvl w:val="0"/>
          <w:numId w:val="3"/>
        </w:numPr>
        <w:spacing w:before="0" w:after="80"/>
      </w:pPr>
      <w:r>
        <w:rPr>
          <w:rFonts w:ascii="Arial" w:cs="Arial" w:eastAsia="Arial" w:hAnsi="Arial"/>
          <w:b w:val="false"/>
          <w:bCs w:val="false"/>
          <w:color w:val="374151"/>
          <w:sz w:val="20"/>
          <w:szCs w:val="20"/>
        </w:rPr>
        <w:t xml:space="preserve">Progress bar: tracks completion in real time, fills green, shows N/total count.</w:t>
      </w:r>
    </w:p>
    <w:p>
      <w:pPr>
        <w:pStyle w:val="ListParagraph"/>
        <w:numPr>
          <w:ilvl w:val="0"/>
          <w:numId w:val="3"/>
        </w:numPr>
        <w:spacing w:before="0" w:after="80"/>
      </w:pPr>
      <w:r>
        <w:rPr>
          <w:rFonts w:ascii="Arial" w:cs="Arial" w:eastAsia="Arial" w:hAnsi="Arial"/>
          <w:b w:val="false"/>
          <w:bCs w:val="false"/>
          <w:color w:val="374151"/>
          <w:sz w:val="20"/>
          <w:szCs w:val="20"/>
        </w:rPr>
        <w:t xml:space="preserve">Checklist items: 3–4 per merchant. Each has verification task + "why" sub-note explaining the relevance. Clicking toggles checked/unchecked with green background and checkmark.</w:t>
      </w:r>
    </w:p>
    <w:p>
      <w:pPr>
        <w:pStyle w:val="ListParagraph"/>
        <w:numPr>
          <w:ilvl w:val="0"/>
          <w:numId w:val="3"/>
        </w:numPr>
        <w:spacing w:before="0" w:after="80"/>
      </w:pPr>
      <w:r>
        <w:rPr>
          <w:rFonts w:ascii="Arial" w:cs="Arial" w:eastAsia="Arial" w:hAnsi="Arial"/>
          <w:b w:val="false"/>
          <w:bCs w:val="false"/>
          <w:color w:val="374151"/>
          <w:sz w:val="20"/>
          <w:szCs w:val="20"/>
        </w:rPr>
        <w:t xml:space="preserve">Policy reference box: navy left border, AUP clause + policy text pre-loaded for the violation type.</w:t>
      </w:r>
    </w:p>
    <w:p>
      <w:pPr>
        <w:spacing w:before="240" w:after="80"/>
      </w:pPr>
      <w:r>
        <w:rPr>
          <w:rFonts w:ascii="Arial" w:cs="Arial" w:eastAsia="Arial" w:hAnsi="Arial"/>
          <w:b/>
          <w:bCs/>
          <w:color w:val="374151"/>
          <w:sz w:val="22"/>
          <w:szCs w:val="22"/>
        </w:rPr>
        <w:t xml:space="preserve">Tab 2: AI Insights</w:t>
      </w:r>
    </w:p>
    <w:p>
      <w:pPr>
        <w:pStyle w:val="ListParagraph"/>
        <w:numPr>
          <w:ilvl w:val="0"/>
          <w:numId w:val="3"/>
        </w:numPr>
        <w:spacing w:before="0" w:after="80"/>
      </w:pPr>
      <w:r>
        <w:rPr>
          <w:rFonts w:ascii="Arial" w:cs="Arial" w:eastAsia="Arial" w:hAnsi="Arial"/>
          <w:b w:val="false"/>
          <w:bCs w:val="false"/>
          <w:color w:val="374151"/>
          <w:sz w:val="20"/>
          <w:szCs w:val="20"/>
        </w:rPr>
        <w:t xml:space="preserve">4 insight bullets per merchant: plain-language interpretive statements covering pattern analysis, corroborating signals, history reading, and comparable case statistics (e.g. "68% of similar cases result in termination").</w:t>
      </w:r>
    </w:p>
    <w:p>
      <w:pPr>
        <w:pStyle w:val="ListParagraph"/>
        <w:numPr>
          <w:ilvl w:val="0"/>
          <w:numId w:val="3"/>
        </w:numPr>
        <w:spacing w:before="0" w:after="80"/>
      </w:pPr>
      <w:r>
        <w:rPr>
          <w:rFonts w:ascii="Arial" w:cs="Arial" w:eastAsia="Arial" w:hAnsi="Arial"/>
          <w:b w:val="false"/>
          <w:bCs w:val="false"/>
          <w:color w:val="374151"/>
          <w:sz w:val="20"/>
          <w:szCs w:val="20"/>
        </w:rPr>
        <w:t xml:space="preserve">Recommended action box (navy dark): specific action with AUP clause reference. Placed on a secondary tab deliberately — so the analyst reviews evidence before seeing the recommendation, preventing anchoring bias.</w:t>
      </w:r>
    </w:p>
    <w:p>
      <w:pPr>
        <w:spacing w:before="240" w:after="80"/>
      </w:pPr>
      <w:r>
        <w:rPr>
          <w:rFonts w:ascii="Arial" w:cs="Arial" w:eastAsia="Arial" w:hAnsi="Arial"/>
          <w:b/>
          <w:bCs/>
          <w:color w:val="374151"/>
          <w:sz w:val="22"/>
          <w:szCs w:val="22"/>
        </w:rPr>
        <w:t xml:space="preserve">Tab 3: Document</w:t>
      </w:r>
    </w:p>
    <w:p>
      <w:pPr>
        <w:pStyle w:val="ListParagraph"/>
        <w:numPr>
          <w:ilvl w:val="0"/>
          <w:numId w:val="3"/>
        </w:numPr>
        <w:spacing w:before="0" w:after="80"/>
      </w:pPr>
      <w:r>
        <w:rPr>
          <w:rFonts w:ascii="Arial" w:cs="Arial" w:eastAsia="Arial" w:hAnsi="Arial"/>
          <w:b w:val="false"/>
          <w:bCs w:val="false"/>
          <w:color w:val="374151"/>
          <w:sz w:val="20"/>
          <w:szCs w:val="20"/>
        </w:rPr>
        <w:t xml:space="preserve">Pre-drafted rationale textarea: pre-filled with "Merchant [URL] has been identified with [type] violations ([pattern]). [AI summary]. Based on [AUP clause] and investigation findings, recommended action: [recommendation]." Analyst edits before approving.</w:t>
      </w:r>
    </w:p>
    <w:p>
      <w:pPr>
        <w:pStyle w:val="ListParagraph"/>
        <w:numPr>
          <w:ilvl w:val="0"/>
          <w:numId w:val="3"/>
        </w:numPr>
        <w:spacing w:before="0" w:after="80"/>
      </w:pPr>
      <w:r>
        <w:rPr>
          <w:rFonts w:ascii="Arial" w:cs="Arial" w:eastAsia="Arial" w:hAnsi="Arial"/>
          <w:b w:val="false"/>
          <w:bCs w:val="false"/>
          <w:color w:val="374151"/>
          <w:sz w:val="20"/>
          <w:szCs w:val="20"/>
        </w:rPr>
        <w:t xml:space="preserve">"Approve &amp; close case ✓" button: teal, full-width. Shows confirmation alert simulating audit trail write. In production: would update merchant record and trigger notifications.</w:t>
      </w:r>
    </w:p>
    <w:p>
      <w:pPr>
        <w:pStyle w:val="ListParagraph"/>
        <w:numPr>
          <w:ilvl w:val="0"/>
          <w:numId w:val="3"/>
        </w:numPr>
        <w:spacing w:before="0" w:after="80"/>
      </w:pPr>
      <w:r>
        <w:rPr>
          <w:rFonts w:ascii="Arial" w:cs="Arial" w:eastAsia="Arial" w:hAnsi="Arial"/>
          <w:b w:val="false"/>
          <w:bCs w:val="false"/>
          <w:color w:val="374151"/>
          <w:sz w:val="20"/>
          <w:szCs w:val="20"/>
        </w:rPr>
        <w:t xml:space="preserve">Time saved banner: green. "Case time with Co-Pilot: 8–12 min" + "Context loaded once for all [Group] alerts in this batch." The closer — last thing seen before closing the case.</w:t>
      </w:r>
    </w:p>
    <w:p>
      <w:pPr>
        <w:pStyle w:val="ListParagraph"/>
        <w:numPr>
          <w:ilvl w:val="0"/>
          <w:numId w:val="3"/>
        </w:numPr>
        <w:spacing w:before="0" w:after="80"/>
      </w:pPr>
      <w:r>
        <w:rPr>
          <w:rFonts w:ascii="Arial" w:cs="Arial" w:eastAsia="Arial" w:hAnsi="Arial"/>
          <w:b w:val="false"/>
          <w:bCs w:val="false"/>
          <w:color w:val="374151"/>
          <w:sz w:val="20"/>
          <w:szCs w:val="20"/>
        </w:rPr>
        <w:t xml:space="preserve">"Powered by Claude API" footer with blinking teal dot. Shows timestamp in live mode.</w:t>
      </w:r>
    </w:p>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13.11 The Six Pre-Loaded Merchants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00"/>
        <w:gridCol w:w="1200"/>
        <w:gridCol w:w="800"/>
        <w:gridCol w:w="1100"/>
        <w:gridCol w:w="4760"/>
      </w:tblGrid>
      <w:tr>
        <w:tc>
          <w:tcPr>
            <w:tcW w:type="dxa" w:w="15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Merchant</w:t>
            </w:r>
          </w:p>
        </w:tc>
        <w:tc>
          <w:tcPr>
            <w:tcW w:type="dxa" w:w="12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Type</w:t>
            </w:r>
          </w:p>
        </w:tc>
        <w:tc>
          <w:tcPr>
            <w:tcW w:type="dxa" w:w="8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Severity</w:t>
            </w:r>
          </w:p>
        </w:tc>
        <w:tc>
          <w:tcPr>
            <w:tcW w:type="dxa" w:w="110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Pattern</w:t>
            </w:r>
          </w:p>
        </w:tc>
        <w:tc>
          <w:tcPr>
            <w:tcW w:type="dxa" w:w="4760"/>
            <w:tcBorders>
              <w:top w:val="none" w:color="FFFFFF" w:sz="0"/>
              <w:left w:val="none" w:color="FFFFFF" w:sz="0"/>
              <w:bottom w:val="none" w:color="FFFFFF" w:sz="0"/>
              <w:right w:val="none" w:color="FFFFFF" w:sz="0"/>
            </w:tcBorders>
            <w:shd w:fill="1E1B4B" w:val="clear"/>
            <w:tcMar>
              <w:top w:type="dxa" w:w="80"/>
              <w:left w:type="dxa" w:w="140"/>
              <w:bottom w:type="dxa" w:w="80"/>
              <w:right w:type="dxa" w:w="140"/>
            </w:tcMar>
            <w:vAlign w:val="top"/>
          </w:tcPr>
          <w:p>
            <w:pPr>
              <w:spacing w:before="0" w:after="120"/>
              <w:jc w:val="left"/>
            </w:pPr>
            <w:r>
              <w:rPr>
                <w:rFonts w:ascii="Arial" w:cs="Arial" w:eastAsia="Arial" w:hAnsi="Arial"/>
                <w:b/>
                <w:bCs/>
                <w:color w:val="FFFFFF"/>
                <w:sz w:val="18"/>
                <w:szCs w:val="18"/>
              </w:rPr>
              <w:t xml:space="preserve">Expected decision</w:t>
            </w:r>
          </w:p>
        </w:tc>
      </w:tr>
      <w:tr>
        <w:tc>
          <w:tcPr>
            <w:tcW w:type="dxa" w:w="15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7"/>
                <w:szCs w:val="17"/>
              </w:rPr>
              <w:t xml:space="preserve">betwin365.com</w:t>
            </w:r>
          </w:p>
        </w:tc>
        <w:tc>
          <w:tcPr>
            <w:tcW w:type="dxa" w:w="12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5B21B6"/>
                <w:sz w:val="17"/>
                <w:szCs w:val="17"/>
              </w:rPr>
              <w:t xml:space="preserve">Gambling</w:t>
            </w:r>
          </w:p>
        </w:tc>
        <w:tc>
          <w:tcPr>
            <w:tcW w:type="dxa" w:w="8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D97706"/>
                <w:sz w:val="17"/>
                <w:szCs w:val="17"/>
              </w:rPr>
              <w:t xml:space="preserve">HIGH</w:t>
            </w:r>
          </w:p>
        </w:tc>
        <w:tc>
          <w:tcPr>
            <w:tcW w:type="dxa" w:w="11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374151"/>
                <w:sz w:val="17"/>
                <w:szCs w:val="17"/>
              </w:rPr>
              <w:t xml:space="preserve">Escalating</w:t>
            </w:r>
          </w:p>
        </w:tc>
        <w:tc>
          <w:tcPr>
            <w:tcW w:type="dxa" w:w="476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7"/>
                <w:szCs w:val="17"/>
              </w:rPr>
              <w:t xml:space="preserve">Terminate (68% of similar)</w:t>
            </w:r>
          </w:p>
        </w:tc>
      </w:tr>
      <w:tr>
        <w:tc>
          <w:tcPr>
            <w:tcW w:type="dxa" w:w="15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7"/>
                <w:szCs w:val="17"/>
              </w:rPr>
              <w:t xml:space="preserve">jackpotstore.io</w:t>
            </w:r>
          </w:p>
        </w:tc>
        <w:tc>
          <w:tcPr>
            <w:tcW w:type="dxa" w:w="12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5B21B6"/>
                <w:sz w:val="17"/>
                <w:szCs w:val="17"/>
              </w:rPr>
              <w:t xml:space="preserve">Gambling</w:t>
            </w:r>
          </w:p>
        </w:tc>
        <w:tc>
          <w:tcPr>
            <w:tcW w:type="dxa" w:w="8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4B5563"/>
                <w:sz w:val="17"/>
                <w:szCs w:val="17"/>
              </w:rPr>
              <w:t xml:space="preserve">MEDIUM</w:t>
            </w:r>
          </w:p>
        </w:tc>
        <w:tc>
          <w:tcPr>
            <w:tcW w:type="dxa" w:w="11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374151"/>
                <w:sz w:val="17"/>
                <w:szCs w:val="17"/>
              </w:rPr>
              <w:t xml:space="preserve">First occurrence</w:t>
            </w:r>
          </w:p>
        </w:tc>
        <w:tc>
          <w:tcPr>
            <w:tcW w:type="dxa" w:w="476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4B5563"/>
                <w:sz w:val="17"/>
                <w:szCs w:val="17"/>
              </w:rPr>
              <w:t xml:space="preserve">Engage (58% resolve via outreach)</w:t>
            </w:r>
          </w:p>
        </w:tc>
      </w:tr>
      <w:tr>
        <w:tc>
          <w:tcPr>
            <w:tcW w:type="dxa" w:w="15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7"/>
                <w:szCs w:val="17"/>
              </w:rPr>
              <w:t xml:space="preserve">pharmadir.com</w:t>
            </w:r>
          </w:p>
        </w:tc>
        <w:tc>
          <w:tcPr>
            <w:tcW w:type="dxa" w:w="12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5B21B6"/>
                <w:sz w:val="17"/>
                <w:szCs w:val="17"/>
              </w:rPr>
              <w:t xml:space="preserve">Prescription</w:t>
            </w:r>
          </w:p>
        </w:tc>
        <w:tc>
          <w:tcPr>
            <w:tcW w:type="dxa" w:w="8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DC2626"/>
                <w:sz w:val="17"/>
                <w:szCs w:val="17"/>
              </w:rPr>
              <w:t xml:space="preserve">CRITICAL</w:t>
            </w:r>
          </w:p>
        </w:tc>
        <w:tc>
          <w:tcPr>
            <w:tcW w:type="dxa" w:w="11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374151"/>
                <w:sz w:val="17"/>
                <w:szCs w:val="17"/>
              </w:rPr>
              <w:t xml:space="preserve">Recurring</w:t>
            </w:r>
          </w:p>
        </w:tc>
        <w:tc>
          <w:tcPr>
            <w:tcW w:type="dxa" w:w="476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7"/>
                <w:szCs w:val="17"/>
              </w:rPr>
              <w:t xml:space="preserve">Terminate (74% of bad-faith recurring)</w:t>
            </w:r>
          </w:p>
        </w:tc>
      </w:tr>
      <w:tr>
        <w:tc>
          <w:tcPr>
            <w:tcW w:type="dxa" w:w="15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7"/>
                <w:szCs w:val="17"/>
              </w:rPr>
              <w:t xml:space="preserve">cleanmeds.co</w:t>
            </w:r>
          </w:p>
        </w:tc>
        <w:tc>
          <w:tcPr>
            <w:tcW w:type="dxa" w:w="12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5B21B6"/>
                <w:sz w:val="17"/>
                <w:szCs w:val="17"/>
              </w:rPr>
              <w:t xml:space="preserve">Prescription</w:t>
            </w:r>
          </w:p>
        </w:tc>
        <w:tc>
          <w:tcPr>
            <w:tcW w:type="dxa" w:w="8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4B5563"/>
                <w:sz w:val="17"/>
                <w:szCs w:val="17"/>
              </w:rPr>
              <w:t xml:space="preserve">MEDIUM</w:t>
            </w:r>
          </w:p>
        </w:tc>
        <w:tc>
          <w:tcPr>
            <w:tcW w:type="dxa" w:w="11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374151"/>
                <w:sz w:val="17"/>
                <w:szCs w:val="17"/>
              </w:rPr>
              <w:t xml:space="preserve">First occurrence</w:t>
            </w:r>
          </w:p>
        </w:tc>
        <w:tc>
          <w:tcPr>
            <w:tcW w:type="dxa" w:w="476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4B5563"/>
                <w:sz w:val="17"/>
                <w:szCs w:val="17"/>
              </w:rPr>
              <w:t xml:space="preserve">Engage (72% of low-risk first cases)</w:t>
            </w:r>
          </w:p>
        </w:tc>
      </w:tr>
      <w:tr>
        <w:tc>
          <w:tcPr>
            <w:tcW w:type="dxa" w:w="15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7"/>
                <w:szCs w:val="17"/>
              </w:rPr>
              <w:t xml:space="preserve">luxreplica.co</w:t>
            </w:r>
          </w:p>
        </w:tc>
        <w:tc>
          <w:tcPr>
            <w:tcW w:type="dxa" w:w="12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5B21B6"/>
                <w:sz w:val="17"/>
                <w:szCs w:val="17"/>
              </w:rPr>
              <w:t xml:space="preserve">Counterfeit</w:t>
            </w:r>
          </w:p>
        </w:tc>
        <w:tc>
          <w:tcPr>
            <w:tcW w:type="dxa" w:w="8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b/>
                <w:bCs/>
                <w:color w:val="DC2626"/>
                <w:sz w:val="17"/>
                <w:szCs w:val="17"/>
              </w:rPr>
              <w:t xml:space="preserve">CRITICAL</w:t>
            </w:r>
          </w:p>
        </w:tc>
        <w:tc>
          <w:tcPr>
            <w:tcW w:type="dxa" w:w="110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374151"/>
                <w:sz w:val="17"/>
                <w:szCs w:val="17"/>
              </w:rPr>
              <w:t xml:space="preserve">New + enforcement</w:t>
            </w:r>
          </w:p>
        </w:tc>
        <w:tc>
          <w:tcPr>
            <w:tcW w:type="dxa" w:w="4760"/>
            <w:tcBorders>
              <w:top w:val="single" w:color="E5E7EB" w:sz="1"/>
              <w:left w:val="none" w:color="FFFFFF" w:sz="0"/>
              <w:bottom w:val="single" w:color="E5E7EB" w:sz="1"/>
              <w:right w:val="none" w:color="FFFFFF" w:sz="0"/>
            </w:tcBorders>
            <w:shd w:fill="F9FAFB" w:val="clear"/>
            <w:tcMar>
              <w:top w:type="dxa" w:w="80"/>
              <w:left w:type="dxa" w:w="140"/>
              <w:bottom w:type="dxa" w:w="80"/>
              <w:right w:type="dxa" w:w="140"/>
            </w:tcMar>
            <w:vAlign w:val="top"/>
          </w:tcPr>
          <w:p>
            <w:pPr>
              <w:spacing w:before="0" w:after="120"/>
              <w:jc w:val="left"/>
            </w:pPr>
            <w:r>
              <w:rPr>
                <w:rFonts w:ascii="Arial" w:cs="Arial" w:eastAsia="Arial" w:hAnsi="Arial"/>
                <w:color w:val="4B5563"/>
                <w:sz w:val="17"/>
                <w:szCs w:val="17"/>
              </w:rPr>
              <w:t xml:space="preserve">Terminate immediately (91% with brand enforcement)</w:t>
            </w:r>
          </w:p>
        </w:tc>
      </w:tr>
      <w:tr>
        <w:tc>
          <w:tcPr>
            <w:tcW w:type="dxa" w:w="15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374151"/>
                <w:sz w:val="17"/>
                <w:szCs w:val="17"/>
              </w:rPr>
              <w:t xml:space="preserve">sportzgear.com</w:t>
            </w:r>
          </w:p>
        </w:tc>
        <w:tc>
          <w:tcPr>
            <w:tcW w:type="dxa" w:w="12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5B21B6"/>
                <w:sz w:val="17"/>
                <w:szCs w:val="17"/>
              </w:rPr>
              <w:t xml:space="preserve">Counterfeit</w:t>
            </w:r>
          </w:p>
        </w:tc>
        <w:tc>
          <w:tcPr>
            <w:tcW w:type="dxa" w:w="8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b/>
                <w:bCs/>
                <w:color w:val="D97706"/>
                <w:sz w:val="17"/>
                <w:szCs w:val="17"/>
              </w:rPr>
              <w:t xml:space="preserve">HIGH</w:t>
            </w:r>
          </w:p>
        </w:tc>
        <w:tc>
          <w:tcPr>
            <w:tcW w:type="dxa" w:w="110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374151"/>
                <w:sz w:val="17"/>
                <w:szCs w:val="17"/>
              </w:rPr>
              <w:t xml:space="preserve">Escalating</w:t>
            </w:r>
          </w:p>
        </w:tc>
        <w:tc>
          <w:tcPr>
            <w:tcW w:type="dxa" w:w="4760"/>
            <w:tcBorders>
              <w:top w:val="single" w:color="E5E7EB" w:sz="1"/>
              <w:left w:val="none" w:color="FFFFFF" w:sz="0"/>
              <w:bottom w:val="single" w:color="E5E7EB" w:sz="1"/>
              <w:right w:val="none" w:color="FFFFFF" w:sz="0"/>
            </w:tcBorders>
            <w:shd w:fill="FFFFFF" w:val="clear"/>
            <w:tcMar>
              <w:top w:type="dxa" w:w="80"/>
              <w:left w:type="dxa" w:w="140"/>
              <w:bottom w:type="dxa" w:w="80"/>
              <w:right w:type="dxa" w:w="140"/>
            </w:tcMar>
            <w:vAlign w:val="top"/>
          </w:tcPr>
          <w:p>
            <w:pPr>
              <w:spacing w:before="0" w:after="120"/>
              <w:jc w:val="left"/>
            </w:pPr>
            <w:r>
              <w:rPr>
                <w:rFonts w:ascii="Arial" w:cs="Arial" w:eastAsia="Arial" w:hAnsi="Arial"/>
                <w:color w:val="4B5563"/>
                <w:sz w:val="17"/>
                <w:szCs w:val="17"/>
              </w:rPr>
              <w:t xml:space="preserve">Terminate (62% with post-warning expansion)</w:t>
            </w:r>
          </w:p>
        </w:tc>
      </w:tr>
    </w:tbl>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13.12 Per-Merchant Data Fields</w:t>
      </w:r>
    </w:p>
    <w:p>
      <w:pPr>
        <w:spacing w:before="0" w:after="120"/>
        <w:jc w:val="left"/>
      </w:pPr>
      <w:r>
        <w:rPr>
          <w:rFonts w:ascii="Arial" w:cs="Arial" w:eastAsia="Arial" w:hAnsi="Arial"/>
          <w:color w:val="374151"/>
          <w:sz w:val="20"/>
          <w:szCs w:val="20"/>
        </w:rPr>
        <w:t xml:space="preserve">Each merchant object contains: id (unique key), url (domain), declared (claimed business type at onboarding), months (portfolio tenure), compassScore (38–88 composite), severity (critical/high/medium), violationType (gambling/prescription/counterfeit), violationGroup (display label), aupClause (specific policy section), patternType (first/escalating/recurring/new), patternLabel (full display string), everc ({domainAge, graphLinks, traffic, adverseMedia}), timeline (array of {type, date, event, detail}), checklist (array of {text, why}), outcomes ({terminate%, engage%, accept%}), insights (array of 4 strings), recommendation (single sentence), policy (AUP clause text).</w:t>
      </w:r>
    </w:p>
    <w:p>
      <w:pPr>
        <w:spacing w:before="0" w:after="60"/>
        <w:jc w:val="left"/>
      </w:pPr>
      <w:r>
        <w:rPr>
          <w:rFonts w:ascii="Arial" w:cs="Arial" w:eastAsia="Arial" w:hAnsi="Arial"/>
          <w:color w:val="374151"/>
          <w:sz w:val="20"/>
          <w:szCs w:val="20"/>
        </w:rPr>
        <w:t xml:space="preserve"/>
      </w:r>
    </w:p>
    <w:p>
      <w:pPr>
        <w:spacing w:before="360" w:after="120"/>
      </w:pPr>
      <w:r>
        <w:rPr>
          <w:rFonts w:ascii="Arial" w:cs="Arial" w:eastAsia="Arial" w:hAnsi="Arial"/>
          <w:b/>
          <w:bCs/>
          <w:color w:val="5B21B6"/>
          <w:sz w:val="28"/>
          <w:szCs w:val="28"/>
        </w:rPr>
        <w:t xml:space="preserve">13.13 AI Integration — Live Mode</w:t>
      </w:r>
    </w:p>
    <w:p>
      <w:pPr>
        <w:pBdr>
          <w:left w:val="single" w:color="0D9488" w:sz="18" w:space="8"/>
        </w:pBdr>
        <w:shd w:fill="F0FDF9" w:val="clear"/>
        <w:spacing w:before="120" w:after="120"/>
        <w:ind w:left="200" w:right="200"/>
      </w:pPr>
      <w:r>
        <w:rPr>
          <w:rFonts w:ascii="Arial" w:cs="Arial" w:eastAsia="Arial" w:hAnsi="Arial"/>
          <w:color w:val="0D9488"/>
          <w:sz w:val="20"/>
          <w:szCs w:val="20"/>
        </w:rPr>
        <w:t xml:space="preserve">Calls Anthropic /v1/messages directly from the browser using the "anthropic-dangerous-direct-browser-access" header. Model: claude-sonnet-4-20250514. Max tokens: 600. Key passed in x-api-key header. No backend, no proxy. Safe for demo purposes only. In production: server-side call.</w:t>
      </w:r>
    </w:p>
    <w:p>
      <w:pPr>
        <w:pStyle w:val="ListParagraph"/>
        <w:numPr>
          <w:ilvl w:val="0"/>
          <w:numId w:val="3"/>
        </w:numPr>
        <w:spacing w:before="0" w:after="80"/>
      </w:pPr>
      <w:r>
        <w:rPr>
          <w:rFonts w:ascii="Arial" w:cs="Arial" w:eastAsia="Arial" w:hAnsi="Arial"/>
          <w:b w:val="false"/>
          <w:bCs w:val="false"/>
          <w:color w:val="374151"/>
          <w:sz w:val="20"/>
          <w:szCs w:val="20"/>
        </w:rPr>
        <w:t xml:space="preserve">Case summary call: prompt includes merchant URL, declared business, months, Compass Score, violation type, pattern type. Instructs: 2–3 sentence plain prose. (1) who merchant is, (2) what detected and why, (3) what pattern suggests. No bullets.</w:t>
      </w:r>
    </w:p>
    <w:p>
      <w:pPr>
        <w:pStyle w:val="ListParagraph"/>
        <w:numPr>
          <w:ilvl w:val="0"/>
          <w:numId w:val="3"/>
        </w:numPr>
        <w:spacing w:before="0" w:after="80"/>
      </w:pPr>
      <w:r>
        <w:rPr>
          <w:rFonts w:ascii="Arial" w:cs="Arial" w:eastAsia="Arial" w:hAnsi="Arial"/>
          <w:b w:val="false"/>
          <w:bCs w:val="false"/>
          <w:color w:val="374151"/>
          <w:sz w:val="20"/>
          <w:szCs w:val="20"/>
        </w:rPr>
        <w:t xml:space="preserve">URL analysis call: asks Claude to generate a fictional merchant profile as JSON: {declared, violationType, severity, patternType, summary, checklistItems, recommendation}. First {...} match extracted from response to handle surrounding text.</w:t>
      </w:r>
    </w:p>
    <w:p>
      <w:pPr>
        <w:pStyle w:val="ListParagraph"/>
        <w:numPr>
          <w:ilvl w:val="0"/>
          <w:numId w:val="3"/>
        </w:numPr>
        <w:spacing w:before="0" w:after="80"/>
      </w:pPr>
      <w:r>
        <w:rPr>
          <w:rFonts w:ascii="Arial" w:cs="Arial" w:eastAsia="Arial" w:hAnsi="Arial"/>
          <w:b w:val="false"/>
          <w:bCs w:val="false"/>
          <w:color w:val="374151"/>
          <w:sz w:val="20"/>
          <w:szCs w:val="20"/>
        </w:rPr>
        <w:t xml:space="preserve">Fallback: any API error silently falls back to pre-loaded demoSummaries string. Demo never breaks.</w:t>
      </w:r>
    </w:p>
    <w:p>
      <w:pPr>
        <w:spacing w:before="0" w:after="60"/>
        <w:jc w:val="left"/>
      </w:pPr>
      <w:r>
        <w:rPr>
          <w:rFonts w:ascii="Arial" w:cs="Arial" w:eastAsia="Arial" w:hAnsi="Arial"/>
          <w:color w:val="374151"/>
          <w:sz w:val="20"/>
          <w:szCs w:val="20"/>
        </w:rPr>
        <w:t xml:space="preserve"/>
      </w:r>
    </w:p>
    <w:p>
      <w:pPr>
        <w:pBdr>
          <w:bottom w:val="single" w:color="E5E7EB" w:sz="2" w:space="1"/>
        </w:pBdr>
        <w:spacing w:before="80" w:after="80"/>
      </w:pPr>
    </w:p>
    <w:p>
      <w:pPr>
        <w:spacing w:before="0" w:after="120"/>
        <w:jc w:val="center"/>
      </w:pPr>
      <w:r>
        <w:rPr>
          <w:rFonts w:ascii="Arial" w:cs="Arial" w:eastAsia="Arial" w:hAnsi="Arial"/>
          <w:i/>
          <w:iCs/>
          <w:color w:val="9CA3AF"/>
          <w:sz w:val="16"/>
          <w:szCs w:val="16"/>
        </w:rPr>
        <w:t xml:space="preserve">Document prepared as part of G2RS Senior PM Case Interview preparation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spacing w:before="60" w:after="0"/>
      <w:jc w:val="right"/>
    </w:pPr>
    <w:r>
      <w:rPr>
        <w:rFonts w:ascii="Arial" w:cs="Arial" w:eastAsia="Arial" w:hAnsi="Arial"/>
        <w:color w:val="9CA3AF"/>
        <w:sz w:val="16"/>
        <w:szCs w:val="16"/>
      </w:rPr>
      <w:t xml:space="preserve">Confidential · March 2026 ·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E1B4B" w:val="clear"/>
          <w:tcMar>
            <w:top w:type="dxa" w:w="80"/>
            <w:left w:type="dxa" w:w="160"/>
            <w:bottom w:type="dxa" w:w="80"/>
            <w:right w:type="dxa" w:w="140"/>
          </w:tcMar>
          <w:vAlign w:val="top"/>
        </w:tcPr>
        <w:p>
          <w:pPr>
            <w:spacing w:before="0" w:after="120"/>
            <w:jc w:val="left"/>
          </w:pPr>
          <w:r>
            <w:rPr>
              <w:rFonts w:ascii="Arial" w:cs="Arial" w:eastAsia="Arial" w:hAnsi="Arial"/>
              <w:b/>
              <w:bCs/>
              <w:color w:val="FFFFFF"/>
              <w:sz w:val="18"/>
              <w:szCs w:val="18"/>
            </w:rPr>
            <w:t xml:space="preserve">G2RS · Merchant Risk Co-Pilot</w:t>
          </w:r>
        </w:p>
      </w:tc>
      <w:tc>
        <w:tcPr>
          <w:tcW w:type="dxa" w:w="3360"/>
          <w:tcBorders>
            <w:top w:val="none" w:color="FFFFFF" w:sz="0"/>
            <w:left w:val="none" w:color="FFFFFF" w:sz="0"/>
            <w:bottom w:val="none" w:color="FFFFFF" w:sz="0"/>
            <w:right w:val="none" w:color="FFFFFF" w:sz="0"/>
          </w:tcBorders>
          <w:shd w:fill="1E1B4B" w:val="clear"/>
          <w:tcMar>
            <w:top w:type="dxa" w:w="80"/>
            <w:left w:type="dxa" w:w="140"/>
            <w:bottom w:type="dxa" w:w="80"/>
            <w:right w:type="dxa" w:w="160"/>
          </w:tcMar>
          <w:vAlign w:val="top"/>
        </w:tcPr>
        <w:p>
          <w:pPr>
            <w:spacing w:before="0" w:after="120"/>
            <w:jc w:val="right"/>
          </w:pPr>
          <w:r>
            <w:rPr>
              <w:rFonts w:ascii="Arial" w:cs="Arial" w:eastAsia="Arial" w:hAnsi="Arial"/>
              <w:i/>
              <w:iCs/>
              <w:color w:val="B0B8D0"/>
              <w:sz w:val="16"/>
              <w:szCs w:val="16"/>
            </w:rPr>
            <w:t xml:space="preserve">Senior PM Case Interview — Process Document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8B5CF6"/>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2026-03-17T21:43:08.018Z</dcterms:created>
  <dcterms:modified xsi:type="dcterms:W3CDTF">2026-03-17T21:43:08.019Z</dcterms:modified>
</cp:coreProperties>
</file>

<file path=docProps/custom.xml><?xml version="1.0" encoding="utf-8"?>
<Properties xmlns="http://schemas.openxmlformats.org/officeDocument/2006/custom-properties" xmlns:vt="http://schemas.openxmlformats.org/officeDocument/2006/docPropsVTypes"/>
</file>