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p7xw75ef2z9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modelsociety.com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6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495"/>
        <w:gridCol w:w="3495"/>
        <w:gridCol w:w="1545"/>
        <w:gridCol w:w="5310"/>
        <w:tblGridChange w:id="0">
          <w:tblGrid>
            <w:gridCol w:w="1800"/>
            <w:gridCol w:w="3495"/>
            <w:gridCol w:w="3495"/>
            <w:gridCol w:w="1545"/>
            <w:gridCol w:w="5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modelsocietyweb-prod.azurewebsites.net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domain record. CloudFlare CNAME flattening.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Don’t use A record since it points to a specific IP, which may change during AppService scale up/down.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acdkim1._domainkey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dkim.acdkim1.acems1.com.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ActiveCampaign. DKIM record user for email authentication.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acdkim2._domainkey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dkim.acdkim2.acems1.com.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autodiscover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autodiscover.outlook.com.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 Office 365. GoDaddy email server.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em-753054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cmd.emsend1.com.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ActiveCampaign. Not sure what for.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f9f3fd0adf87dcedf38faa8a28312f2a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verify.bing.com.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Bing ownership verification.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lyncdiscover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webdir.online.lync.com.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 Office 365.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clientconfig.microsoftonline-p.net.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 Office 365.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mte1._domainkey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dkim1.mandrillapp.com.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½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Mandrill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mte2._domainkey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dkim2.mandrillapp.com.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½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Mandrill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sipdir.online.lync.com.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 Office 365.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www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modelsocietyweb-prod.azurewebsites.net.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_domainconnect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_domainconnect.gd.domaincontrol.com.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GoDaddy Domain Connect protocol.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modelsociety-com.mail.protection.outlook.com. (Priority: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 Office 365. Domain email.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google-site-verification=_rJnyR-_ZDU-2MzUtiYkOUmkxILZIuJtpAd-jTpRe5Q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Google ownership verification.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MS=ms81935513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 Office 365. Ownership verification.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v=spf1 include:secureserver.net -all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SPF record for email authentication. Do we need to add other services to the record? Active Campaing and Mandrill?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https://www.activecampaign.com/learn/guides/understanding-spf-and-how-it-impacts-email-deliverability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7285718C100BBFA6A473E69EBBE32C06EA3EDCE9FA7E37C2AAF046CB4C4ADA5D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AppService custom domain ownership validation.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asuid.www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7285718C100BBFA6A473E69EBBE32C06EA3EDCE9FA7E37C2AAF046CB4C4ADA5D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Azure AppService custom domain ownership validation.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key1._domainkey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v=DKIM1; k=rsa; p=MIGfMA0GCSqGSIb3DQEBAQUAA4GNADCBiQKBgQDTamFsHVRTL9Ag7jgUEY44cDuOJ4jmGf86rAzZGjlVyu4zefNFwudOhqfOnFLvS4dvtKWxsXg9xZWtd/ieM6sYSbKFCJSu0AWNotpNdPdGmqlndrLk4ZSOSeiRgwknKd1THQdP79auXzogWkKxLnj8G/nDuodHM/cpPlb4MYZOCwIDAQAB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DKIM, but not sure for which provider.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mandrill._domainkey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v=DKIM1; k=rsa; p=MIGfMA0GCSqGSIb3DQEBAQUAA4GNADCBiQKBgQCrLHiExVd55zd/IQ/J/mRwSRMAocV/hMB3jXwaHH36d9NaVynQFYV8NaWi69c1veUtRzGt7yAioXqLj7Z4TeEUoOLgrKsn8YnckGs9i3B3tVFB+Ch/4mPhXWiNfNdynHWBcPcbJ8kjEQ2U8y78dHZj1YeRXXVvWob2OaKynO8/lQIDAQAB;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Mandrill DKIM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_dmarc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v=DMARC1;p=none;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 sec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DMARC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_sip._tls.@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1 443 sipdir.online.lync.com.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 Office 365.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_sipfederationtls._tcp.@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1 5061 sipfed.online.lync.com.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MS Office 365.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ns05.domaincontrol.com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ns06.domaincontrol.com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SOA: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@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Primary nameserver: ns05.domaincontrol.com.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qilgu37efspk" w:id="1"/>
      <w:bookmarkEnd w:id="1"/>
      <w:r w:rsidDel="00000000" w:rsidR="00000000" w:rsidRPr="00000000">
        <w:rPr>
          <w:rtl w:val="0"/>
        </w:rPr>
        <w:t xml:space="preserve">Obsolete entries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Storing entry info before deleting, just in case: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355"/>
        <w:gridCol w:w="3750"/>
        <w:gridCol w:w="1500"/>
        <w:gridCol w:w="5160"/>
        <w:tblGridChange w:id="0">
          <w:tblGrid>
            <w:gridCol w:w="1695"/>
            <w:gridCol w:w="2355"/>
            <w:gridCol w:w="3750"/>
            <w:gridCol w:w="1500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64.31.1.250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 CMS. IP - should be old server.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meteor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104.131.99.128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Some old React prototype.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64.31.1.252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Probably it was mirror instance on old hosting.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64.31.1.250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modelsociety.com.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modelsociety.com.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modelsociety.com.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asuid.stage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7285718C100BBFA6A473E69EBBE32C06EA3EDCE9FA7E37C2AAF046CB4C4ADA5D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Looks like it is authentication entry for stage.modelscoiety.com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o1.email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50.31.55.3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SendGrid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pop.secureserver.net.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secureserver.net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smtpapi._domainkey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dkim.sendgrid.net.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SendGrid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smtpapi._domainkey.email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dkim.sendgrid.net.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SendGrid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64.31.1.250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to old server.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whitelabel.woobox.com.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WooBox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email.secureserver.net.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secureserver.net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odelsociety.com" TargetMode="External"/><Relationship Id="rId7" Type="http://schemas.openxmlformats.org/officeDocument/2006/relationships/hyperlink" Target="https://www.activecampaign.com/learn/guides/understanding-spf-and-how-it-impacts-email-delivera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