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6"/>
          <w:tab w:val="right" w:leader="none" w:pos="9356"/>
        </w:tabs>
        <w:spacing w:after="24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THE 8</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INTERNATIONAL SYMPOSIUM OF PUBLIC HEALTH 2024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6"/>
          <w:tab w:val="right" w:leader="none" w:pos="9356"/>
        </w:tabs>
        <w:spacing w:after="24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TITLE MAX. 20 WORDS, 14</w:t>
      </w:r>
      <w:r w:rsidDel="00000000" w:rsidR="00000000" w:rsidRPr="00000000">
        <w:rPr>
          <w:b w:val="1"/>
          <w:sz w:val="28"/>
          <w:szCs w:val="28"/>
          <w:vertAlign w:val="superscript"/>
          <w:rtl w:val="0"/>
        </w:rPr>
        <w:t xml:space="preserve">pt</w:t>
      </w:r>
      <w:r w:rsidDel="00000000" w:rsidR="00000000" w:rsidRPr="00000000">
        <w:rPr>
          <w:b w:val="1"/>
          <w:sz w:val="28"/>
          <w:szCs w:val="28"/>
          <w:rtl w:val="0"/>
        </w:rPr>
        <w:t xml:space="preserve"> BOLD, CAPITAL, </w:t>
      </w:r>
    </w:p>
    <w:p w:rsidR="00000000" w:rsidDel="00000000" w:rsidP="00000000" w:rsidRDefault="00000000" w:rsidRPr="00000000" w14:paraId="00000004">
      <w:pPr>
        <w:jc w:val="center"/>
        <w:rPr>
          <w:b w:val="1"/>
          <w:sz w:val="28"/>
          <w:szCs w:val="28"/>
        </w:rPr>
      </w:pPr>
      <w:bookmarkStart w:colFirst="0" w:colLast="0" w:name="_heading=h.gjdgxs" w:id="0"/>
      <w:bookmarkEnd w:id="0"/>
      <w:r w:rsidDel="00000000" w:rsidR="00000000" w:rsidRPr="00000000">
        <w:rPr>
          <w:b w:val="1"/>
          <w:sz w:val="28"/>
          <w:szCs w:val="28"/>
          <w:rtl w:val="0"/>
        </w:rPr>
        <w:t xml:space="preserve">CENTER, SINGLE SPACE, TIMES NEW ROMAN</w:t>
      </w:r>
    </w:p>
    <w:p w:rsidR="00000000" w:rsidDel="00000000" w:rsidP="00000000" w:rsidRDefault="00000000" w:rsidRPr="00000000" w14:paraId="00000005">
      <w:pPr>
        <w:rPr>
          <w:sz w:val="34"/>
          <w:szCs w:val="34"/>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Author </w:t>
      </w:r>
      <w:r w:rsidDel="00000000" w:rsidR="00000000" w:rsidRPr="00000000">
        <w:rPr>
          <w:b w:val="1"/>
          <w:sz w:val="28"/>
          <w:szCs w:val="28"/>
          <w:vertAlign w:val="superscript"/>
          <w:rtl w:val="0"/>
        </w:rPr>
        <w:t xml:space="preserve">1</w:t>
      </w:r>
      <w:r w:rsidDel="00000000" w:rsidR="00000000" w:rsidRPr="00000000">
        <w:rPr>
          <w:b w:val="1"/>
          <w:sz w:val="28"/>
          <w:szCs w:val="28"/>
          <w:rtl w:val="0"/>
        </w:rPr>
        <w:t xml:space="preserve">, Author </w:t>
      </w:r>
      <w:r w:rsidDel="00000000" w:rsidR="00000000" w:rsidRPr="00000000">
        <w:rPr>
          <w:b w:val="1"/>
          <w:sz w:val="28"/>
          <w:szCs w:val="28"/>
          <w:vertAlign w:val="superscript"/>
          <w:rtl w:val="0"/>
        </w:rPr>
        <w:t xml:space="preserve">2</w:t>
      </w:r>
      <w:r w:rsidDel="00000000" w:rsidR="00000000" w:rsidRPr="00000000">
        <w:rPr>
          <w:b w:val="1"/>
          <w:sz w:val="28"/>
          <w:szCs w:val="28"/>
          <w:rtl w:val="0"/>
        </w:rPr>
        <w:t xml:space="preserve">, Author </w:t>
      </w:r>
      <w:r w:rsidDel="00000000" w:rsidR="00000000" w:rsidRPr="00000000">
        <w:rPr>
          <w:b w:val="1"/>
          <w:sz w:val="28"/>
          <w:szCs w:val="28"/>
          <w:vertAlign w:val="superscript"/>
          <w:rtl w:val="0"/>
        </w:rPr>
        <w:t xml:space="preserve">3</w:t>
      </w:r>
      <w:r w:rsidDel="00000000" w:rsidR="00000000" w:rsidRPr="00000000">
        <w:rPr>
          <w:b w:val="1"/>
          <w:sz w:val="28"/>
          <w:szCs w:val="28"/>
          <w:rtl w:val="0"/>
        </w:rPr>
        <w:t xml:space="preserve"> without title, 12</w:t>
      </w:r>
      <w:r w:rsidDel="00000000" w:rsidR="00000000" w:rsidRPr="00000000">
        <w:rPr>
          <w:b w:val="1"/>
          <w:sz w:val="28"/>
          <w:szCs w:val="28"/>
          <w:vertAlign w:val="superscript"/>
          <w:rtl w:val="0"/>
        </w:rPr>
        <w:t xml:space="preserve">pt</w:t>
      </w:r>
      <w:r w:rsidDel="00000000" w:rsidR="00000000" w:rsidRPr="00000000">
        <w:rPr>
          <w:rtl w:val="0"/>
        </w:rPr>
      </w:r>
    </w:p>
    <w:p w:rsidR="00000000" w:rsidDel="00000000" w:rsidP="00000000" w:rsidRDefault="00000000" w:rsidRPr="00000000" w14:paraId="00000007">
      <w:pPr>
        <w:jc w:val="center"/>
        <w:rPr>
          <w:i w:val="1"/>
          <w:sz w:val="22"/>
          <w:szCs w:val="22"/>
        </w:rPr>
      </w:pPr>
      <w:r w:rsidDel="00000000" w:rsidR="00000000" w:rsidRPr="00000000">
        <w:rPr>
          <w:i w:val="1"/>
          <w:sz w:val="22"/>
          <w:szCs w:val="22"/>
          <w:vertAlign w:val="superscript"/>
          <w:rtl w:val="0"/>
        </w:rPr>
        <w:t xml:space="preserve">1</w:t>
      </w:r>
      <w:r w:rsidDel="00000000" w:rsidR="00000000" w:rsidRPr="00000000">
        <w:rPr>
          <w:i w:val="1"/>
          <w:sz w:val="22"/>
          <w:szCs w:val="22"/>
          <w:rtl w:val="0"/>
        </w:rPr>
        <w:t xml:space="preserve">The first author Institution (Department / Division, Faculty, University, Country)</w:t>
      </w:r>
    </w:p>
    <w:p w:rsidR="00000000" w:rsidDel="00000000" w:rsidP="00000000" w:rsidRDefault="00000000" w:rsidRPr="00000000" w14:paraId="00000008">
      <w:pPr>
        <w:jc w:val="center"/>
        <w:rPr>
          <w:i w:val="1"/>
          <w:sz w:val="22"/>
          <w:szCs w:val="22"/>
        </w:rPr>
      </w:pPr>
      <w:r w:rsidDel="00000000" w:rsidR="00000000" w:rsidRPr="00000000">
        <w:rPr>
          <w:i w:val="1"/>
          <w:sz w:val="22"/>
          <w:szCs w:val="22"/>
          <w:vertAlign w:val="superscript"/>
          <w:rtl w:val="0"/>
        </w:rPr>
        <w:t xml:space="preserve">2</w:t>
      </w:r>
      <w:r w:rsidDel="00000000" w:rsidR="00000000" w:rsidRPr="00000000">
        <w:rPr>
          <w:i w:val="1"/>
          <w:sz w:val="22"/>
          <w:szCs w:val="22"/>
          <w:rtl w:val="0"/>
        </w:rPr>
        <w:t xml:space="preserve">The second author Institution (if different from the first author)</w:t>
      </w:r>
    </w:p>
    <w:p w:rsidR="00000000" w:rsidDel="00000000" w:rsidP="00000000" w:rsidRDefault="00000000" w:rsidRPr="00000000" w14:paraId="00000009">
      <w:pPr>
        <w:jc w:val="center"/>
        <w:rPr>
          <w:i w:val="1"/>
          <w:sz w:val="22"/>
          <w:szCs w:val="22"/>
        </w:rPr>
      </w:pPr>
      <w:r w:rsidDel="00000000" w:rsidR="00000000" w:rsidRPr="00000000">
        <w:rPr>
          <w:i w:val="1"/>
          <w:sz w:val="22"/>
          <w:szCs w:val="22"/>
          <w:rtl w:val="0"/>
        </w:rPr>
        <w:t xml:space="preserve">(Times New Roman, 11 points, italicized, center justified)</w:t>
      </w:r>
    </w:p>
    <w:p w:rsidR="00000000" w:rsidDel="00000000" w:rsidP="00000000" w:rsidRDefault="00000000" w:rsidRPr="00000000" w14:paraId="0000000A">
      <w:pPr>
        <w:jc w:val="center"/>
        <w:rPr>
          <w:i w:val="1"/>
          <w:sz w:val="22"/>
          <w:szCs w:val="22"/>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i w:val="1"/>
          <w:color w:val="000000"/>
          <w:sz w:val="22"/>
          <w:szCs w:val="22"/>
        </w:rPr>
      </w:pPr>
      <w:r w:rsidDel="00000000" w:rsidR="00000000" w:rsidRPr="00000000">
        <w:rPr>
          <w:i w:val="1"/>
          <w:sz w:val="22"/>
          <w:szCs w:val="22"/>
          <w:rtl w:val="0"/>
        </w:rPr>
        <w:t xml:space="preserve">*Presenting author: Contact number; E-mail (Times New Roman, 11 points, italicized)</w:t>
      </w:r>
      <w:r w:rsidDel="00000000" w:rsidR="00000000" w:rsidRPr="00000000">
        <w:rPr>
          <w:rtl w:val="0"/>
        </w:rPr>
      </w:r>
    </w:p>
    <w:p w:rsidR="00000000" w:rsidDel="00000000" w:rsidP="00000000" w:rsidRDefault="00000000" w:rsidRPr="00000000" w14:paraId="0000000C">
      <w:pPr>
        <w:jc w:val="center"/>
        <w:rPr>
          <w:i w:val="1"/>
          <w:sz w:val="22"/>
          <w:szCs w:val="22"/>
        </w:rPr>
      </w:pPr>
      <w:r w:rsidDel="00000000" w:rsidR="00000000" w:rsidRPr="00000000">
        <w:rPr>
          <w:rtl w:val="0"/>
        </w:rPr>
      </w:r>
    </w:p>
    <w:p w:rsidR="00000000" w:rsidDel="00000000" w:rsidP="00000000" w:rsidRDefault="00000000" w:rsidRPr="00000000" w14:paraId="0000000D">
      <w:pPr>
        <w:keepNext w:val="1"/>
        <w:keepLines w:val="0"/>
        <w:pageBreakBefore w:val="0"/>
        <w:widowControl w:val="1"/>
        <w:pBdr>
          <w:top w:color="000000" w:space="10" w:sz="4" w:val="single"/>
          <w:left w:space="0" w:sz="0" w:val="nil"/>
          <w:bottom w:space="0" w:sz="0" w:val="nil"/>
          <w:right w:space="0" w:sz="0" w:val="nil"/>
          <w:between w:space="0" w:sz="0" w:val="nil"/>
        </w:pBdr>
        <w:shd w:fill="auto" w:val="clear"/>
        <w:tabs>
          <w:tab w:val="left" w:leader="none" w:pos="6645"/>
        </w:tabs>
        <w:spacing w:after="0" w:before="0" w:line="240" w:lineRule="auto"/>
        <w:ind w:left="0" w:right="0"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E">
      <w:pPr>
        <w:widowControl w:val="1"/>
        <w:shd w:fill="ffffff" w:val="clear"/>
        <w:jc w:val="center"/>
        <w:rPr>
          <w:b w:val="1"/>
        </w:rPr>
      </w:pPr>
      <w:r w:rsidDel="00000000" w:rsidR="00000000" w:rsidRPr="00000000">
        <w:rPr>
          <w:b w:val="1"/>
          <w:i w:val="1"/>
          <w:sz w:val="24"/>
          <w:szCs w:val="24"/>
          <w:rtl w:val="0"/>
        </w:rPr>
        <w:t xml:space="preserve">ABSTRACT: </w:t>
      </w:r>
      <w:r w:rsidDel="00000000" w:rsidR="00000000" w:rsidRPr="00000000">
        <w:rPr>
          <w:i w:val="1"/>
          <w:sz w:val="24"/>
          <w:szCs w:val="24"/>
          <w:rtl w:val="0"/>
        </w:rPr>
        <w:t xml:space="preserve">(Times News Roman, 12pt, Italic)</w:t>
      </w:r>
      <w:r w:rsidDel="00000000" w:rsidR="00000000" w:rsidRPr="00000000">
        <w:rPr>
          <w:rtl w:val="0"/>
        </w:rPr>
      </w:r>
    </w:p>
    <w:p w:rsidR="00000000" w:rsidDel="00000000" w:rsidP="00000000" w:rsidRDefault="00000000" w:rsidRPr="00000000" w14:paraId="0000000F">
      <w:pPr>
        <w:widowControl w:val="1"/>
        <w:shd w:fill="ffffff" w:val="clear"/>
        <w:jc w:val="both"/>
        <w:rPr>
          <w:b w:val="1"/>
          <w:i w:val="1"/>
          <w:sz w:val="24"/>
          <w:szCs w:val="24"/>
        </w:rPr>
      </w:pPr>
      <w:r w:rsidDel="00000000" w:rsidR="00000000" w:rsidRPr="00000000">
        <w:rPr>
          <w:rtl w:val="0"/>
        </w:rPr>
      </w:r>
    </w:p>
    <w:p w:rsidR="00000000" w:rsidDel="00000000" w:rsidP="00000000" w:rsidRDefault="00000000" w:rsidRPr="00000000" w14:paraId="00000010">
      <w:pPr>
        <w:widowControl w:val="1"/>
        <w:shd w:fill="ffffff" w:val="clear"/>
        <w:jc w:val="both"/>
        <w:rPr>
          <w:color w:val="111111"/>
        </w:rPr>
      </w:pPr>
      <w:r w:rsidDel="00000000" w:rsidR="00000000" w:rsidRPr="00000000">
        <w:rPr>
          <w:b w:val="1"/>
          <w:color w:val="111111"/>
          <w:rtl w:val="0"/>
        </w:rPr>
        <w:t xml:space="preserve">Background: </w:t>
      </w:r>
      <w:r w:rsidDel="00000000" w:rsidR="00000000" w:rsidRPr="00000000">
        <w:rPr>
          <w:color w:val="111111"/>
          <w:rtl w:val="0"/>
        </w:rPr>
        <w:t xml:space="preserve">It should be statements about background and purposes of study. The body of your abstract begins here. The abstract should be a concise summary of your research article. It should be typed single-spaced in 12 point Times New Roman. Be sure to adhere to the word limitation (250 words), all texts must fit within one A4 page with the following margin settings: Top &amp; Bottom &amp; Right &amp; Left: 1 inch (2.54 cm). The abstract must be written in English, one single paragraph and state the objective of research, short methodology, and research output as well as final conclusion. Abstract document (doc or docx format) should be submitted via online submission through the conference website. </w:t>
      </w:r>
      <w:r w:rsidDel="00000000" w:rsidR="00000000" w:rsidRPr="00000000">
        <w:rPr>
          <w:b w:val="1"/>
          <w:color w:val="111111"/>
          <w:rtl w:val="0"/>
        </w:rPr>
        <w:t xml:space="preserve">Methods:</w:t>
      </w:r>
      <w:r w:rsidDel="00000000" w:rsidR="00000000" w:rsidRPr="00000000">
        <w:rPr>
          <w:color w:val="111111"/>
          <w:rtl w:val="0"/>
        </w:rPr>
        <w:t xml:space="preserve"> Describe the research design and settings; Participants/respondents (details of how they selected, inclusion and exclusion criteria, numbers entering and leaving the study, relevant clinical and demographic characteristics), and type of analysis. </w:t>
      </w:r>
      <w:r w:rsidDel="00000000" w:rsidR="00000000" w:rsidRPr="00000000">
        <w:rPr>
          <w:b w:val="1"/>
          <w:color w:val="111111"/>
          <w:rtl w:val="0"/>
        </w:rPr>
        <w:t xml:space="preserve">Results and Discussions:</w:t>
      </w:r>
      <w:r w:rsidDel="00000000" w:rsidR="00000000" w:rsidRPr="00000000">
        <w:rPr>
          <w:color w:val="111111"/>
          <w:rtl w:val="0"/>
        </w:rPr>
        <w:t xml:space="preserve"> Report of main outcomes or findings including (where relevant) levels of statistical significance and confidence intervals.  </w:t>
      </w:r>
      <w:r w:rsidDel="00000000" w:rsidR="00000000" w:rsidRPr="00000000">
        <w:rPr>
          <w:b w:val="1"/>
          <w:color w:val="111111"/>
          <w:rtl w:val="0"/>
        </w:rPr>
        <w:t xml:space="preserve">Conclusions:</w:t>
      </w:r>
      <w:r w:rsidDel="00000000" w:rsidR="00000000" w:rsidRPr="00000000">
        <w:rPr>
          <w:color w:val="111111"/>
          <w:rtl w:val="0"/>
        </w:rPr>
        <w:t xml:space="preserve"> It should relate to study aims and hypotheses and may further research if needed.</w:t>
      </w:r>
    </w:p>
    <w:p w:rsidR="00000000" w:rsidDel="00000000" w:rsidP="00000000" w:rsidRDefault="00000000" w:rsidRPr="00000000" w14:paraId="00000011">
      <w:pPr>
        <w:widowControl w:val="1"/>
        <w:shd w:fill="ffffff" w:val="clear"/>
        <w:jc w:val="both"/>
        <w:rPr>
          <w:b w:val="1"/>
          <w:i w:val="1"/>
        </w:rPr>
      </w:pPr>
      <w:r w:rsidDel="00000000" w:rsidR="00000000" w:rsidRPr="00000000">
        <w:rPr>
          <w:b w:val="1"/>
          <w:i w:val="1"/>
          <w:rtl w:val="0"/>
        </w:rPr>
        <w:t xml:space="preserve">.</w:t>
      </w:r>
    </w:p>
    <w:p w:rsidR="00000000" w:rsidDel="00000000" w:rsidP="00000000" w:rsidRDefault="00000000" w:rsidRPr="00000000" w14:paraId="00000012">
      <w:pPr>
        <w:widowControl w:val="1"/>
        <w:shd w:fill="ffffff" w:val="clear"/>
        <w:jc w:val="both"/>
        <w:rPr>
          <w:i w:val="1"/>
          <w:sz w:val="24"/>
          <w:szCs w:val="24"/>
          <w:highlight w:val="yellow"/>
        </w:rPr>
      </w:pPr>
      <w:r w:rsidDel="00000000" w:rsidR="00000000" w:rsidRPr="00000000">
        <w:rPr>
          <w:rtl w:val="0"/>
        </w:rPr>
      </w:r>
    </w:p>
    <w:p w:rsidR="00000000" w:rsidDel="00000000" w:rsidP="00000000" w:rsidRDefault="00000000" w:rsidRPr="00000000" w14:paraId="00000013">
      <w:pPr>
        <w:widowControl w:val="1"/>
        <w:jc w:val="both"/>
        <w:rPr>
          <w:color w:val="000000"/>
        </w:rPr>
      </w:pPr>
      <w:r w:rsidDel="00000000" w:rsidR="00000000" w:rsidRPr="00000000">
        <w:rPr>
          <w:b w:val="1"/>
          <w:i w:val="1"/>
          <w:color w:val="000000"/>
          <w:rtl w:val="0"/>
        </w:rPr>
        <w:t xml:space="preserve">Keywords: </w:t>
      </w:r>
      <w:r w:rsidDel="00000000" w:rsidR="00000000" w:rsidRPr="00000000">
        <w:rPr>
          <w:i w:val="1"/>
          <w:color w:val="000000"/>
          <w:rtl w:val="0"/>
        </w:rPr>
        <w:t xml:space="preserve">Font type Times News Roman, size 10pt and number of keywords not more than 5 keywords.</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color="000000" w:space="10" w:sz="4" w:val="single"/>
          <w:right w:space="0" w:sz="0" w:val="nil"/>
          <w:between w:space="0" w:sz="0" w:val="nil"/>
        </w:pBdr>
        <w:shd w:fill="auto" w:val="clear"/>
        <w:spacing w:after="200" w:before="0" w:line="20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References</w:t>
      </w:r>
    </w:p>
    <w:p w:rsidR="00000000" w:rsidDel="00000000" w:rsidP="00000000" w:rsidRDefault="00000000" w:rsidRPr="00000000" w14:paraId="00000016">
      <w:pPr>
        <w:widowControl w:val="1"/>
        <w:spacing w:line="240" w:lineRule="auto"/>
        <w:jc w:val="both"/>
        <w:rPr/>
      </w:pPr>
      <w:r w:rsidDel="00000000" w:rsidR="00000000" w:rsidRPr="00000000">
        <w:rPr>
          <w:rtl w:val="0"/>
        </w:rPr>
        <w:t xml:space="preserve">References must be listed at the end of the paper by following the APA version 6 format.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38" w:hanging="63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Cite references in the text with author name/s and year of publication in parentheses (“APA Writing Style”).</w:t>
      </w:r>
      <w:r w:rsidDel="00000000" w:rsidR="00000000" w:rsidRPr="00000000">
        <w:rPr>
          <w:b w:val="1"/>
          <w:rtl w:val="0"/>
        </w:rPr>
        <w:t xml:space="preserve"> </w:t>
      </w:r>
      <w:r w:rsidDel="00000000" w:rsidR="00000000" w:rsidRPr="00000000">
        <w:rPr>
          <w:rtl w:val="0"/>
        </w:rPr>
        <w:t xml:space="preserve">For one or two authors, the references should be cited as Egan (2008), (Egan, 2008), William and Lewis (2011) or (William &amp; Lewis, 2011). For three or more authors, include only the surname of the first author followed by et al. and year of publication, e.g. Cheng et al. (2012) or (Cheng et al., 2012). For two or more papers published in the same year by the same author(s), it can be written as Cheng et al. (2012a, b). If two or more authors are cited at the same point in the text, then they are included in the same in-text citation, separated by a semicolon, e.g. (Egan, 2008; William &amp; Lewis, 2011).  </w:t>
      </w:r>
    </w:p>
    <w:p w:rsidR="00000000" w:rsidDel="00000000" w:rsidP="00000000" w:rsidRDefault="00000000" w:rsidRPr="00000000" w14:paraId="00000019">
      <w:pPr>
        <w:ind w:firstLine="720"/>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Please ensure that every reference cited in the text is also present in the reference list (and vice versa). Maximum number of references is 20. The references should be in alphabetical order. See examples in the list of references below.</w:t>
      </w:r>
    </w:p>
    <w:p w:rsidR="00000000" w:rsidDel="00000000" w:rsidP="00000000" w:rsidRDefault="00000000" w:rsidRPr="00000000" w14:paraId="0000001B">
      <w:pPr>
        <w:ind w:firstLine="720"/>
        <w:jc w:val="both"/>
        <w:rPr/>
      </w:pPr>
      <w:r w:rsidDel="00000000" w:rsidR="00000000" w:rsidRPr="00000000">
        <w:rPr>
          <w:rtl w:val="0"/>
        </w:rPr>
        <w:t xml:space="preserve">Below are examples of entries for journal article, newspaper article, article in electronic journal by DOI (no paginated version), online document, journal article with DOI (and with page numbers), book chapter and book.</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widowControl w:val="1"/>
        <w:jc w:val="both"/>
        <w:rPr>
          <w:b w:val="1"/>
        </w:rPr>
      </w:pPr>
      <w:r w:rsidDel="00000000" w:rsidR="00000000" w:rsidRPr="00000000">
        <w:rPr>
          <w:b w:val="1"/>
          <w:rtl w:val="0"/>
        </w:rPr>
        <w:t xml:space="preserve">Journal </w:t>
      </w:r>
    </w:p>
    <w:p w:rsidR="00000000" w:rsidDel="00000000" w:rsidP="00000000" w:rsidRDefault="00000000" w:rsidRPr="00000000" w14:paraId="0000001E">
      <w:pPr>
        <w:widowControl w:val="1"/>
        <w:ind w:left="540" w:hanging="540"/>
        <w:jc w:val="both"/>
        <w:rPr/>
      </w:pPr>
      <w:r w:rsidDel="00000000" w:rsidR="00000000" w:rsidRPr="00000000">
        <w:rPr>
          <w:rtl w:val="0"/>
        </w:rPr>
        <w:t xml:space="preserve">Chen, S. J., &amp; Chen, S. M. (2007). Fuzzy risk analysis based on the ranking of generalised trapezoidal fuzzy numbers. </w:t>
      </w:r>
      <w:r w:rsidDel="00000000" w:rsidR="00000000" w:rsidRPr="00000000">
        <w:rPr>
          <w:i w:val="1"/>
          <w:rtl w:val="0"/>
        </w:rPr>
        <w:t xml:space="preserve">Applied Intelligence, 26</w:t>
      </w:r>
      <w:r w:rsidDel="00000000" w:rsidR="00000000" w:rsidRPr="00000000">
        <w:rPr>
          <w:rtl w:val="0"/>
        </w:rPr>
        <w:t xml:space="preserve">(1), 1-11.</w:t>
      </w:r>
    </w:p>
    <w:p w:rsidR="00000000" w:rsidDel="00000000" w:rsidP="00000000" w:rsidRDefault="00000000" w:rsidRPr="00000000" w14:paraId="0000001F">
      <w:pPr>
        <w:widowControl w:val="1"/>
        <w:ind w:left="540" w:hanging="540"/>
        <w:jc w:val="both"/>
        <w:rPr/>
      </w:pPr>
      <w:r w:rsidDel="00000000" w:rsidR="00000000" w:rsidRPr="00000000">
        <w:rPr>
          <w:rtl w:val="0"/>
        </w:rPr>
        <w:t xml:space="preserve">Kahraman, C., Cevi, S., Ates, N. Y., &amp; Gulbay, M.  (2007).  Fuzzy multi-criteria evaluation of industrial robotic systems</w:t>
      </w:r>
      <w:r w:rsidDel="00000000" w:rsidR="00000000" w:rsidRPr="00000000">
        <w:rPr>
          <w:i w:val="1"/>
          <w:rtl w:val="0"/>
        </w:rPr>
        <w:t xml:space="preserve">. Computer &amp; Industrial Engineering</w:t>
      </w:r>
      <w:r w:rsidDel="00000000" w:rsidR="00000000" w:rsidRPr="00000000">
        <w:rPr>
          <w:rtl w:val="0"/>
        </w:rPr>
        <w:t xml:space="preserve">, 52, 414-433 (2007).  doi: 10.1016/j.cie.2007.01.005.</w:t>
      </w:r>
    </w:p>
    <w:p w:rsidR="00000000" w:rsidDel="00000000" w:rsidP="00000000" w:rsidRDefault="00000000" w:rsidRPr="00000000" w14:paraId="00000020">
      <w:pPr>
        <w:widowControl w:val="1"/>
        <w:ind w:left="540" w:hanging="540"/>
        <w:jc w:val="both"/>
        <w:rPr/>
      </w:pPr>
      <w:r w:rsidDel="00000000" w:rsidR="00000000" w:rsidRPr="00000000">
        <w:rPr>
          <w:rtl w:val="0"/>
        </w:rPr>
      </w:r>
    </w:p>
    <w:p w:rsidR="00000000" w:rsidDel="00000000" w:rsidP="00000000" w:rsidRDefault="00000000" w:rsidRPr="00000000" w14:paraId="00000021">
      <w:pPr>
        <w:widowControl w:val="1"/>
        <w:ind w:left="540" w:hanging="540"/>
        <w:jc w:val="both"/>
        <w:rPr>
          <w:b w:val="1"/>
        </w:rPr>
      </w:pPr>
      <w:r w:rsidDel="00000000" w:rsidR="00000000" w:rsidRPr="00000000">
        <w:rPr>
          <w:b w:val="1"/>
          <w:rtl w:val="0"/>
        </w:rPr>
        <w:t xml:space="preserve">Online Document</w:t>
      </w:r>
    </w:p>
    <w:p w:rsidR="00000000" w:rsidDel="00000000" w:rsidP="00000000" w:rsidRDefault="00000000" w:rsidRPr="00000000" w14:paraId="00000022">
      <w:pPr>
        <w:widowControl w:val="1"/>
        <w:jc w:val="both"/>
        <w:rPr/>
      </w:pPr>
      <w:r w:rsidDel="00000000" w:rsidR="00000000" w:rsidRPr="00000000">
        <w:rPr>
          <w:rtl w:val="0"/>
        </w:rPr>
        <w:t xml:space="preserve">Chua, D. (2014, April 25). New wave of choreographers. </w:t>
      </w:r>
      <w:r w:rsidDel="00000000" w:rsidR="00000000" w:rsidRPr="00000000">
        <w:rPr>
          <w:i w:val="1"/>
          <w:rtl w:val="0"/>
        </w:rPr>
        <w:t xml:space="preserve">New Straits Times</w:t>
      </w:r>
      <w:r w:rsidDel="00000000" w:rsidR="00000000" w:rsidRPr="00000000">
        <w:rPr>
          <w:rtl w:val="0"/>
        </w:rPr>
        <w:t xml:space="preserve">, p.7.</w:t>
      </w:r>
    </w:p>
    <w:p w:rsidR="00000000" w:rsidDel="00000000" w:rsidP="00000000" w:rsidRDefault="00000000" w:rsidRPr="00000000" w14:paraId="00000023">
      <w:pPr>
        <w:widowControl w:val="1"/>
        <w:ind w:left="540" w:hanging="540"/>
        <w:jc w:val="both"/>
        <w:rPr/>
      </w:pPr>
      <w:r w:rsidDel="00000000" w:rsidR="00000000" w:rsidRPr="00000000">
        <w:rPr>
          <w:rtl w:val="0"/>
        </w:rPr>
        <w:t xml:space="preserve">Gomez, M.M., Sierra, J.M.C., Jabaloyes, J., &amp; Zarozo, Manuel. (2010).  A multivariate method for analyzing and improving the use of student evaluation of teaching questionnaires: A case study</w:t>
      </w:r>
      <w:r w:rsidDel="00000000" w:rsidR="00000000" w:rsidRPr="00000000">
        <w:rPr>
          <w:i w:val="1"/>
          <w:rtl w:val="0"/>
        </w:rPr>
        <w:t xml:space="preserve">. Quality Quantitative</w:t>
      </w:r>
      <w:r w:rsidDel="00000000" w:rsidR="00000000" w:rsidRPr="00000000">
        <w:rPr>
          <w:rtl w:val="0"/>
        </w:rPr>
        <w:t xml:space="preserve">. doi: 10.1007/s11135-010-9345-5.</w:t>
      </w:r>
    </w:p>
    <w:p w:rsidR="00000000" w:rsidDel="00000000" w:rsidP="00000000" w:rsidRDefault="00000000" w:rsidRPr="00000000" w14:paraId="00000024">
      <w:pPr>
        <w:widowControl w:val="1"/>
        <w:ind w:left="540" w:hanging="540"/>
        <w:jc w:val="both"/>
        <w:rPr/>
      </w:pPr>
      <w:r w:rsidDel="00000000" w:rsidR="00000000" w:rsidRPr="00000000">
        <w:rPr>
          <w:rtl w:val="0"/>
        </w:rPr>
      </w:r>
    </w:p>
    <w:p w:rsidR="00000000" w:rsidDel="00000000" w:rsidP="00000000" w:rsidRDefault="00000000" w:rsidRPr="00000000" w14:paraId="00000025">
      <w:pPr>
        <w:widowControl w:val="1"/>
        <w:ind w:left="540" w:hanging="540"/>
        <w:jc w:val="both"/>
        <w:rPr>
          <w:b w:val="1"/>
        </w:rPr>
      </w:pPr>
      <w:r w:rsidDel="00000000" w:rsidR="00000000" w:rsidRPr="00000000">
        <w:rPr>
          <w:b w:val="1"/>
          <w:rtl w:val="0"/>
        </w:rPr>
        <w:t xml:space="preserve">Website</w:t>
      </w:r>
    </w:p>
    <w:p w:rsidR="00000000" w:rsidDel="00000000" w:rsidP="00000000" w:rsidRDefault="00000000" w:rsidRPr="00000000" w14:paraId="00000026">
      <w:pPr>
        <w:ind w:left="539" w:hanging="539"/>
        <w:jc w:val="both"/>
        <w:rPr/>
      </w:pPr>
      <w:r w:rsidDel="00000000" w:rsidR="00000000" w:rsidRPr="00000000">
        <w:rPr>
          <w:rtl w:val="0"/>
        </w:rPr>
        <w:t xml:space="preserve">Gunkel, M. (2008). Guidelines for academic writing. </w:t>
      </w:r>
      <w:hyperlink r:id="rId7">
        <w:r w:rsidDel="00000000" w:rsidR="00000000" w:rsidRPr="00000000">
          <w:rPr>
            <w:color w:val="000000"/>
            <w:sz w:val="20"/>
            <w:szCs w:val="20"/>
            <w:u w:val="none"/>
            <w:rtl w:val="0"/>
          </w:rPr>
          <w:t xml:space="preserve">http://www.im.ovgu.de/im_media/downloads/examinations/academic_paperwriting_MG.pdf</w:t>
        </w:r>
      </w:hyperlink>
      <w:r w:rsidDel="00000000" w:rsidR="00000000" w:rsidRPr="00000000">
        <w:rPr>
          <w:rtl w:val="0"/>
        </w:rPr>
        <w:t xml:space="preserve">. Accessed 20 Feb 2014.</w:t>
      </w:r>
    </w:p>
    <w:p w:rsidR="00000000" w:rsidDel="00000000" w:rsidP="00000000" w:rsidRDefault="00000000" w:rsidRPr="00000000" w14:paraId="00000027">
      <w:pPr>
        <w:widowControl w:val="1"/>
        <w:ind w:left="540" w:hanging="540"/>
        <w:jc w:val="both"/>
        <w:rPr/>
      </w:pPr>
      <w:r w:rsidDel="00000000" w:rsidR="00000000" w:rsidRPr="00000000">
        <w:rPr>
          <w:rtl w:val="0"/>
        </w:rPr>
      </w:r>
    </w:p>
    <w:p w:rsidR="00000000" w:rsidDel="00000000" w:rsidP="00000000" w:rsidRDefault="00000000" w:rsidRPr="00000000" w14:paraId="00000028">
      <w:pPr>
        <w:widowControl w:val="1"/>
        <w:ind w:left="540" w:hanging="540"/>
        <w:jc w:val="both"/>
        <w:rPr/>
      </w:pPr>
      <w:r w:rsidDel="00000000" w:rsidR="00000000" w:rsidRPr="00000000">
        <w:rPr>
          <w:rtl w:val="0"/>
        </w:rPr>
      </w:r>
    </w:p>
    <w:p w:rsidR="00000000" w:rsidDel="00000000" w:rsidP="00000000" w:rsidRDefault="00000000" w:rsidRPr="00000000" w14:paraId="00000029">
      <w:pPr>
        <w:widowControl w:val="1"/>
        <w:ind w:left="540" w:hanging="540"/>
        <w:jc w:val="both"/>
        <w:rPr>
          <w:b w:val="1"/>
        </w:rPr>
      </w:pPr>
      <w:r w:rsidDel="00000000" w:rsidR="00000000" w:rsidRPr="00000000">
        <w:rPr>
          <w:b w:val="1"/>
          <w:rtl w:val="0"/>
        </w:rPr>
        <w:t xml:space="preserve">Books</w:t>
      </w:r>
    </w:p>
    <w:p w:rsidR="00000000" w:rsidDel="00000000" w:rsidP="00000000" w:rsidRDefault="00000000" w:rsidRPr="00000000" w14:paraId="0000002A">
      <w:pPr>
        <w:widowControl w:val="1"/>
        <w:ind w:left="540" w:hanging="540"/>
        <w:jc w:val="both"/>
        <w:rPr/>
      </w:pPr>
      <w:r w:rsidDel="00000000" w:rsidR="00000000" w:rsidRPr="00000000">
        <w:rPr>
          <w:rtl w:val="0"/>
        </w:rPr>
        <w:t xml:space="preserve">Ramli, N., &amp; Mohamad, D. (2010). On the Jaccard index with a degree of optimism in ranking fuzzy numbers. In E. Hullermeier, R. Kruse, &amp; F. Hoffman (Eds.), </w:t>
      </w:r>
      <w:r w:rsidDel="00000000" w:rsidR="00000000" w:rsidRPr="00000000">
        <w:rPr>
          <w:i w:val="1"/>
          <w:rtl w:val="0"/>
        </w:rPr>
        <w:t xml:space="preserve">Information processing and management of uncertainty in knowledge-based system application</w:t>
      </w:r>
      <w:r w:rsidDel="00000000" w:rsidR="00000000" w:rsidRPr="00000000">
        <w:rPr>
          <w:rtl w:val="0"/>
        </w:rPr>
        <w:t xml:space="preserve"> (pp. 383-391). New York: Springer.</w:t>
      </w:r>
    </w:p>
    <w:p w:rsidR="00000000" w:rsidDel="00000000" w:rsidP="00000000" w:rsidRDefault="00000000" w:rsidRPr="00000000" w14:paraId="0000002B">
      <w:pPr>
        <w:jc w:val="both"/>
        <w:rPr>
          <w:sz w:val="18"/>
          <w:szCs w:val="18"/>
        </w:rPr>
      </w:pPr>
      <w:r w:rsidDel="00000000" w:rsidR="00000000" w:rsidRPr="00000000">
        <w:rPr>
          <w:rtl w:val="0"/>
        </w:rPr>
        <w:t xml:space="preserve">Rosen, K.H. (1988). </w:t>
      </w:r>
      <w:r w:rsidDel="00000000" w:rsidR="00000000" w:rsidRPr="00000000">
        <w:rPr>
          <w:i w:val="1"/>
          <w:rtl w:val="0"/>
        </w:rPr>
        <w:t xml:space="preserve">Discrete mathematics </w:t>
      </w:r>
      <w:r w:rsidDel="00000000" w:rsidR="00000000" w:rsidRPr="00000000">
        <w:rPr>
          <w:i w:val="1"/>
          <w:sz w:val="18"/>
          <w:szCs w:val="18"/>
          <w:rtl w:val="0"/>
        </w:rPr>
        <w:t xml:space="preserve">and its applications</w:t>
      </w:r>
      <w:r w:rsidDel="00000000" w:rsidR="00000000" w:rsidRPr="00000000">
        <w:rPr>
          <w:sz w:val="18"/>
          <w:szCs w:val="18"/>
          <w:rtl w:val="0"/>
        </w:rPr>
        <w:t xml:space="preserve">. New York: Random House, Inc.</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38" w:hanging="56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sectPr>
      <w:headerReference r:id="rId8" w:type="default"/>
      <w:headerReference r:id="rId9" w:type="first"/>
      <w:headerReference r:id="rId10" w:type="even"/>
      <w:footerReference r:id="rId11" w:type="default"/>
      <w:footerReference r:id="rId12" w:type="first"/>
      <w:pgSz w:h="16838" w:w="11906" w:orient="portrait"/>
      <w:pgMar w:bottom="1134" w:top="1985" w:left="1985" w:right="1418" w:header="907" w:footer="49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pageBreakBefore w:val="0"/>
      <w:widowControl w:val="1"/>
      <w:pBdr>
        <w:top w:color="000000" w:space="9" w:sz="4" w:val="single"/>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8</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International Symposium of Public Health 2024 (ISoPH 2024)</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s>
      <w:spacing w:after="24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pageBreakBefore w:val="0"/>
      <w:widowControl w:val="1"/>
      <w:pBdr>
        <w:top w:color="000000" w:space="9" w:sz="4" w:val="single"/>
        <w:left w:space="0" w:sz="0" w:val="nil"/>
        <w:bottom w:space="0" w:sz="0" w:val="nil"/>
        <w:right w:space="0" w:sz="0" w:val="nil"/>
        <w:between w:space="0" w:sz="0" w:val="nil"/>
      </w:pBdr>
      <w:shd w:fill="auto" w:val="clear"/>
      <w:tabs>
        <w:tab w:val="right" w:leader="none" w:pos="10080"/>
      </w:tabs>
      <w:spacing w:after="24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International Symposium of Public Health 2024 (ISoPH 2024)</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s>
      <w:spacing w:after="240" w:before="240" w:line="20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6"/>
        <w:tab w:val="right" w:leader="none" w:pos="9356"/>
        <w:tab w:val="center" w:leader="none" w:pos="4920"/>
        <w:tab w:val="right" w:leader="none" w:pos="9214"/>
      </w:tabs>
      <w:spacing w:after="240" w:before="0" w:line="240" w:lineRule="auto"/>
      <w:ind w:left="0" w:right="0" w:firstLine="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6"/>
        <w:tab w:val="right" w:leader="none" w:pos="9356"/>
        <w:tab w:val="center" w:leader="none" w:pos="4920"/>
      </w:tabs>
      <w:spacing w:after="240" w:before="0" w:line="20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 </w:t>
      <w:tab/>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6"/>
        <w:tab w:val="right" w:leader="none" w:pos="9356"/>
        <w:tab w:val="left" w:leader="none" w:pos="6804"/>
      </w:tabs>
      <w:spacing w:after="240" w:before="0" w:line="240" w:lineRule="auto"/>
      <w:ind w:left="0" w:right="0" w:firstLine="0"/>
      <w:jc w:val="center"/>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1473200</wp:posOffset>
          </wp:positionH>
          <wp:positionV relativeFrom="paragraph">
            <wp:posOffset>-109219</wp:posOffset>
          </wp:positionV>
          <wp:extent cx="2286000" cy="590550"/>
          <wp:effectExtent b="0" l="0" r="0" t="0"/>
          <wp:wrapSquare wrapText="bothSides" distB="0" distT="0" distL="114300" distR="114300"/>
          <wp:docPr descr="C:\Users\Acer\Downloads\logo isoph 8.jpg" id="1" name="image1.png"/>
          <a:graphic>
            <a:graphicData uri="http://schemas.openxmlformats.org/drawingml/2006/picture">
              <pic:pic>
                <pic:nvPicPr>
                  <pic:cNvPr descr="C:\Users\Acer\Downloads\logo isoph 8.jpg" id="0" name="image1.png"/>
                  <pic:cNvPicPr preferRelativeResize="0"/>
                </pic:nvPicPr>
                <pic:blipFill>
                  <a:blip r:embed="rId1"/>
                  <a:srcRect b="0" l="0" r="0" t="0"/>
                  <a:stretch>
                    <a:fillRect/>
                  </a:stretch>
                </pic:blipFill>
                <pic:spPr>
                  <a:xfrm>
                    <a:off x="0" y="0"/>
                    <a:ext cx="2286000" cy="5905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4" w:val="single"/>
        <w:left w:color="000000" w:space="0" w:sz="4" w:val="single"/>
        <w:bottom w:color="000000" w:space="7" w:sz="4" w:val="single"/>
        <w:right w:color="000000" w:space="4" w:sz="4" w:val="single"/>
      </w:pBdr>
      <w:spacing w:line="360" w:lineRule="auto"/>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pBdr>
        <w:top w:color="000000" w:space="1" w:sz="4" w:val="single"/>
        <w:left w:color="000000" w:space="4" w:sz="4" w:val="single"/>
        <w:right w:color="000000" w:space="4" w:sz="4" w:val="single"/>
      </w:pBdr>
      <w:ind w:right="113"/>
    </w:pPr>
    <w:rPr>
      <w:b w:val="1"/>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im.ovgu.de/im_media/downloads/examinations/academic_paperwriting_MG.pdf" TargetMode="External"/><Relationship Id="rId8"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4LFN9MVbJxoKVDgA/By3wA2cNA==">CgMxLjAyCGguZ2pkZ3hzOAByITFwTG1Oa3RZX0h6UEZUd0xVelZ5N2VSZU5xYXdDMDZEVQ==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