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B">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4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D">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5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3">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report concludes that major policies and practices must be implemented as soon as possible, especially practices concerning sensitive data such as PII/SPII, which could be addressed by Least Privilege, Advanced encryption, and defining clear employee roles and scope. Backups and Disaster Recovery Plans shall also be developed at the earliest. Preventive measures should be adopted such as IDS/IPS and upgrading from critical legacy systems.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