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business-requirements-document-brd"/>
    <w:p>
      <w:pPr>
        <w:pStyle w:val="Heading1"/>
      </w:pPr>
      <w:r>
        <w:t xml:space="preserve">Business Requirements Document (BRD)</w:t>
      </w:r>
    </w:p>
    <w:bookmarkStart w:id="20" w:name="project-title"/>
    <w:p>
      <w:pPr>
        <w:pStyle w:val="Heading2"/>
      </w:pPr>
      <w:r>
        <w:t xml:space="preserve">Project Title</w:t>
      </w:r>
    </w:p>
    <w:p>
      <w:pPr>
        <w:pStyle w:val="FirstParagraph"/>
      </w:pPr>
      <w:r>
        <w:t xml:space="preserve">Platform Governance &amp; Master Configuration – Internal Control Plane for B2B Virtual Try-On Kiosk Platform</w:t>
      </w:r>
    </w:p>
    <w:bookmarkEnd w:id="20"/>
    <w:bookmarkStart w:id="21" w:name="version"/>
    <w:p>
      <w:pPr>
        <w:pStyle w:val="Heading2"/>
      </w:pPr>
      <w:r>
        <w:t xml:space="preserve">Version</w:t>
      </w:r>
    </w:p>
    <w:p>
      <w:pPr>
        <w:pStyle w:val="FirstParagraph"/>
      </w:pPr>
      <w:r>
        <w:t xml:space="preserve">1.0</w:t>
      </w:r>
    </w:p>
    <w:bookmarkEnd w:id="21"/>
    <w:bookmarkStart w:id="22" w:name="prepared-for"/>
    <w:p>
      <w:pPr>
        <w:pStyle w:val="Heading2"/>
      </w:pPr>
      <w:r>
        <w:t xml:space="preserve">Prepared For</w:t>
      </w:r>
    </w:p>
    <w:p>
      <w:pPr>
        <w:pStyle w:val="FirstParagraph"/>
      </w:pPr>
      <w:r>
        <w:t xml:space="preserve">Internal Product, Engineering, Operations, and Compliance Teams</w:t>
      </w:r>
    </w:p>
    <w:bookmarkEnd w:id="22"/>
    <w:bookmarkStart w:id="23" w:name="prepared-by"/>
    <w:p>
      <w:pPr>
        <w:pStyle w:val="Heading2"/>
      </w:pPr>
      <w:r>
        <w:t xml:space="preserve">Prepared By</w:t>
      </w:r>
    </w:p>
    <w:p>
      <w:pPr>
        <w:pStyle w:val="FirstParagraph"/>
      </w:pPr>
      <w:r>
        <w:t xml:space="preserve">Product &amp; Platform Strategy</w:t>
      </w:r>
    </w:p>
    <w:p>
      <w:r>
        <w:pict>
          <v:rect style="width:0;height:1.5pt" o:hralign="center" o:hrstd="t" o:hr="t"/>
        </w:pict>
      </w:r>
    </w:p>
    <w:bookmarkEnd w:id="23"/>
    <w:bookmarkStart w:id="24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The Platform Governance &amp; Master Configuration module is an internal, company-only administration system designed to centrally govern, configure, and control a B2B Virtual Try-On Kiosk platform. This module acts as the platform control plane, defining global rules, defaults, boundaries, and operational guardrails within which all client-admin systems operate.</w:t>
      </w:r>
    </w:p>
    <w:p>
      <w:pPr>
        <w:pStyle w:val="BodyText"/>
      </w:pPr>
      <w:r>
        <w:t xml:space="preserve">The solution ensures platform stability, regulatory compliance, operational scalability, and controlled innovation across multiple clients, kiosks, regions, and AI models.</w:t>
      </w:r>
    </w:p>
    <w:p>
      <w:r>
        <w:pict>
          <v:rect style="width:0;height:1.5pt" o:hralign="center" o:hrstd="t" o:hr="t"/>
        </w:pict>
      </w:r>
    </w:p>
    <w:bookmarkEnd w:id="24"/>
    <w:bookmarkStart w:id="27" w:name="business-objectives"/>
    <w:p>
      <w:pPr>
        <w:pStyle w:val="Heading2"/>
      </w:pPr>
      <w:r>
        <w:t xml:space="preserve">2. Business Objectives</w:t>
      </w:r>
    </w:p>
    <w:bookmarkStart w:id="25" w:name="primary-objectives"/>
    <w:p>
      <w:pPr>
        <w:pStyle w:val="Heading3"/>
      </w:pPr>
      <w:r>
        <w:t xml:space="preserve">Primary Objectives</w:t>
      </w:r>
    </w:p>
    <w:p>
      <w:pPr>
        <w:pStyle w:val="Compact"/>
        <w:numPr>
          <w:ilvl w:val="0"/>
          <w:numId w:val="1001"/>
        </w:numPr>
      </w:pPr>
      <w:r>
        <w:t xml:space="preserve">Establish centralized governance for platform-wide behavior</w:t>
      </w:r>
    </w:p>
    <w:p>
      <w:pPr>
        <w:pStyle w:val="Compact"/>
        <w:numPr>
          <w:ilvl w:val="0"/>
          <w:numId w:val="1001"/>
        </w:numPr>
      </w:pPr>
      <w:r>
        <w:t xml:space="preserve">Enforce security, privacy, and compliance standards</w:t>
      </w:r>
    </w:p>
    <w:p>
      <w:pPr>
        <w:pStyle w:val="Compact"/>
        <w:numPr>
          <w:ilvl w:val="0"/>
          <w:numId w:val="1001"/>
        </w:numPr>
      </w:pPr>
      <w:r>
        <w:t xml:space="preserve">Enable scalable onboarding of B2B clients</w:t>
      </w:r>
    </w:p>
    <w:p>
      <w:pPr>
        <w:pStyle w:val="Compact"/>
        <w:numPr>
          <w:ilvl w:val="0"/>
          <w:numId w:val="1001"/>
        </w:numPr>
      </w:pPr>
      <w:r>
        <w:t xml:space="preserve">Minimize operational and configuration risks</w:t>
      </w:r>
    </w:p>
    <w:p>
      <w:pPr>
        <w:pStyle w:val="Compact"/>
        <w:numPr>
          <w:ilvl w:val="0"/>
          <w:numId w:val="1001"/>
        </w:numPr>
      </w:pPr>
      <w:r>
        <w:t xml:space="preserve">Support phased innovation and feature rollout</w:t>
      </w:r>
    </w:p>
    <w:bookmarkEnd w:id="25"/>
    <w:bookmarkStart w:id="26" w:name="success-metrics"/>
    <w:p>
      <w:pPr>
        <w:pStyle w:val="Heading3"/>
      </w:pPr>
      <w:r>
        <w:t xml:space="preserve">Success Metrics</w:t>
      </w:r>
    </w:p>
    <w:p>
      <w:pPr>
        <w:pStyle w:val="Compact"/>
        <w:numPr>
          <w:ilvl w:val="0"/>
          <w:numId w:val="1002"/>
        </w:numPr>
      </w:pPr>
      <w:r>
        <w:t xml:space="preserve">Reduction in client onboarding time</w:t>
      </w:r>
    </w:p>
    <w:p>
      <w:pPr>
        <w:pStyle w:val="Compact"/>
        <w:numPr>
          <w:ilvl w:val="0"/>
          <w:numId w:val="1002"/>
        </w:numPr>
      </w:pPr>
      <w:r>
        <w:t xml:space="preserve">Zero critical compliance violations</w:t>
      </w:r>
    </w:p>
    <w:p>
      <w:pPr>
        <w:pStyle w:val="Compact"/>
        <w:numPr>
          <w:ilvl w:val="0"/>
          <w:numId w:val="1002"/>
        </w:numPr>
      </w:pPr>
      <w:r>
        <w:t xml:space="preserve">High platform uptime and stability</w:t>
      </w:r>
    </w:p>
    <w:p>
      <w:pPr>
        <w:pStyle w:val="Compact"/>
        <w:numPr>
          <w:ilvl w:val="0"/>
          <w:numId w:val="1002"/>
        </w:numPr>
      </w:pPr>
      <w:r>
        <w:t xml:space="preserve">Controlled and auditable configuration changes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scope-definition"/>
    <w:p>
      <w:pPr>
        <w:pStyle w:val="Heading2"/>
      </w:pPr>
      <w:r>
        <w:t xml:space="preserve">3. Scope Definition</w:t>
      </w:r>
    </w:p>
    <w:bookmarkStart w:id="28" w:name="in-scope"/>
    <w:p>
      <w:pPr>
        <w:pStyle w:val="Heading3"/>
      </w:pPr>
      <w:r>
        <w:t xml:space="preserve">In Scope</w:t>
      </w:r>
    </w:p>
    <w:p>
      <w:pPr>
        <w:pStyle w:val="Compact"/>
        <w:numPr>
          <w:ilvl w:val="0"/>
          <w:numId w:val="1003"/>
        </w:numPr>
      </w:pPr>
      <w:r>
        <w:t xml:space="preserve">Global platform configuration and policy management</w:t>
      </w:r>
    </w:p>
    <w:p>
      <w:pPr>
        <w:pStyle w:val="Compact"/>
        <w:numPr>
          <w:ilvl w:val="0"/>
          <w:numId w:val="1003"/>
        </w:numPr>
      </w:pPr>
      <w:r>
        <w:t xml:space="preserve">Internal user access and governance controls</w:t>
      </w:r>
    </w:p>
    <w:p>
      <w:pPr>
        <w:pStyle w:val="Compact"/>
        <w:numPr>
          <w:ilvl w:val="0"/>
          <w:numId w:val="1003"/>
        </w:numPr>
      </w:pPr>
      <w:r>
        <w:t xml:space="preserve">Client boundary definition and enforcement</w:t>
      </w:r>
    </w:p>
    <w:p>
      <w:pPr>
        <w:pStyle w:val="Compact"/>
        <w:numPr>
          <w:ilvl w:val="0"/>
          <w:numId w:val="1003"/>
        </w:numPr>
      </w:pPr>
      <w:r>
        <w:t xml:space="preserve">Environment and release governance</w:t>
      </w:r>
    </w:p>
    <w:p>
      <w:pPr>
        <w:pStyle w:val="Compact"/>
        <w:numPr>
          <w:ilvl w:val="0"/>
          <w:numId w:val="1003"/>
        </w:numPr>
      </w:pPr>
      <w:r>
        <w:t xml:space="preserve">Compliance oversight and audit readiness</w:t>
      </w:r>
    </w:p>
    <w:bookmarkEnd w:id="28"/>
    <w:bookmarkStart w:id="29" w:name="out-of-scope"/>
    <w:p>
      <w:pPr>
        <w:pStyle w:val="Heading3"/>
      </w:pPr>
      <w:r>
        <w:t xml:space="preserve">Out of Scope</w:t>
      </w:r>
    </w:p>
    <w:p>
      <w:pPr>
        <w:pStyle w:val="Compact"/>
        <w:numPr>
          <w:ilvl w:val="0"/>
          <w:numId w:val="1004"/>
        </w:numPr>
      </w:pPr>
      <w:r>
        <w:t xml:space="preserve">Client-facing admin functionality</w:t>
      </w:r>
    </w:p>
    <w:p>
      <w:pPr>
        <w:pStyle w:val="Compact"/>
        <w:numPr>
          <w:ilvl w:val="0"/>
          <w:numId w:val="1004"/>
        </w:numPr>
      </w:pPr>
      <w:r>
        <w:t xml:space="preserve">End-user (kiosk user) experience configuration</w:t>
      </w:r>
    </w:p>
    <w:p>
      <w:pPr>
        <w:pStyle w:val="Compact"/>
        <w:numPr>
          <w:ilvl w:val="0"/>
          <w:numId w:val="1004"/>
        </w:numPr>
      </w:pPr>
      <w:r>
        <w:t xml:space="preserve">Client billing UI (covered under separate systems)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stakeholders"/>
    <w:p>
      <w:pPr>
        <w:pStyle w:val="Heading2"/>
      </w:pPr>
      <w:r>
        <w:t xml:space="preserve">4. Stakeholders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Stakeholder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Management</w:t>
            </w:r>
          </w:p>
        </w:tc>
        <w:tc>
          <w:tcPr/>
          <w:p>
            <w:pPr>
              <w:pStyle w:val="Compact"/>
            </w:pPr>
            <w:r>
              <w:t xml:space="preserve">Requirements ownership, prioritization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Engineering</w:t>
            </w:r>
          </w:p>
        </w:tc>
        <w:tc>
          <w:tcPr/>
          <w:p>
            <w:pPr>
              <w:pStyle w:val="Compact"/>
            </w:pPr>
            <w:r>
              <w:t xml:space="preserve">Design and 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Operations</w:t>
            </w:r>
          </w:p>
        </w:tc>
        <w:tc>
          <w:tcPr/>
          <w:p>
            <w:pPr>
              <w:pStyle w:val="Compact"/>
            </w:pPr>
            <w:r>
              <w:t xml:space="preserve">Day-to-day platform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Compliance &amp; Legal</w:t>
            </w:r>
          </w:p>
        </w:tc>
        <w:tc>
          <w:tcPr/>
          <w:p>
            <w:pPr>
              <w:pStyle w:val="Compact"/>
            </w:pPr>
            <w:r>
              <w:t xml:space="preserve">Regulatory oversight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Leadership</w:t>
            </w:r>
          </w:p>
        </w:tc>
        <w:tc>
          <w:tcPr/>
          <w:p>
            <w:pPr>
              <w:pStyle w:val="Compact"/>
            </w:pPr>
            <w:r>
              <w:t xml:space="preserve">Strategic governance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4" w:name="assumptions-constraints"/>
    <w:p>
      <w:pPr>
        <w:pStyle w:val="Heading2"/>
      </w:pPr>
      <w:r>
        <w:t xml:space="preserve">5. Assumptions &amp; Constraints</w:t>
      </w:r>
    </w:p>
    <w:bookmarkStart w:id="32" w:name="assumptions"/>
    <w:p>
      <w:pPr>
        <w:pStyle w:val="Heading3"/>
      </w:pPr>
      <w:r>
        <w:t xml:space="preserve">Assumptions</w:t>
      </w:r>
    </w:p>
    <w:p>
      <w:pPr>
        <w:pStyle w:val="Compact"/>
        <w:numPr>
          <w:ilvl w:val="0"/>
          <w:numId w:val="1005"/>
        </w:numPr>
      </w:pPr>
      <w:r>
        <w:t xml:space="preserve">Clients will have a separate admin interface</w:t>
      </w:r>
    </w:p>
    <w:p>
      <w:pPr>
        <w:pStyle w:val="Compact"/>
        <w:numPr>
          <w:ilvl w:val="0"/>
          <w:numId w:val="1005"/>
        </w:numPr>
      </w:pPr>
      <w:r>
        <w:t xml:space="preserve">Platform operates in multiple regions</w:t>
      </w:r>
    </w:p>
    <w:p>
      <w:pPr>
        <w:pStyle w:val="Compact"/>
        <w:numPr>
          <w:ilvl w:val="0"/>
          <w:numId w:val="1005"/>
        </w:numPr>
      </w:pPr>
      <w:r>
        <w:t xml:space="preserve">Image and biometric-like data may be processed</w:t>
      </w:r>
    </w:p>
    <w:bookmarkEnd w:id="32"/>
    <w:bookmarkStart w:id="33" w:name="constraints"/>
    <w:p>
      <w:pPr>
        <w:pStyle w:val="Heading3"/>
      </w:pPr>
      <w:r>
        <w:t xml:space="preserve">Constraints</w:t>
      </w:r>
    </w:p>
    <w:p>
      <w:pPr>
        <w:pStyle w:val="Compact"/>
        <w:numPr>
          <w:ilvl w:val="0"/>
          <w:numId w:val="1006"/>
        </w:numPr>
      </w:pPr>
      <w:r>
        <w:t xml:space="preserve">Regulatory requirements vary by geography</w:t>
      </w:r>
    </w:p>
    <w:p>
      <w:pPr>
        <w:pStyle w:val="Compact"/>
        <w:numPr>
          <w:ilvl w:val="0"/>
          <w:numId w:val="1006"/>
        </w:numPr>
      </w:pPr>
      <w:r>
        <w:t xml:space="preserve">High availability and uptime requirements</w:t>
      </w:r>
    </w:p>
    <w:p>
      <w:pPr>
        <w:pStyle w:val="Compact"/>
        <w:numPr>
          <w:ilvl w:val="0"/>
          <w:numId w:val="1006"/>
        </w:numPr>
      </w:pPr>
      <w:r>
        <w:t xml:space="preserve">Governance changes must be auditable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functional-requirements-phased"/>
    <w:p>
      <w:pPr>
        <w:pStyle w:val="Heading2"/>
      </w:pPr>
      <w:r>
        <w:t xml:space="preserve">6. Functional Requirements (Phased)</w:t>
      </w:r>
    </w:p>
    <w:bookmarkStart w:id="35" w:name="phase-0-foundation-mvp"/>
    <w:p>
      <w:pPr>
        <w:pStyle w:val="Heading3"/>
      </w:pPr>
      <w:r>
        <w:t xml:space="preserve">Phase 0 – Foundation (MVP)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Enable safe platform launch and operation.</w:t>
      </w:r>
    </w:p>
    <w:p>
      <w:pPr>
        <w:pStyle w:val="Compact"/>
        <w:numPr>
          <w:ilvl w:val="0"/>
          <w:numId w:val="1007"/>
        </w:numPr>
      </w:pPr>
      <w:r>
        <w:t xml:space="preserve">Global configuration repository</w:t>
      </w:r>
    </w:p>
    <w:p>
      <w:pPr>
        <w:pStyle w:val="Compact"/>
        <w:numPr>
          <w:ilvl w:val="0"/>
          <w:numId w:val="1007"/>
        </w:numPr>
      </w:pPr>
      <w:r>
        <w:t xml:space="preserve">Platform-wide feature enable/disable</w:t>
      </w:r>
    </w:p>
    <w:p>
      <w:pPr>
        <w:pStyle w:val="Compact"/>
        <w:numPr>
          <w:ilvl w:val="0"/>
          <w:numId w:val="1007"/>
        </w:numPr>
      </w:pPr>
      <w:r>
        <w:t xml:space="preserve">Default system policy definitions</w:t>
      </w:r>
    </w:p>
    <w:p>
      <w:pPr>
        <w:pStyle w:val="Compact"/>
        <w:numPr>
          <w:ilvl w:val="0"/>
          <w:numId w:val="1007"/>
        </w:numPr>
      </w:pPr>
      <w:r>
        <w:t xml:space="preserve">Base configuration templates for kiosks</w:t>
      </w:r>
    </w:p>
    <w:p>
      <w:pPr>
        <w:pStyle w:val="Compact"/>
        <w:numPr>
          <w:ilvl w:val="0"/>
          <w:numId w:val="1007"/>
        </w:numPr>
      </w:pPr>
      <w:r>
        <w:t xml:space="preserve">Super Admin-only access</w:t>
      </w:r>
    </w:p>
    <w:p>
      <w:pPr>
        <w:pStyle w:val="Compact"/>
        <w:numPr>
          <w:ilvl w:val="0"/>
          <w:numId w:val="1007"/>
        </w:numPr>
      </w:pPr>
      <w:r>
        <w:t xml:space="preserve">Manual configuration updates</w:t>
      </w:r>
    </w:p>
    <w:p>
      <w:pPr>
        <w:pStyle w:val="Compact"/>
        <w:numPr>
          <w:ilvl w:val="0"/>
          <w:numId w:val="1007"/>
        </w:numPr>
      </w:pPr>
      <w:r>
        <w:t xml:space="preserve">Production environment configuration</w:t>
      </w:r>
    </w:p>
    <w:p>
      <w:pPr>
        <w:pStyle w:val="Compact"/>
        <w:numPr>
          <w:ilvl w:val="0"/>
          <w:numId w:val="1007"/>
        </w:numPr>
      </w:pPr>
      <w:r>
        <w:t xml:space="preserve">Configuration change audit logs</w:t>
      </w:r>
    </w:p>
    <w:p>
      <w:r>
        <w:pict>
          <v:rect style="width:0;height:1.5pt" o:hralign="center" o:hrstd="t" o:hr="t"/>
        </w:pict>
      </w:r>
    </w:p>
    <w:bookmarkEnd w:id="35"/>
    <w:bookmarkStart w:id="36" w:name="phase-1-controlled-scale"/>
    <w:p>
      <w:pPr>
        <w:pStyle w:val="Heading3"/>
      </w:pPr>
      <w:r>
        <w:t xml:space="preserve">Phase 1 – Controlled Scale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Support multiple clients with strict boundaries.</w:t>
      </w:r>
    </w:p>
    <w:p>
      <w:pPr>
        <w:pStyle w:val="Compact"/>
        <w:numPr>
          <w:ilvl w:val="0"/>
          <w:numId w:val="1008"/>
        </w:numPr>
      </w:pPr>
      <w:r>
        <w:t xml:space="preserve">Configurable privacy and retention policies</w:t>
      </w:r>
    </w:p>
    <w:p>
      <w:pPr>
        <w:pStyle w:val="Compact"/>
        <w:numPr>
          <w:ilvl w:val="0"/>
          <w:numId w:val="1008"/>
        </w:numPr>
      </w:pPr>
      <w:r>
        <w:t xml:space="preserve">Platform-level feature flags</w:t>
      </w:r>
    </w:p>
    <w:p>
      <w:pPr>
        <w:pStyle w:val="Compact"/>
        <w:numPr>
          <w:ilvl w:val="0"/>
          <w:numId w:val="1008"/>
        </w:numPr>
      </w:pPr>
      <w:r>
        <w:t xml:space="preserve">Client-level limits (kiosks, storage, sessions)</w:t>
      </w:r>
    </w:p>
    <w:p>
      <w:pPr>
        <w:pStyle w:val="Compact"/>
        <w:numPr>
          <w:ilvl w:val="0"/>
          <w:numId w:val="1008"/>
        </w:numPr>
      </w:pPr>
      <w:r>
        <w:t xml:space="preserve">Staging environment support</w:t>
      </w:r>
    </w:p>
    <w:p>
      <w:pPr>
        <w:pStyle w:val="Compact"/>
        <w:numPr>
          <w:ilvl w:val="0"/>
          <w:numId w:val="1008"/>
        </w:numPr>
      </w:pPr>
      <w:r>
        <w:t xml:space="preserve">Configuration promotion controls</w:t>
      </w:r>
    </w:p>
    <w:p>
      <w:pPr>
        <w:pStyle w:val="Compact"/>
        <w:numPr>
          <w:ilvl w:val="0"/>
          <w:numId w:val="1008"/>
        </w:numPr>
      </w:pPr>
      <w:r>
        <w:t xml:space="preserve">Internal RBAC (Admin, Ops, Support)</w:t>
      </w:r>
    </w:p>
    <w:p>
      <w:pPr>
        <w:pStyle w:val="Compact"/>
        <w:numPr>
          <w:ilvl w:val="0"/>
          <w:numId w:val="1008"/>
        </w:numPr>
      </w:pPr>
      <w:r>
        <w:t xml:space="preserve">Change approval for critical settings</w:t>
      </w:r>
    </w:p>
    <w:p>
      <w:r>
        <w:pict>
          <v:rect style="width:0;height:1.5pt" o:hralign="center" o:hrstd="t" o:hr="t"/>
        </w:pict>
      </w:r>
    </w:p>
    <w:bookmarkEnd w:id="36"/>
    <w:bookmarkStart w:id="37" w:name="phase-2-automation-compliance"/>
    <w:p>
      <w:pPr>
        <w:pStyle w:val="Heading3"/>
      </w:pPr>
      <w:r>
        <w:t xml:space="preserve">Phase 2 – Automation &amp; Compliance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Reduce risk through automation and guardrails.</w:t>
      </w:r>
    </w:p>
    <w:p>
      <w:pPr>
        <w:pStyle w:val="Compact"/>
        <w:numPr>
          <w:ilvl w:val="0"/>
          <w:numId w:val="1009"/>
        </w:numPr>
      </w:pPr>
      <w:r>
        <w:t xml:space="preserve">Automated application of default templates</w:t>
      </w:r>
    </w:p>
    <w:p>
      <w:pPr>
        <w:pStyle w:val="Compact"/>
        <w:numPr>
          <w:ilvl w:val="0"/>
          <w:numId w:val="1009"/>
        </w:numPr>
      </w:pPr>
      <w:r>
        <w:t xml:space="preserve">Policy auto-enforcement mechanisms</w:t>
      </w:r>
    </w:p>
    <w:p>
      <w:pPr>
        <w:pStyle w:val="Compact"/>
        <w:numPr>
          <w:ilvl w:val="0"/>
          <w:numId w:val="1009"/>
        </w:numPr>
      </w:pPr>
      <w:r>
        <w:t xml:space="preserve">Automated data deletion verification</w:t>
      </w:r>
    </w:p>
    <w:p>
      <w:pPr>
        <w:pStyle w:val="Compact"/>
        <w:numPr>
          <w:ilvl w:val="0"/>
          <w:numId w:val="1009"/>
        </w:numPr>
      </w:pPr>
      <w:r>
        <w:t xml:space="preserve">Compliance evidence logging</w:t>
      </w:r>
    </w:p>
    <w:p>
      <w:pPr>
        <w:pStyle w:val="Compact"/>
        <w:numPr>
          <w:ilvl w:val="0"/>
          <w:numId w:val="1009"/>
        </w:numPr>
      </w:pPr>
      <w:r>
        <w:t xml:space="preserve">Rate limiting and resource thresholds</w:t>
      </w:r>
    </w:p>
    <w:p>
      <w:pPr>
        <w:pStyle w:val="Compact"/>
        <w:numPr>
          <w:ilvl w:val="0"/>
          <w:numId w:val="1009"/>
        </w:numPr>
      </w:pPr>
      <w:r>
        <w:t xml:space="preserve">Configuration versioning and rollback</w:t>
      </w:r>
    </w:p>
    <w:p>
      <w:pPr>
        <w:pStyle w:val="Compact"/>
        <w:numPr>
          <w:ilvl w:val="0"/>
          <w:numId w:val="1009"/>
        </w:numPr>
      </w:pPr>
      <w:r>
        <w:t xml:space="preserve">Exception management workflows</w:t>
      </w:r>
    </w:p>
    <w:p>
      <w:pPr>
        <w:pStyle w:val="Compact"/>
        <w:numPr>
          <w:ilvl w:val="0"/>
          <w:numId w:val="1009"/>
        </w:numPr>
      </w:pPr>
      <w:r>
        <w:t xml:space="preserve">Policy violation alerts</w:t>
      </w:r>
    </w:p>
    <w:p>
      <w:r>
        <w:pict>
          <v:rect style="width:0;height:1.5pt" o:hralign="center" o:hrstd="t" o:hr="t"/>
        </w:pict>
      </w:r>
    </w:p>
    <w:bookmarkEnd w:id="37"/>
    <w:bookmarkStart w:id="38" w:name="phase-3-intelligence-maturity"/>
    <w:p>
      <w:pPr>
        <w:pStyle w:val="Heading3"/>
      </w:pPr>
      <w:r>
        <w:t xml:space="preserve">Phase 3 – Intelligence &amp; Maturity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Enable intelligent governance and enterprise readiness.</w:t>
      </w:r>
    </w:p>
    <w:p>
      <w:pPr>
        <w:pStyle w:val="Compact"/>
        <w:numPr>
          <w:ilvl w:val="0"/>
          <w:numId w:val="1010"/>
        </w:numPr>
      </w:pPr>
      <w:r>
        <w:t xml:space="preserve">Configuration impact analysis</w:t>
      </w:r>
    </w:p>
    <w:p>
      <w:pPr>
        <w:pStyle w:val="Compact"/>
        <w:numPr>
          <w:ilvl w:val="0"/>
          <w:numId w:val="1010"/>
        </w:numPr>
      </w:pPr>
      <w:r>
        <w:t xml:space="preserve">Predictive risk scoring</w:t>
      </w:r>
    </w:p>
    <w:p>
      <w:pPr>
        <w:pStyle w:val="Compact"/>
        <w:numPr>
          <w:ilvl w:val="0"/>
          <w:numId w:val="1010"/>
        </w:numPr>
      </w:pPr>
      <w:r>
        <w:t xml:space="preserve">Governance analytics dashboards</w:t>
      </w:r>
    </w:p>
    <w:p>
      <w:pPr>
        <w:pStyle w:val="Compact"/>
        <w:numPr>
          <w:ilvl w:val="0"/>
          <w:numId w:val="1010"/>
        </w:numPr>
      </w:pPr>
      <w:r>
        <w:t xml:space="preserve">Policy adherence scoring</w:t>
      </w:r>
    </w:p>
    <w:p>
      <w:pPr>
        <w:pStyle w:val="Compact"/>
        <w:numPr>
          <w:ilvl w:val="0"/>
          <w:numId w:val="1010"/>
        </w:numPr>
      </w:pPr>
      <w:r>
        <w:t xml:space="preserve">AI-assisted configuration recommendations</w:t>
      </w:r>
    </w:p>
    <w:p>
      <w:pPr>
        <w:pStyle w:val="Compact"/>
        <w:numPr>
          <w:ilvl w:val="0"/>
          <w:numId w:val="1010"/>
        </w:numPr>
      </w:pPr>
      <w:r>
        <w:t xml:space="preserve">ISO 27001 / SOC 2 control mapping</w:t>
      </w:r>
    </w:p>
    <w:p>
      <w:pPr>
        <w:pStyle w:val="Compact"/>
        <w:numPr>
          <w:ilvl w:val="0"/>
          <w:numId w:val="1010"/>
        </w:numPr>
      </w:pPr>
      <w:r>
        <w:t xml:space="preserve">Automated audit-ready reporting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non-functional-requirements"/>
    <w:p>
      <w:pPr>
        <w:pStyle w:val="Heading2"/>
      </w:pPr>
      <w:r>
        <w:t xml:space="preserve">7. Non-Functional Requirements</w:t>
      </w:r>
    </w:p>
    <w:bookmarkStart w:id="40" w:name="security"/>
    <w:p>
      <w:pPr>
        <w:pStyle w:val="Heading3"/>
      </w:pPr>
      <w:r>
        <w:t xml:space="preserve">Security</w:t>
      </w:r>
    </w:p>
    <w:p>
      <w:pPr>
        <w:pStyle w:val="Compact"/>
        <w:numPr>
          <w:ilvl w:val="0"/>
          <w:numId w:val="1011"/>
        </w:numPr>
      </w:pPr>
      <w:r>
        <w:t xml:space="preserve">MFA for all internal users</w:t>
      </w:r>
    </w:p>
    <w:p>
      <w:pPr>
        <w:pStyle w:val="Compact"/>
        <w:numPr>
          <w:ilvl w:val="0"/>
          <w:numId w:val="1011"/>
        </w:numPr>
      </w:pPr>
      <w:r>
        <w:t xml:space="preserve">Encryption at rest and in transit</w:t>
      </w:r>
    </w:p>
    <w:p>
      <w:pPr>
        <w:pStyle w:val="Compact"/>
        <w:numPr>
          <w:ilvl w:val="0"/>
          <w:numId w:val="1011"/>
        </w:numPr>
      </w:pPr>
      <w:r>
        <w:t xml:space="preserve">Strict tenant isolation</w:t>
      </w:r>
    </w:p>
    <w:p>
      <w:pPr>
        <w:pStyle w:val="Compact"/>
        <w:numPr>
          <w:ilvl w:val="0"/>
          <w:numId w:val="1011"/>
        </w:numPr>
      </w:pPr>
      <w:r>
        <w:t xml:space="preserve">Comprehensive audit logging</w:t>
      </w:r>
    </w:p>
    <w:bookmarkEnd w:id="40"/>
    <w:bookmarkStart w:id="41" w:name="performance"/>
    <w:p>
      <w:pPr>
        <w:pStyle w:val="Heading3"/>
      </w:pPr>
      <w:r>
        <w:t xml:space="preserve">Performance</w:t>
      </w:r>
    </w:p>
    <w:p>
      <w:pPr>
        <w:pStyle w:val="Compact"/>
        <w:numPr>
          <w:ilvl w:val="0"/>
          <w:numId w:val="1012"/>
        </w:numPr>
      </w:pPr>
      <w:r>
        <w:t xml:space="preserve">Low-latency configuration propagation</w:t>
      </w:r>
    </w:p>
    <w:p>
      <w:pPr>
        <w:pStyle w:val="Compact"/>
        <w:numPr>
          <w:ilvl w:val="0"/>
          <w:numId w:val="1012"/>
        </w:numPr>
      </w:pPr>
      <w:r>
        <w:t xml:space="preserve">Support for large-scale kiosk fleets</w:t>
      </w:r>
    </w:p>
    <w:bookmarkEnd w:id="41"/>
    <w:bookmarkStart w:id="42" w:name="availability"/>
    <w:p>
      <w:pPr>
        <w:pStyle w:val="Heading3"/>
      </w:pPr>
      <w:r>
        <w:t xml:space="preserve">Availability</w:t>
      </w:r>
    </w:p>
    <w:p>
      <w:pPr>
        <w:pStyle w:val="Compact"/>
        <w:numPr>
          <w:ilvl w:val="0"/>
          <w:numId w:val="1013"/>
        </w:numPr>
      </w:pPr>
      <w:r>
        <w:t xml:space="preserve">High availability architecture</w:t>
      </w:r>
    </w:p>
    <w:p>
      <w:pPr>
        <w:pStyle w:val="Compact"/>
        <w:numPr>
          <w:ilvl w:val="0"/>
          <w:numId w:val="1013"/>
        </w:numPr>
      </w:pPr>
      <w:r>
        <w:t xml:space="preserve">Failover and rollback capabilities</w:t>
      </w:r>
    </w:p>
    <w:bookmarkEnd w:id="42"/>
    <w:bookmarkStart w:id="43" w:name="compliance"/>
    <w:p>
      <w:pPr>
        <w:pStyle w:val="Heading3"/>
      </w:pPr>
      <w:r>
        <w:t xml:space="preserve">Compliance</w:t>
      </w:r>
    </w:p>
    <w:p>
      <w:pPr>
        <w:pStyle w:val="Compact"/>
        <w:numPr>
          <w:ilvl w:val="0"/>
          <w:numId w:val="1014"/>
        </w:numPr>
      </w:pPr>
      <w:r>
        <w:t xml:space="preserve">GDPR, CCPA, and regional equivalents</w:t>
      </w:r>
    </w:p>
    <w:p>
      <w:pPr>
        <w:pStyle w:val="Compact"/>
        <w:numPr>
          <w:ilvl w:val="0"/>
          <w:numId w:val="1014"/>
        </w:numPr>
      </w:pPr>
      <w:r>
        <w:t xml:space="preserve">Explicit consent and retention enforcement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risk-mitigation"/>
    <w:p>
      <w:pPr>
        <w:pStyle w:val="Heading2"/>
      </w:pPr>
      <w:r>
        <w:t xml:space="preserve">8. Risk &amp; Mitigation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Misconfiguration</w:t>
            </w:r>
          </w:p>
        </w:tc>
        <w:tc>
          <w:tcPr/>
          <w:p>
            <w:pPr>
              <w:pStyle w:val="Compact"/>
            </w:pPr>
            <w:r>
              <w:t xml:space="preserve">Approval workflows and guardrails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Compliance breach</w:t>
            </w:r>
          </w:p>
        </w:tc>
        <w:tc>
          <w:tcPr/>
          <w:p>
            <w:pPr>
              <w:pStyle w:val="Compact"/>
            </w:pPr>
            <w:r>
              <w:t xml:space="preserve">Automated policy enforcement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Unauthorized access</w:t>
            </w:r>
          </w:p>
        </w:tc>
        <w:tc>
          <w:tcPr/>
          <w:p>
            <w:pPr>
              <w:pStyle w:val="Compact"/>
            </w:pPr>
            <w:r>
              <w:t xml:space="preserve">RBAC and MFA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 instability</w:t>
            </w:r>
          </w:p>
        </w:tc>
        <w:tc>
          <w:tcPr/>
          <w:p>
            <w:pPr>
              <w:pStyle w:val="Compact"/>
            </w:pPr>
            <w:r>
              <w:t xml:space="preserve">Phased rollout and rollback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dependencies"/>
    <w:p>
      <w:pPr>
        <w:pStyle w:val="Heading2"/>
      </w:pPr>
      <w:r>
        <w:t xml:space="preserve">9. Dependencies</w:t>
      </w:r>
    </w:p>
    <w:p>
      <w:pPr>
        <w:pStyle w:val="Compact"/>
        <w:numPr>
          <w:ilvl w:val="0"/>
          <w:numId w:val="1015"/>
        </w:numPr>
      </w:pPr>
      <w:r>
        <w:t xml:space="preserve">Identity and Access Management system</w:t>
      </w:r>
    </w:p>
    <w:p>
      <w:pPr>
        <w:pStyle w:val="Compact"/>
        <w:numPr>
          <w:ilvl w:val="0"/>
          <w:numId w:val="1015"/>
        </w:numPr>
      </w:pPr>
      <w:r>
        <w:t xml:space="preserve">Kiosk device management system</w:t>
      </w:r>
    </w:p>
    <w:p>
      <w:pPr>
        <w:pStyle w:val="Compact"/>
        <w:numPr>
          <w:ilvl w:val="0"/>
          <w:numId w:val="1015"/>
        </w:numPr>
      </w:pPr>
      <w:r>
        <w:t xml:space="preserve">AI model management infrastructure</w:t>
      </w:r>
    </w:p>
    <w:p>
      <w:pPr>
        <w:pStyle w:val="Compact"/>
        <w:numPr>
          <w:ilvl w:val="0"/>
          <w:numId w:val="1015"/>
        </w:numPr>
      </w:pPr>
      <w:r>
        <w:t xml:space="preserve">Logging and monitoring stack</w:t>
      </w:r>
    </w:p>
    <w:p>
      <w:r>
        <w:pict>
          <v:rect style="width:0;height:1.5pt" o:hralign="center" o:hrstd="t" o:hr="t"/>
        </w:pict>
      </w:r>
    </w:p>
    <w:bookmarkEnd w:id="46"/>
    <w:bookmarkStart w:id="47" w:name="acceptance-criteria"/>
    <w:p>
      <w:pPr>
        <w:pStyle w:val="Heading2"/>
      </w:pPr>
      <w:r>
        <w:t xml:space="preserve">10. Acceptance Criteria</w:t>
      </w:r>
    </w:p>
    <w:p>
      <w:pPr>
        <w:pStyle w:val="Compact"/>
        <w:numPr>
          <w:ilvl w:val="0"/>
          <w:numId w:val="1016"/>
        </w:numPr>
      </w:pPr>
      <w:r>
        <w:t xml:space="preserve">All governance changes are auditable</w:t>
      </w:r>
    </w:p>
    <w:p>
      <w:pPr>
        <w:pStyle w:val="Compact"/>
        <w:numPr>
          <w:ilvl w:val="0"/>
          <w:numId w:val="1016"/>
        </w:numPr>
      </w:pPr>
      <w:r>
        <w:t xml:space="preserve">Clients cannot bypass platform policies</w:t>
      </w:r>
    </w:p>
    <w:p>
      <w:pPr>
        <w:pStyle w:val="Compact"/>
        <w:numPr>
          <w:ilvl w:val="0"/>
          <w:numId w:val="1016"/>
        </w:numPr>
      </w:pPr>
      <w:r>
        <w:t xml:space="preserve">Configuration changes propagate reliably</w:t>
      </w:r>
    </w:p>
    <w:p>
      <w:pPr>
        <w:pStyle w:val="Compact"/>
        <w:numPr>
          <w:ilvl w:val="0"/>
          <w:numId w:val="1016"/>
        </w:numPr>
      </w:pPr>
      <w:r>
        <w:t xml:space="preserve">Compliance evidence is retrievable on demand</w:t>
      </w:r>
    </w:p>
    <w:p>
      <w:r>
        <w:pict>
          <v:rect style="width:0;height:1.5pt" o:hralign="center" o:hrstd="t" o:hr="t"/>
        </w:pict>
      </w:r>
    </w:p>
    <w:bookmarkEnd w:id="47"/>
    <w:bookmarkStart w:id="48" w:name="future-enhancements"/>
    <w:p>
      <w:pPr>
        <w:pStyle w:val="Heading2"/>
      </w:pPr>
      <w:r>
        <w:t xml:space="preserve">11. Future Enhancements</w:t>
      </w:r>
    </w:p>
    <w:p>
      <w:pPr>
        <w:pStyle w:val="Compact"/>
        <w:numPr>
          <w:ilvl w:val="0"/>
          <w:numId w:val="1017"/>
        </w:numPr>
      </w:pPr>
      <w:r>
        <w:t xml:space="preserve">Predictive compliance risk alerts</w:t>
      </w:r>
    </w:p>
    <w:p>
      <w:pPr>
        <w:pStyle w:val="Compact"/>
        <w:numPr>
          <w:ilvl w:val="0"/>
          <w:numId w:val="1017"/>
        </w:numPr>
      </w:pPr>
      <w:r>
        <w:t xml:space="preserve">Self-healing configuration mechanisms</w:t>
      </w:r>
    </w:p>
    <w:p>
      <w:pPr>
        <w:pStyle w:val="Compact"/>
        <w:numPr>
          <w:ilvl w:val="0"/>
          <w:numId w:val="1017"/>
        </w:numPr>
      </w:pPr>
      <w:r>
        <w:t xml:space="preserve">Automated regulatory updates by region</w:t>
      </w:r>
    </w:p>
    <w:p>
      <w:r>
        <w:pict>
          <v:rect style="width:0;height:1.5pt" o:hralign="center" o:hrstd="t" o:hr="t"/>
        </w:pict>
      </w:r>
    </w:p>
    <w:bookmarkEnd w:id="48"/>
    <w:bookmarkStart w:id="49" w:name="approval"/>
    <w:p>
      <w:pPr>
        <w:pStyle w:val="Heading2"/>
      </w:pPr>
      <w:r>
        <w:t xml:space="preserve">12. Approval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Signature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Document</w:t>
      </w:r>
    </w:p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2025-12-16T02:26:29Z</dcterms:created>
  <dcterms:modified xsi:type="dcterms:W3CDTF">2025-12-16T02:26:29Z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