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MODULE 6 ASSIGNMENT</w:t>
      </w:r>
    </w:p>
    <w:p>
      <w:pPr>
        <w:jc w:val="center"/>
      </w:pPr>
      <w:r>
        <w:rPr>
          <w:b/>
          <w:sz w:val="48"/>
        </w:rPr>
        <w:t>Build a RAG-Based Email</w:t>
        <w:br/>
        <w:t>Customer Support Agent</w:t>
      </w:r>
    </w:p>
    <w:p>
      <w:pPr>
        <w:jc w:val="center"/>
      </w:pPr>
      <w:r>
        <w:rPr>
          <w:b/>
          <w:sz w:val="26"/>
        </w:rPr>
        <w:t>TechSupport Pro</w:t>
      </w:r>
    </w:p>
    <w:p>
      <w:pPr>
        <w:jc w:val="center"/>
      </w:pPr>
      <w:r>
        <w:t>Local/self-hosted n8n implementation with ChromaDB, Ollama, Gmail, human approval, labeling, and audit logging.</w:t>
      </w:r>
    </w:p>
    <w:p>
      <w:pPr>
        <w:jc w:val="center"/>
      </w:pPr>
      <w:r>
        <w:rPr>
          <w:i/>
        </w:rPr>
        <w:t>Reference workflow: “RAG - Customer Email Support Agent”</w:t>
      </w:r>
    </w:p>
    <w:p>
      <w:r>
        <w:br w:type="page"/>
      </w:r>
    </w:p>
    <w:p>
      <w:pPr>
        <w:pStyle w:val="Heading1"/>
      </w:pPr>
      <w:r>
        <w:t>1. System Workflow</w:t>
      </w:r>
    </w:p>
    <w:p>
      <w:r>
        <w:t>The completed solution receives customer-support email, cleans and normalizes the message, retrieves relevant TechSupport Pro knowledge from ChromaDB, generates a grounded structured response, routes the result through a human-approval gate, applies Gmail labels, and records an audit entry. The implementation runs on local/self-hosted n8n in Docker Desktop rather than n8n Cloud.</w:t>
      </w:r>
    </w:p>
    <w:p>
      <w:pPr>
        <w:pStyle w:val="Heading2"/>
      </w:pPr>
      <w:r>
        <w:t>Stage 1 — Trigger &amp; normalize</w:t>
      </w:r>
    </w:p>
    <w:p>
      <w:r>
        <w:t>“New Customer Email” (Gmail Trigger) polls unread mail. “Extract &amp; Normalize Email” creates customer_email, customer_name, subject, thread_id, message_id, and normalized_question. HTML, quoted replies, signatures, and common reply-history lines are cleaned. “Prepare Retrieval Input” creates retrieval_query.</w:t>
      </w:r>
    </w:p>
    <w:p>
      <w:pPr>
        <w:pStyle w:val="Heading2"/>
      </w:pPr>
      <w:r>
        <w:t>Stage 2 — Retrieval (RAG)</w:t>
      </w:r>
    </w:p>
    <w:p>
      <w:r>
        <w:t>“Embeddings OpenAI (Retrieval)” uses local Ollama with nomic-embed-text:latest through an OpenAI-compatible endpoint. “ChromaDB Retrieval” searches the techsupport_pro_kb collection and returns the top five relevant chunks. “Build KB Context” creates kb_context and kb_sources.</w:t>
      </w:r>
    </w:p>
    <w:p>
      <w:pPr>
        <w:pStyle w:val="Heading2"/>
      </w:pPr>
      <w:r>
        <w:t>Stage 3 — Grounded generation</w:t>
      </w:r>
    </w:p>
    <w:p>
      <w:r>
        <w:t>“AI Support Agent” receives the retrieved context, subject, and normalized question. The prompt prohibits outside knowledge and fabrication. “Structured Output Parser” enforces answer, confidence, and status fields.</w:t>
      </w:r>
    </w:p>
    <w:p>
      <w:pPr>
        <w:pStyle w:val="Heading2"/>
      </w:pPr>
      <w:r>
        <w:t>Stage 4 — Human-in-the-loop gate</w:t>
      </w:r>
    </w:p>
    <w:p>
      <w:r>
        <w:t>“Human Approval” allows the draft path only when confidence is high AND status is answered. Other cases go to human review. Duplicate and invalid-sender cases are also prevented from normal processing.</w:t>
      </w:r>
    </w:p>
    <w:p>
      <w:pPr>
        <w:pStyle w:val="Heading2"/>
      </w:pPr>
      <w:r>
        <w:t>Stage 5 — Labeling &amp; audit</w:t>
      </w:r>
    </w:p>
    <w:p>
      <w:r>
        <w:t>All outcomes converge on Gmail labeling and audit logging. AI-Processed or AI-Needs-Review is applied, then “Build Audit Log Entry” and “Append Audit Log” persist the decision.</w:t>
      </w:r>
    </w:p>
    <w:p>
      <w:pPr>
        <w:pStyle w:val="Heading1"/>
      </w:pPr>
      <w:r>
        <w:t>2. Tool &amp; Platform Selection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
              <w:rPr>
                <w:b/>
                <w:sz w:val="19"/>
              </w:rPr>
              <w:t>Layer</w:t>
            </w:r>
          </w:p>
        </w:tc>
        <w:tc>
          <w:tcPr>
            <w:tcW w:type="dxa" w:w="3360"/>
            <w:vAlign w:val="center"/>
          </w:tcPr>
          <w:p>
            <w:r/>
            <w:r>
              <w:rPr>
                <w:b/>
                <w:sz w:val="19"/>
              </w:rPr>
              <w:t>Tool / Platform</w:t>
            </w:r>
          </w:p>
        </w:tc>
        <w:tc>
          <w:tcPr>
            <w:tcW w:type="dxa" w:w="3360"/>
            <w:vAlign w:val="center"/>
          </w:tcPr>
          <w:p>
            <w:r/>
            <w:r>
              <w:rPr>
                <w:b/>
                <w:sz w:val="19"/>
              </w:rPr>
              <w:t>Role</w:t>
            </w:r>
          </w:p>
        </w:tc>
      </w:tr>
      <w:tr>
        <w:tc>
          <w:tcPr>
            <w:tcW w:type="dxa" w:w="3360"/>
            <w:vAlign w:val="center"/>
          </w:tcPr>
          <w:p>
            <w:r/>
            <w:r>
              <w:rPr>
                <w:b w:val="0"/>
                <w:sz w:val="19"/>
              </w:rPr>
              <w:t>Orchestration</w:t>
            </w:r>
          </w:p>
        </w:tc>
        <w:tc>
          <w:tcPr>
            <w:tcW w:type="dxa" w:w="3360"/>
            <w:vAlign w:val="center"/>
          </w:tcPr>
          <w:p>
            <w:r/>
            <w:r>
              <w:rPr>
                <w:b w:val="0"/>
                <w:sz w:val="19"/>
              </w:rPr>
              <w:t>n8n (local/self-hosted, Docker)</w:t>
            </w:r>
          </w:p>
        </w:tc>
        <w:tc>
          <w:tcPr>
            <w:tcW w:type="dxa" w:w="3360"/>
            <w:vAlign w:val="center"/>
          </w:tcPr>
          <w:p>
            <w:r/>
            <w:r>
              <w:rPr>
                <w:b w:val="0"/>
                <w:sz w:val="19"/>
              </w:rPr>
              <w:t>Runs triggers, transformations, branching, merges, retries, approval, labeling, and logging.</w:t>
            </w:r>
          </w:p>
        </w:tc>
      </w:tr>
      <w:tr>
        <w:tc>
          <w:tcPr>
            <w:tcW w:type="dxa" w:w="3360"/>
            <w:vAlign w:val="center"/>
          </w:tcPr>
          <w:p>
            <w:r/>
            <w:r>
              <w:rPr>
                <w:b w:val="0"/>
                <w:sz w:val="19"/>
              </w:rPr>
              <w:t>Email</w:t>
            </w:r>
          </w:p>
        </w:tc>
        <w:tc>
          <w:tcPr>
            <w:tcW w:type="dxa" w:w="3360"/>
            <w:vAlign w:val="center"/>
          </w:tcPr>
          <w:p>
            <w:r/>
            <w:r>
              <w:rPr>
                <w:b w:val="0"/>
                <w:sz w:val="19"/>
              </w:rPr>
              <w:t>Gmail API via n8n Gmail nodes</w:t>
            </w:r>
          </w:p>
        </w:tc>
        <w:tc>
          <w:tcPr>
            <w:tcW w:type="dxa" w:w="3360"/>
            <w:vAlign w:val="center"/>
          </w:tcPr>
          <w:p>
            <w:r/>
            <w:r>
              <w:rPr>
                <w:b w:val="0"/>
                <w:sz w:val="19"/>
              </w:rPr>
              <w:t>Reads messages, preserves thread/message IDs, creates drafts, and applies labels.</w:t>
            </w:r>
          </w:p>
        </w:tc>
      </w:tr>
      <w:tr>
        <w:tc>
          <w:tcPr>
            <w:tcW w:type="dxa" w:w="3360"/>
            <w:vAlign w:val="center"/>
          </w:tcPr>
          <w:p>
            <w:r/>
            <w:r>
              <w:rPr>
                <w:b w:val="0"/>
                <w:sz w:val="19"/>
              </w:rPr>
              <w:t>Vector database</w:t>
            </w:r>
          </w:p>
        </w:tc>
        <w:tc>
          <w:tcPr>
            <w:tcW w:type="dxa" w:w="3360"/>
            <w:vAlign w:val="center"/>
          </w:tcPr>
          <w:p>
            <w:r/>
            <w:r>
              <w:rPr>
                <w:b w:val="0"/>
                <w:sz w:val="19"/>
              </w:rPr>
              <w:t>ChromaDB (self-hosted)</w:t>
            </w:r>
          </w:p>
        </w:tc>
        <w:tc>
          <w:tcPr>
            <w:tcW w:type="dxa" w:w="3360"/>
            <w:vAlign w:val="center"/>
          </w:tcPr>
          <w:p>
            <w:r/>
            <w:r>
              <w:rPr>
                <w:b w:val="0"/>
                <w:sz w:val="19"/>
              </w:rPr>
              <w:t>Stores KB embeddings and performs top-5 similarity retrieval.</w:t>
            </w:r>
          </w:p>
        </w:tc>
      </w:tr>
      <w:tr>
        <w:tc>
          <w:tcPr>
            <w:tcW w:type="dxa" w:w="3360"/>
            <w:vAlign w:val="center"/>
          </w:tcPr>
          <w:p>
            <w:r/>
            <w:r>
              <w:rPr>
                <w:b w:val="0"/>
                <w:sz w:val="19"/>
              </w:rPr>
              <w:t>Embeddings</w:t>
            </w:r>
          </w:p>
        </w:tc>
        <w:tc>
          <w:tcPr>
            <w:tcW w:type="dxa" w:w="3360"/>
            <w:vAlign w:val="center"/>
          </w:tcPr>
          <w:p>
            <w:r/>
            <w:r>
              <w:rPr>
                <w:b w:val="0"/>
                <w:sz w:val="19"/>
              </w:rPr>
              <w:t>Ollama + nomic-embed-text:latest</w:t>
            </w:r>
          </w:p>
        </w:tc>
        <w:tc>
          <w:tcPr>
            <w:tcW w:type="dxa" w:w="3360"/>
            <w:vAlign w:val="center"/>
          </w:tcPr>
          <w:p>
            <w:r/>
            <w:r>
              <w:rPr>
                <w:b w:val="0"/>
                <w:sz w:val="19"/>
              </w:rPr>
              <w:t>Creates embeddings locally through the OpenAI-compatible API.</w:t>
            </w:r>
          </w:p>
        </w:tc>
      </w:tr>
      <w:tr>
        <w:tc>
          <w:tcPr>
            <w:tcW w:type="dxa" w:w="3360"/>
            <w:vAlign w:val="center"/>
          </w:tcPr>
          <w:p>
            <w:r/>
            <w:r>
              <w:rPr>
                <w:b w:val="0"/>
                <w:sz w:val="19"/>
              </w:rPr>
              <w:t>Chat generation</w:t>
            </w:r>
          </w:p>
        </w:tc>
        <w:tc>
          <w:tcPr>
            <w:tcW w:type="dxa" w:w="3360"/>
            <w:vAlign w:val="center"/>
          </w:tcPr>
          <w:p>
            <w:r/>
            <w:r>
              <w:rPr>
                <w:b w:val="0"/>
                <w:sz w:val="19"/>
              </w:rPr>
              <w:t>Ollama Chat Model (local)</w:t>
            </w:r>
          </w:p>
        </w:tc>
        <w:tc>
          <w:tcPr>
            <w:tcW w:type="dxa" w:w="3360"/>
            <w:vAlign w:val="center"/>
          </w:tcPr>
          <w:p>
            <w:r/>
            <w:r>
              <w:rPr>
                <w:b w:val="0"/>
                <w:sz w:val="19"/>
              </w:rPr>
              <w:t>Generates grounded responses with structured confidence/status output.</w:t>
            </w:r>
          </w:p>
        </w:tc>
      </w:tr>
      <w:tr>
        <w:tc>
          <w:tcPr>
            <w:tcW w:type="dxa" w:w="3360"/>
            <w:vAlign w:val="center"/>
          </w:tcPr>
          <w:p>
            <w:r/>
            <w:r>
              <w:rPr>
                <w:b w:val="0"/>
                <w:sz w:val="19"/>
              </w:rPr>
              <w:t>Orchestration framework</w:t>
            </w:r>
          </w:p>
        </w:tc>
        <w:tc>
          <w:tcPr>
            <w:tcW w:type="dxa" w:w="3360"/>
            <w:vAlign w:val="center"/>
          </w:tcPr>
          <w:p>
            <w:r/>
            <w:r>
              <w:rPr>
                <w:b w:val="0"/>
                <w:sz w:val="19"/>
              </w:rPr>
              <w:t>LangChain nodes in n8n</w:t>
            </w:r>
          </w:p>
        </w:tc>
        <w:tc>
          <w:tcPr>
            <w:tcW w:type="dxa" w:w="3360"/>
            <w:vAlign w:val="center"/>
          </w:tcPr>
          <w:p>
            <w:r/>
            <w:r>
              <w:rPr>
                <w:b w:val="0"/>
                <w:sz w:val="19"/>
              </w:rPr>
              <w:t>Connects prompt, chat model, and structured output parser.</w:t>
            </w:r>
          </w:p>
        </w:tc>
      </w:tr>
      <w:tr>
        <w:tc>
          <w:tcPr>
            <w:tcW w:type="dxa" w:w="3360"/>
            <w:vAlign w:val="center"/>
          </w:tcPr>
          <w:p>
            <w:r/>
            <w:r>
              <w:rPr>
                <w:b w:val="0"/>
                <w:sz w:val="19"/>
              </w:rPr>
              <w:t>Scripting</w:t>
            </w:r>
          </w:p>
        </w:tc>
        <w:tc>
          <w:tcPr>
            <w:tcW w:type="dxa" w:w="3360"/>
            <w:vAlign w:val="center"/>
          </w:tcPr>
          <w:p>
            <w:r/>
            <w:r>
              <w:rPr>
                <w:b w:val="0"/>
                <w:sz w:val="19"/>
              </w:rPr>
              <w:t>n8n Code / JavaScript</w:t>
            </w:r>
          </w:p>
        </w:tc>
        <w:tc>
          <w:tcPr>
            <w:tcW w:type="dxa" w:w="3360"/>
            <w:vAlign w:val="center"/>
          </w:tcPr>
          <w:p>
            <w:r/>
            <w:r>
              <w:rPr>
                <w:b w:val="0"/>
                <w:sz w:val="19"/>
              </w:rPr>
              <w:t>Email normalization, context assembly, duplicate/sender validation, labels, and audit entry.</w:t>
            </w:r>
          </w:p>
        </w:tc>
      </w:tr>
      <w:tr>
        <w:tc>
          <w:tcPr>
            <w:tcW w:type="dxa" w:w="3360"/>
            <w:vAlign w:val="center"/>
          </w:tcPr>
          <w:p>
            <w:r/>
            <w:r>
              <w:rPr>
                <w:b w:val="0"/>
                <w:sz w:val="19"/>
              </w:rPr>
              <w:t>Audit storage</w:t>
            </w:r>
          </w:p>
        </w:tc>
        <w:tc>
          <w:tcPr>
            <w:tcW w:type="dxa" w:w="3360"/>
            <w:vAlign w:val="center"/>
          </w:tcPr>
          <w:p>
            <w:r/>
            <w:r>
              <w:rPr>
                <w:b w:val="0"/>
                <w:sz w:val="19"/>
              </w:rPr>
              <w:t>n8n SSH → Windows flat file</w:t>
            </w:r>
          </w:p>
        </w:tc>
        <w:tc>
          <w:tcPr>
            <w:tcW w:type="dxa" w:w="3360"/>
            <w:vAlign w:val="center"/>
          </w:tcPr>
          <w:p>
            <w:r/>
            <w:r>
              <w:rPr>
                <w:b w:val="0"/>
                <w:sz w:val="19"/>
              </w:rPr>
              <w:t>Stores a durable audit record of processed outcomes.</w:t>
            </w:r>
          </w:p>
        </w:tc>
      </w:tr>
    </w:tbl>
    <w:p>
      <w:r>
        <w:t>The local Docker setup uses host.docker.internal for communication from the n8n container to host services such as Ollama and ChromaDB.</w:t>
      </w:r>
    </w:p>
    <w:p>
      <w:pPr>
        <w:pStyle w:val="Heading2"/>
      </w:pPr>
      <w:r>
        <w:t>Implementation Note: Local Model Substitution</w:t>
      </w:r>
    </w:p>
    <w:p>
      <w:r>
        <w:t>The assignment's intended chat model was OpenAI gpt-5-mini. During validation, the available OpenAI API account had no remaining credits, so the working runtime was switched to a local Ollama Chat Model. This is a transparent cost-free implementation substitution: the RAG flow, grounding rules, structured output, confidence gate, Gmail draft behavior, labeling, and audit design remain the same. The embedding runtime also uses local Ollama with nomic-embed-text:latest.</w:t>
      </w:r>
    </w:p>
    <w:p>
      <w:pPr>
        <w:pStyle w:val="Heading1"/>
      </w:pPr>
      <w:r>
        <w:t>3. Email Processing</w:t>
      </w:r>
    </w:p>
    <w:p>
      <w:r>
        <w:t>The Gmail Trigger polls approximately once per minute for unread messages while excluding spam/trash and drafts. The normalization code handles Gmail's structured address objects, strips HTML when needed, removes quoted reply chains and signature separators, and produces a compact question for retrieval.</w:t>
      </w:r>
    </w:p>
    <w:p>
      <w:pPr>
        <w:pStyle w:val="ListBullet"/>
      </w:pPr>
      <w:r>
        <w:t>Extracts customer email and name from Gmail address structures.</w:t>
      </w:r>
    </w:p>
    <w:p>
      <w:pPr>
        <w:pStyle w:val="ListBullet"/>
      </w:pPr>
      <w:r>
        <w:t>Preserves subject, thread_id, message_id, and related aliases for downstream nodes.</w:t>
      </w:r>
    </w:p>
    <w:p>
      <w:pPr>
        <w:pStyle w:val="ListBullet"/>
      </w:pPr>
      <w:r>
        <w:t>Uses plain text where available and strips HTML when necessary.</w:t>
      </w:r>
    </w:p>
    <w:p>
      <w:pPr>
        <w:pStyle w:val="ListBullet"/>
      </w:pPr>
      <w:r>
        <w:t>Removes quoted replies, signature blocks, and common “On … wrote:” lines.</w:t>
      </w:r>
    </w:p>
    <w:p>
      <w:pPr>
        <w:pStyle w:val="ListBullet"/>
      </w:pPr>
      <w:r>
        <w:t>Caps the cleaned question at approximately 3,000 characters.</w:t>
      </w:r>
    </w:p>
    <w:p>
      <w:pPr>
        <w:pStyle w:val="ListBullet"/>
      </w:pPr>
      <w:r>
        <w:t>Builds retrieval_query from subject plus normalized question.</w:t>
      </w:r>
    </w:p>
    <w:p>
      <w:pPr>
        <w:pStyle w:val="Heading1"/>
      </w:pPr>
      <w:r>
        <w:t>4. Information Retrieval (RAG)</w:t>
      </w:r>
    </w:p>
    <w:p>
      <w:r>
        <w:t>The agent is designed to answer from retrieved company knowledge rather than general model knowledge. Relevant support material is retrieved before generation and injected into the prompt.</w:t>
      </w:r>
    </w:p>
    <w:p>
      <w:pPr>
        <w:pStyle w:val="ListBullet"/>
      </w:pPr>
      <w:r>
        <w:t>ChromaDB collection: techsupport_pro_kb.</w:t>
      </w:r>
    </w:p>
    <w:p>
      <w:pPr>
        <w:pStyle w:val="ListBullet"/>
      </w:pPr>
      <w:r>
        <w:t>Knowledge articles are stored as vectorized chunks with metadata such as title, category, and source.</w:t>
      </w:r>
    </w:p>
    <w:p>
      <w:pPr>
        <w:pStyle w:val="ListBullet"/>
      </w:pPr>
      <w:r>
        <w:t>The KB ingestion workflow inserts eight TechSupport Pro support articles.</w:t>
      </w:r>
    </w:p>
    <w:p>
      <w:pPr>
        <w:pStyle w:val="ListBullet"/>
      </w:pPr>
      <w:r>
        <w:t>The retrieval workflow returns the top five similarity matches.</w:t>
      </w:r>
    </w:p>
    <w:p>
      <w:pPr>
        <w:pStyle w:val="ListBullet"/>
      </w:pPr>
      <w:r>
        <w:t>Build KB Context sorts the retrieved chunks by relevance and creates kb_context and kb_sources.</w:t>
      </w:r>
    </w:p>
    <w:p>
      <w:pPr>
        <w:pStyle w:val="ListBullet"/>
      </w:pPr>
      <w:r>
        <w:t>The generation prompt explicitly prohibits guessing or unsupported facts.</w:t>
      </w:r>
    </w:p>
    <w:p>
      <w:r>
        <w:t>A small synthetic TechSupport Pro knowledge base was used because no separate KB file was available in the assignment package during implementation. The supporting ingestion workflow demonstrates the eight documents inserted into ChromaDB.</w:t>
      </w:r>
    </w:p>
    <w:p>
      <w:pPr>
        <w:pStyle w:val="Heading1"/>
      </w:pPr>
      <w:r>
        <w:t>5. Response Generation &amp; Delivery</w:t>
      </w:r>
    </w:p>
    <w:p>
      <w:pPr>
        <w:pStyle w:val="Heading2"/>
      </w:pPr>
      <w:r>
        <w:t>Grounded response policy</w:t>
      </w:r>
    </w:p>
    <w:p>
      <w:pPr>
        <w:pStyle w:val="ListBullet"/>
      </w:pPr>
      <w:r>
        <w:t>If the KB fully and clearly answers the question: confidence = high, status = answered.</w:t>
      </w:r>
    </w:p>
    <w:p>
      <w:pPr>
        <w:pStyle w:val="ListBullet"/>
      </w:pPr>
      <w:r>
        <w:t>If the KB partially answers the question: confidence = medium, status = needs_human_review.</w:t>
      </w:r>
    </w:p>
    <w:p>
      <w:pPr>
        <w:pStyle w:val="ListBullet"/>
      </w:pPr>
      <w:r>
        <w:t>If the KB is insufficient or unrelated: confidence = low, status = needs_human_review, with a fixed safe fallback response.</w:t>
      </w:r>
    </w:p>
    <w:p>
      <w:pPr>
        <w:pStyle w:val="ListBullet"/>
      </w:pPr>
      <w:r>
        <w:t>Low confidence is never paired with answered.</w:t>
      </w:r>
    </w:p>
    <w:p>
      <w:pPr>
        <w:pStyle w:val="ListBullet"/>
      </w:pPr>
      <w:r>
        <w:t>When uncertain, the model prefers a lower confidence level rather than inventing information.</w:t>
      </w:r>
    </w:p>
    <w:p>
      <w:r>
        <w:t>The Structured Output Parser enforces a predictable answer/confidence/status structure, which is then merged with the customer's contact and thread information.</w:t>
      </w:r>
    </w:p>
    <w:p>
      <w:pPr>
        <w:pStyle w:val="Heading2"/>
      </w:pPr>
      <w:r>
        <w:t>Delivery</w:t>
      </w:r>
    </w:p>
    <w:p>
      <w:r>
        <w:t>The workflow never sends an email automatically. A qualifying high-confidence answer creates a Gmail draft in the original thread. A human support agent reviews, edits if necessary, and manually sends the message. Medium/low-confidence and review-required cases are flagged instead of being sent automatically.</w:t>
      </w:r>
    </w:p>
    <w:p>
      <w:pPr>
        <w:pStyle w:val="Heading1"/>
      </w:pPr>
      <w:r>
        <w:t>6. Real-World Use Cases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
              <w:rPr>
                <w:b/>
                <w:sz w:val="19"/>
              </w:rPr>
              <w:t>Use case</w:t>
            </w:r>
          </w:p>
        </w:tc>
        <w:tc>
          <w:tcPr>
            <w:tcW w:type="dxa" w:w="5040"/>
            <w:vAlign w:val="center"/>
          </w:tcPr>
          <w:p>
            <w:r/>
            <w:r>
              <w:rPr>
                <w:b/>
                <w:sz w:val="19"/>
              </w:rPr>
              <w:t>Application</w:t>
            </w:r>
          </w:p>
        </w:tc>
      </w:tr>
      <w:tr>
        <w:tc>
          <w:tcPr>
            <w:tcW w:type="dxa" w:w="5040"/>
            <w:vAlign w:val="center"/>
          </w:tcPr>
          <w:p>
            <w:r/>
            <w:r>
              <w:rPr>
                <w:b w:val="0"/>
                <w:sz w:val="19"/>
              </w:rPr>
              <w:t>E-commerce support</w:t>
            </w:r>
          </w:p>
        </w:tc>
        <w:tc>
          <w:tcPr>
            <w:tcW w:type="dxa" w:w="5040"/>
            <w:vAlign w:val="center"/>
          </w:tcPr>
          <w:p>
            <w:r/>
            <w:r>
              <w:rPr>
                <w:b w:val="0"/>
                <w:sz w:val="19"/>
              </w:rPr>
              <w:t>Order status, shipping, returns, and FAQ responses from approved policy content.</w:t>
            </w:r>
          </w:p>
        </w:tc>
      </w:tr>
      <w:tr>
        <w:tc>
          <w:tcPr>
            <w:tcW w:type="dxa" w:w="5040"/>
            <w:vAlign w:val="center"/>
          </w:tcPr>
          <w:p>
            <w:r/>
            <w:r>
              <w:rPr>
                <w:b w:val="0"/>
                <w:sz w:val="19"/>
              </w:rPr>
              <w:t>SaaS product support</w:t>
            </w:r>
          </w:p>
        </w:tc>
        <w:tc>
          <w:tcPr>
            <w:tcW w:type="dxa" w:w="5040"/>
            <w:vAlign w:val="center"/>
          </w:tcPr>
          <w:p>
            <w:r/>
            <w:r>
              <w:rPr>
                <w:b w:val="0"/>
                <w:sz w:val="19"/>
              </w:rPr>
              <w:t>Common product-usage and troubleshooting questions, with escalation for account-specific issues.</w:t>
            </w:r>
          </w:p>
        </w:tc>
      </w:tr>
      <w:tr>
        <w:tc>
          <w:tcPr>
            <w:tcW w:type="dxa" w:w="5040"/>
            <w:vAlign w:val="center"/>
          </w:tcPr>
          <w:p>
            <w:r/>
            <w:r>
              <w:rPr>
                <w:b w:val="0"/>
                <w:sz w:val="19"/>
              </w:rPr>
              <w:t>Educational platforms</w:t>
            </w:r>
          </w:p>
        </w:tc>
        <w:tc>
          <w:tcPr>
            <w:tcW w:type="dxa" w:w="5040"/>
            <w:vAlign w:val="center"/>
          </w:tcPr>
          <w:p>
            <w:r/>
            <w:r>
              <w:rPr>
                <w:b w:val="0"/>
                <w:sz w:val="19"/>
              </w:rPr>
              <w:t>Enrollment, course-content, and platform-policy questions from an approved course handbook.</w:t>
            </w:r>
          </w:p>
        </w:tc>
      </w:tr>
      <w:tr>
        <w:tc>
          <w:tcPr>
            <w:tcW w:type="dxa" w:w="5040"/>
            <w:vAlign w:val="center"/>
          </w:tcPr>
          <w:p>
            <w:r/>
            <w:r>
              <w:rPr>
                <w:b w:val="0"/>
                <w:sz w:val="19"/>
              </w:rPr>
              <w:t>Healthcare administrative inquiries</w:t>
            </w:r>
          </w:p>
        </w:tc>
        <w:tc>
          <w:tcPr>
            <w:tcW w:type="dxa" w:w="5040"/>
            <w:vAlign w:val="center"/>
          </w:tcPr>
          <w:p>
            <w:r/>
            <w:r>
              <w:rPr>
                <w:b w:val="0"/>
                <w:sz w:val="19"/>
              </w:rPr>
              <w:t>Non-clinical appointment, billing, and insurance-policy questions with human sign-off.</w:t>
            </w:r>
          </w:p>
        </w:tc>
      </w:tr>
      <w:tr>
        <w:tc>
          <w:tcPr>
            <w:tcW w:type="dxa" w:w="5040"/>
            <w:vAlign w:val="center"/>
          </w:tcPr>
          <w:p>
            <w:r/>
            <w:r>
              <w:rPr>
                <w:b w:val="0"/>
                <w:sz w:val="19"/>
              </w:rPr>
              <w:t>Banking support</w:t>
            </w:r>
          </w:p>
        </w:tc>
        <w:tc>
          <w:tcPr>
            <w:tcW w:type="dxa" w:w="5040"/>
            <w:vAlign w:val="center"/>
          </w:tcPr>
          <w:p>
            <w:r/>
            <w:r>
              <w:rPr>
                <w:b w:val="0"/>
                <w:sz w:val="19"/>
              </w:rPr>
              <w:t>General product and policy questions while routing account-specific or sensitive cases to humans.</w:t>
            </w:r>
          </w:p>
        </w:tc>
      </w:tr>
    </w:tbl>
    <w:p>
      <w:pPr>
        <w:pStyle w:val="Heading1"/>
      </w:pPr>
      <w:r>
        <w:t>7. Challenges &amp; Limitations</w:t>
      </w:r>
    </w:p>
    <w:p>
      <w:r>
        <w:rPr>
          <w:b/>
        </w:rPr>
        <w:t xml:space="preserve">Hallucinations. </w:t>
      </w:r>
      <w:r>
        <w:t>Even strict grounding instructions cannot guarantee perfect model behavior; the confidence gate and human review reduce the risk.</w:t>
      </w:r>
    </w:p>
    <w:p>
      <w:r>
        <w:rPr>
          <w:b/>
        </w:rPr>
        <w:t xml:space="preserve">Knowledge-base freshness. </w:t>
      </w:r>
      <w:r>
        <w:t>Stale ChromaDB content can produce stale answers if policies or product behavior change.</w:t>
      </w:r>
    </w:p>
    <w:p>
      <w:r>
        <w:rPr>
          <w:b/>
        </w:rPr>
        <w:t xml:space="preserve">Privacy and security. </w:t>
      </w:r>
      <w:r>
        <w:t>Customer data and KB content require appropriate access controls, encryption, retention, and operational security.</w:t>
      </w:r>
    </w:p>
    <w:p>
      <w:r>
        <w:rPr>
          <w:b/>
        </w:rPr>
        <w:t xml:space="preserve">Complex or multi-part queries. </w:t>
      </w:r>
      <w:r>
        <w:t>Questions requiring several unrelated actions or account-specific context may trigger medium/low confidence and human review.</w:t>
      </w:r>
    </w:p>
    <w:p>
      <w:r>
        <w:rPr>
          <w:b/>
        </w:rPr>
        <w:t xml:space="preserve">API/model and quota constraints. </w:t>
      </w:r>
      <w:r>
        <w:t>Production deployments must monitor Gmail quotas, model costs, latency, availability, and operational limits; local Ollama reduces model API cost in this implementation.</w:t>
      </w:r>
    </w:p>
    <w:p>
      <w:pPr>
        <w:pStyle w:val="Heading1"/>
      </w:pPr>
      <w:r>
        <w:t>8. Workflow Architecture</w:t>
      </w:r>
    </w:p>
    <w:p>
      <w:r>
        <w:t>The following summary mirrors the implemented node graph. The submitted n8n export remains the authoritative source for exact node positions and connections.</w:t>
      </w:r>
    </w:p>
    <w:p>
      <w:r>
        <w:rPr>
          <w:rFonts w:ascii="Consolas" w:hAnsi="Consolas"/>
          <w:sz w:val="17"/>
        </w:rPr>
        <w:t>Gmail Trigger</w:t>
        <w:br/>
        <w:t xml:space="preserve">    ↓</w:t>
        <w:br/>
        <w:t>Extract &amp; Normalize Email</w:t>
        <w:br/>
        <w:t xml:space="preserve">    ↓</w:t>
        <w:br/>
        <w:t>Prepare Retrieval Input</w:t>
        <w:br/>
        <w:t xml:space="preserve">    ↓</w:t>
        <w:br/>
        <w:t>ChromaDB Retrieval  ←  Ollama Embeddings</w:t>
        <w:br/>
        <w:t xml:space="preserve">    ↓</w:t>
        <w:br/>
        <w:t>Build KB Context</w:t>
        <w:br/>
        <w:t xml:space="preserve">    ↓</w:t>
        <w:br/>
        <w:t>AI Support Agent  ←  Ollama Chat Model</w:t>
        <w:br/>
        <w:t xml:space="preserve">    ↓</w:t>
        <w:br/>
        <w:t>Structured Output Parser</w:t>
        <w:br/>
        <w:t xml:space="preserve">    ↓</w:t>
        <w:br/>
        <w:t>Grounded Support Answer + Thread Data</w:t>
        <w:br/>
        <w:t xml:space="preserve">    ↓</w:t>
        <w:br/>
        <w:t>Duplicate / Sender Validation → Apply Dedup Gate</w:t>
        <w:br/>
        <w:t xml:space="preserve">    ↓</w:t>
        <w:br/>
        <w:t>Human Approval</w:t>
        <w:br/>
        <w:t xml:space="preserve">    ├── High + Answered → Create Gmail Draft</w:t>
        <w:br/>
        <w:t xml:space="preserve">    └── Review / Skip    → Flag for Human Review</w:t>
        <w:br/>
        <w:t xml:space="preserve">                 ↓</w:t>
        <w:br/>
        <w:t xml:space="preserve">          Apply Gmail Label</w:t>
        <w:br/>
        <w:t xml:space="preserve">                 ↓</w:t>
        <w:br/>
        <w:t xml:space="preserve">          Build Audit Log</w:t>
        <w:br/>
        <w:t xml:space="preserve">                 ↓</w:t>
        <w:br/>
        <w:t xml:space="preserve">       Append Audit Log via SSH</w:t>
      </w:r>
    </w:p>
    <w:p>
      <w:pPr>
        <w:pStyle w:val="Heading1"/>
      </w:pPr>
      <w:r>
        <w:t>9. Human-in-the-Loop (Bonus Task)</w:t>
      </w:r>
    </w:p>
    <w:p>
      <w:r>
        <w:t>Human-in-the-loop is a functional part of the workflow. The Human Approval IF node checks two conditions: confidence must equal high AND status must equal answered.</w:t>
      </w:r>
    </w:p>
    <w:p>
      <w:pPr>
        <w:pStyle w:val="ListBullet"/>
      </w:pPr>
      <w:r>
        <w:t>High + answered → Create Gmail Draft.</w:t>
      </w:r>
    </w:p>
    <w:p>
      <w:pPr>
        <w:pStyle w:val="ListBullet"/>
      </w:pPr>
      <w:r>
        <w:t>Medium confidence → Flag for Human Review.</w:t>
      </w:r>
    </w:p>
    <w:p>
      <w:pPr>
        <w:pStyle w:val="ListBullet"/>
      </w:pPr>
      <w:r>
        <w:t>Low confidence → Flag for Human Review.</w:t>
      </w:r>
    </w:p>
    <w:p>
      <w:pPr>
        <w:pStyle w:val="ListBullet"/>
      </w:pPr>
      <w:r>
        <w:t>needs_human_review → Flag for Human Review.</w:t>
      </w:r>
    </w:p>
    <w:p>
      <w:pPr>
        <w:pStyle w:val="ListBullet"/>
      </w:pPr>
      <w:r>
        <w:t>Detected duplicate → Skip normal processing and record the reason.</w:t>
      </w:r>
    </w:p>
    <w:p>
      <w:pPr>
        <w:pStyle w:val="ListBullet"/>
      </w:pPr>
      <w:r>
        <w:t>Invalid/unparseable sender → Skip normal processing and record the validation reason.</w:t>
      </w:r>
    </w:p>
    <w:p>
      <w:r>
        <w:t>Even the high-confidence path does not send automatically. The support agent reviews the Gmail draft and manually sends it. This ensures a person remains responsible for the final customer-facing response.</w:t>
      </w:r>
    </w:p>
    <w:p>
      <w:pPr>
        <w:pStyle w:val="Heading1"/>
      </w:pPr>
      <w:r>
        <w:t>10. Validation &amp; Evidence</w:t>
      </w:r>
    </w:p>
    <w:p>
      <w:r>
        <w:t>The implementation was validated with test executions and the following six evidence screenshots:</w:t>
      </w:r>
    </w:p>
    <w:p>
      <w:pPr>
        <w:pStyle w:val="ListNumber"/>
      </w:pPr>
      <w:r>
        <w:t>Full end-to-end n8n workflow canvas showing the complete RAG, deduplication, human-review, labeling, and audit paths.</w:t>
      </w:r>
    </w:p>
    <w:p>
      <w:pPr>
        <w:pStyle w:val="ListNumber"/>
      </w:pPr>
      <w:r>
        <w:t>Successful workflow execution showing the workflow completed successfully.</w:t>
      </w:r>
    </w:p>
    <w:p>
      <w:pPr>
        <w:pStyle w:val="ListNumber"/>
      </w:pPr>
      <w:r>
        <w:t>ChromaDB Retrieval output showing five retrieved knowledge-base results.</w:t>
      </w:r>
    </w:p>
    <w:p>
      <w:pPr>
        <w:pStyle w:val="ListNumber"/>
      </w:pPr>
      <w:r>
        <w:t>AI Support Agent output showing KB context and the structured answer/confidence/status result.</w:t>
      </w:r>
    </w:p>
    <w:p>
      <w:pPr>
        <w:pStyle w:val="ListNumber"/>
      </w:pPr>
      <w:r>
        <w:t>Human Approval output showing the high + answered gate and branch behavior.</w:t>
      </w:r>
    </w:p>
    <w:p>
      <w:pPr>
        <w:pStyle w:val="ListNumber"/>
      </w:pPr>
      <w:r>
        <w:t>KB ingestion workflow showing eight documents successfully inserted into ChromaDB.</w:t>
      </w:r>
    </w:p>
    <w:p>
      <w:pPr>
        <w:pStyle w:val="Heading1"/>
      </w:pPr>
      <w:r>
        <w:t>11. Deliverables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
              <w:rPr>
                <w:b/>
                <w:sz w:val="19"/>
              </w:rPr>
              <w:t>Deliverable</w:t>
            </w:r>
          </w:p>
        </w:tc>
        <w:tc>
          <w:tcPr>
            <w:tcW w:type="dxa" w:w="3360"/>
            <w:vAlign w:val="center"/>
          </w:tcPr>
          <w:p>
            <w:r/>
            <w:r>
              <w:rPr>
                <w:b/>
                <w:sz w:val="19"/>
              </w:rPr>
              <w:t>Status</w:t>
            </w:r>
          </w:p>
        </w:tc>
        <w:tc>
          <w:tcPr>
            <w:tcW w:type="dxa" w:w="3360"/>
            <w:vAlign w:val="center"/>
          </w:tcPr>
          <w:p>
            <w:r/>
            <w:r>
              <w:rPr>
                <w:b/>
                <w:sz w:val="19"/>
              </w:rPr>
              <w:t>Notes</w:t>
            </w:r>
          </w:p>
        </w:tc>
      </w:tr>
      <w:tr>
        <w:tc>
          <w:tcPr>
            <w:tcW w:type="dxa" w:w="3360"/>
            <w:vAlign w:val="center"/>
          </w:tcPr>
          <w:p>
            <w:r/>
            <w:r>
              <w:rPr>
                <w:b w:val="0"/>
                <w:sz w:val="19"/>
              </w:rPr>
              <w:t>Assignment report</w:t>
            </w:r>
          </w:p>
        </w:tc>
        <w:tc>
          <w:tcPr>
            <w:tcW w:type="dxa" w:w="3360"/>
            <w:vAlign w:val="center"/>
          </w:tcPr>
          <w:p>
            <w:r/>
            <w:r>
              <w:rPr>
                <w:b w:val="0"/>
                <w:sz w:val="19"/>
              </w:rPr>
              <w:t>Complete</w:t>
            </w:r>
          </w:p>
        </w:tc>
        <w:tc>
          <w:tcPr>
            <w:tcW w:type="dxa" w:w="3360"/>
            <w:vAlign w:val="center"/>
          </w:tcPr>
          <w:p>
            <w:r/>
            <w:r>
              <w:rPr>
                <w:b w:val="0"/>
                <w:sz w:val="19"/>
              </w:rPr>
              <w:t>This document.</w:t>
            </w:r>
          </w:p>
        </w:tc>
      </w:tr>
      <w:tr>
        <w:tc>
          <w:tcPr>
            <w:tcW w:type="dxa" w:w="3360"/>
            <w:vAlign w:val="center"/>
          </w:tcPr>
          <w:p>
            <w:r/>
            <w:r>
              <w:rPr>
                <w:b w:val="0"/>
                <w:sz w:val="19"/>
              </w:rPr>
              <w:t>Main n8n workflow export</w:t>
            </w:r>
          </w:p>
        </w:tc>
        <w:tc>
          <w:tcPr>
            <w:tcW w:type="dxa" w:w="3360"/>
            <w:vAlign w:val="center"/>
          </w:tcPr>
          <w:p>
            <w:r/>
            <w:r>
              <w:rPr>
                <w:b w:val="0"/>
                <w:sz w:val="19"/>
              </w:rPr>
              <w:t>Complete</w:t>
            </w:r>
          </w:p>
        </w:tc>
        <w:tc>
          <w:tcPr>
            <w:tcW w:type="dxa" w:w="3360"/>
            <w:vAlign w:val="center"/>
          </w:tcPr>
          <w:p>
            <w:r/>
            <w:r>
              <w:rPr>
                <w:b w:val="0"/>
                <w:sz w:val="19"/>
              </w:rPr>
              <w:t>“RAG - Customer Email Support Agent”; submit alongside this report.</w:t>
            </w:r>
          </w:p>
        </w:tc>
      </w:tr>
      <w:tr>
        <w:tc>
          <w:tcPr>
            <w:tcW w:type="dxa" w:w="3360"/>
            <w:vAlign w:val="center"/>
          </w:tcPr>
          <w:p>
            <w:r/>
            <w:r>
              <w:rPr>
                <w:b w:val="0"/>
                <w:sz w:val="19"/>
              </w:rPr>
              <w:t>KB ingestion workflow/export</w:t>
            </w:r>
          </w:p>
        </w:tc>
        <w:tc>
          <w:tcPr>
            <w:tcW w:type="dxa" w:w="3360"/>
            <w:vAlign w:val="center"/>
          </w:tcPr>
          <w:p>
            <w:r/>
            <w:r>
              <w:rPr>
                <w:b w:val="0"/>
                <w:sz w:val="19"/>
              </w:rPr>
              <w:t>Complete</w:t>
            </w:r>
          </w:p>
        </w:tc>
        <w:tc>
          <w:tcPr>
            <w:tcW w:type="dxa" w:w="3360"/>
            <w:vAlign w:val="center"/>
          </w:tcPr>
          <w:p>
            <w:r/>
            <w:r>
              <w:rPr>
                <w:b w:val="0"/>
                <w:sz w:val="19"/>
              </w:rPr>
              <w:t>“TechSupport Pro KB - Ingestion”; supporting artifact.</w:t>
            </w:r>
          </w:p>
        </w:tc>
      </w:tr>
      <w:tr>
        <w:tc>
          <w:tcPr>
            <w:tcW w:type="dxa" w:w="3360"/>
            <w:vAlign w:val="center"/>
          </w:tcPr>
          <w:p>
            <w:r/>
            <w:r>
              <w:rPr>
                <w:b w:val="0"/>
                <w:sz w:val="19"/>
              </w:rPr>
              <w:t>Six screenshots</w:t>
            </w:r>
          </w:p>
        </w:tc>
        <w:tc>
          <w:tcPr>
            <w:tcW w:type="dxa" w:w="3360"/>
            <w:vAlign w:val="center"/>
          </w:tcPr>
          <w:p>
            <w:r/>
            <w:r>
              <w:rPr>
                <w:b w:val="0"/>
                <w:sz w:val="19"/>
              </w:rPr>
              <w:t>Complete</w:t>
            </w:r>
          </w:p>
        </w:tc>
        <w:tc>
          <w:tcPr>
            <w:tcW w:type="dxa" w:w="3360"/>
            <w:vAlign w:val="center"/>
          </w:tcPr>
          <w:p>
            <w:r/>
            <w:r>
              <w:rPr>
                <w:b w:val="0"/>
                <w:sz w:val="19"/>
              </w:rPr>
              <w:t>Evidence set covering architecture, execution, retrieval, generation, HITL, and KB ingestion.</w:t>
            </w:r>
          </w:p>
        </w:tc>
      </w:tr>
      <w:tr>
        <w:tc>
          <w:tcPr>
            <w:tcW w:type="dxa" w:w="3360"/>
            <w:vAlign w:val="center"/>
          </w:tcPr>
          <w:p>
            <w:r/>
            <w:r>
              <w:rPr>
                <w:b w:val="0"/>
                <w:sz w:val="19"/>
              </w:rPr>
              <w:t>HITL bonus</w:t>
            </w:r>
          </w:p>
        </w:tc>
        <w:tc>
          <w:tcPr>
            <w:tcW w:type="dxa" w:w="3360"/>
            <w:vAlign w:val="center"/>
          </w:tcPr>
          <w:p>
            <w:r/>
            <w:r>
              <w:rPr>
                <w:b w:val="0"/>
                <w:sz w:val="19"/>
              </w:rPr>
              <w:t>Complete</w:t>
            </w:r>
          </w:p>
        </w:tc>
        <w:tc>
          <w:tcPr>
            <w:tcW w:type="dxa" w:w="3360"/>
            <w:vAlign w:val="center"/>
          </w:tcPr>
          <w:p>
            <w:r/>
            <w:r>
              <w:rPr>
                <w:b w:val="0"/>
                <w:sz w:val="19"/>
              </w:rPr>
              <w:t>Human Approval plus Gmail draft/manual-send design.</w:t>
            </w:r>
          </w:p>
        </w:tc>
      </w:tr>
      <w:tr>
        <w:tc>
          <w:tcPr>
            <w:tcW w:type="dxa" w:w="3360"/>
            <w:vAlign w:val="center"/>
          </w:tcPr>
          <w:p>
            <w:r/>
            <w:r>
              <w:rPr>
                <w:b w:val="0"/>
                <w:sz w:val="19"/>
              </w:rPr>
              <w:t>Demo / walkthrough video</w:t>
            </w:r>
          </w:p>
        </w:tc>
        <w:tc>
          <w:tcPr>
            <w:tcW w:type="dxa" w:w="3360"/>
            <w:vAlign w:val="center"/>
          </w:tcPr>
          <w:p>
            <w:r/>
            <w:r>
              <w:rPr>
                <w:b w:val="0"/>
                <w:sz w:val="19"/>
              </w:rPr>
              <w:t>Remaining</w:t>
            </w:r>
          </w:p>
        </w:tc>
        <w:tc>
          <w:tcPr>
            <w:tcW w:type="dxa" w:w="3360"/>
            <w:vAlign w:val="center"/>
          </w:tcPr>
          <w:p>
            <w:r/>
            <w:r>
              <w:rPr>
                <w:b w:val="0"/>
                <w:sz w:val="19"/>
              </w:rPr>
              <w:t>Record a short walkthrough of the working workflow and evidence.</w:t>
            </w:r>
          </w:p>
        </w:tc>
      </w:tr>
    </w:tbl>
    <w:p>
      <w:pPr>
        <w:pStyle w:val="Heading1"/>
      </w:pPr>
      <w:r>
        <w:t>12. Final Notes</w:t>
      </w:r>
    </w:p>
    <w:p>
      <w:r>
        <w:t>The completed solution implements the requested flow: incoming email → normalization → knowledge retrieval → grounded generation → human approval → Gmail draft or review flag → labeling → audit logging. It was built and validated on local/self-hosted n8n running in Docker Desktop. Local Ollama was used for the working embedding and chat runtime because the available OpenAI API account had no remaining credits.</w:t>
      </w:r>
    </w:p>
    <w:p>
      <w:r>
        <w:t>For submission, accompany this report with the exported main workflow JSON, the supporting KB-ingestion workflow/export if required, the six evidence screenshots, and the demonstration video.</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TechSupport Pro — Module 6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