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pPr>
      <w:r>
        <w:rPr>
          <w:rFonts w:ascii="Calibri Light" w:cs="Calibri Light" w:eastAsia="Calibri Light" w:hAnsi="Calibri Light"/>
          <w:b/>
          <w:bCs/>
          <w:color w:val="1F4E5F"/>
          <w:sz w:val="52"/>
          <w:szCs w:val="52"/>
        </w:rPr>
        <w:t xml:space="preserve">WEB APPLICATION</w:t>
      </w:r>
    </w:p>
    <w:p>
      <w:pPr>
        <w:spacing w:after="240"/>
      </w:pPr>
      <w:r>
        <w:rPr>
          <w:rFonts w:ascii="Calibri Light" w:cs="Calibri Light" w:eastAsia="Calibri Light" w:hAnsi="Calibri Light"/>
          <w:color w:val="5A6B75"/>
          <w:sz w:val="30"/>
          <w:szCs w:val="30"/>
        </w:rPr>
        <w:t xml:space="preserve">Technical Architecture</w:t>
      </w:r>
    </w:p>
    <w:p>
      <w:pPr>
        <w:pBdr>
          <w:top w:val="single" w:color="8C6D3F" w:sz="12" w:space="6"/>
        </w:pBdr>
        <w:spacing w:after="40"/>
      </w:pPr>
      <w:r>
        <w:rPr>
          <w:color w:val="6B7780"/>
          <w:sz w:val="20"/>
          <w:szCs w:val="20"/>
        </w:rPr>
        <w:t>Travelers World Map  ·  Document 4 of 5</w:t>
      </w:r>
    </w:p>
    <w:p>
      <w:pPr>
        <w:spacing w:after="640"/>
      </w:pPr>
      <w:r>
        <w:rPr>
          <w:i/>
          <w:iCs/>
          <w:color w:val="6B7780"/>
          <w:sz w:val="20"/>
          <w:szCs w:val="20"/>
        </w:rPr>
        <w:t xml:space="preserve">Stack, data model, map rendering, integrations and operations. The database construction pipeline is code and documents itself; see its README.</w:t>
      </w:r>
    </w:p>
    <w:p>
      <w:pPr>
        <w:spacing w:after="640"/>
      </w:pPr>
      <w:r>
        <w:rPr>
          <w:i/>
          <w:iCs/>
          <w:color w:val="6B7780"/>
          <w:sz w:val="20"/>
          <w:szCs w:val="20"/>
        </w:rPr>
        <w:t>Status, 23 August 2026. Document 5, the MVP specification, is the requirements document for the web application, accepted on 23 August 2026. This document holds — the shape of the system, the data model, the rendering approach, the operational posture — except where document 5 §9 names a different choice for a layer of the stack, and there document 5 wins. Where this document says territory it means the printed tile, as defined in document 1 §2.2. The web region layer, which the application renders instead, is described in §3.1 and §7 below.</w:t>
      </w:r>
    </w:p>
    <w:p>
      <w:pPr>
        <w:spacing w:after="160"/>
      </w:pPr>
      <w:r>
        <w:rPr>
          <w:rFonts w:ascii="Calibri Light" w:cs="Calibri Light" w:eastAsia="Calibri Light" w:hAnsi="Calibri Light"/>
          <w:b/>
          <w:bCs/>
          <w:color w:val="1F4E5F"/>
          <w:sz w:val="26"/>
          <w:szCs w:val="26"/>
        </w:rPr>
        <w:t xml:space="preserve">Contents</w:t>
      </w:r>
    </w:p>
    <w:p>
      <w:pPr>
        <w:spacing w:after="60"/>
        <w:ind w:left="200"/>
      </w:pPr>
      <w:r>
        <w:rPr>
          <w:color w:val="3A4A54"/>
          <w:sz w:val="20"/>
          <w:szCs w:val="20"/>
        </w:rPr>
        <w:t xml:space="preserve">1.  Shape of the system</w:t>
      </w:r>
    </w:p>
    <w:p>
      <w:pPr>
        <w:spacing w:after="60"/>
        <w:ind w:left="200"/>
      </w:pPr>
      <w:r>
        <w:rPr>
          <w:color w:val="3A4A54"/>
          <w:sz w:val="20"/>
          <w:szCs w:val="20"/>
        </w:rPr>
        <w:t xml:space="preserve">2.  Stack, and why</w:t>
      </w:r>
    </w:p>
    <w:p>
      <w:pPr>
        <w:spacing w:after="60"/>
        <w:ind w:left="200"/>
      </w:pPr>
      <w:r>
        <w:rPr>
          <w:color w:val="3A4A54"/>
          <w:sz w:val="20"/>
          <w:szCs w:val="20"/>
        </w:rPr>
        <w:t xml:space="preserve">3.  Data model</w:t>
      </w:r>
    </w:p>
    <w:p>
      <w:pPr>
        <w:spacing w:after="60"/>
        <w:ind w:left="200"/>
      </w:pPr>
      <w:r>
        <w:rPr>
          <w:color w:val="3A4A54"/>
          <w:sz w:val="20"/>
          <w:szCs w:val="20"/>
        </w:rPr>
        <w:t xml:space="preserve">4.  The API</w:t>
      </w:r>
    </w:p>
    <w:p>
      <w:pPr>
        <w:spacing w:after="60"/>
        <w:ind w:left="200"/>
      </w:pPr>
      <w:r>
        <w:rPr>
          <w:color w:val="3A4A54"/>
          <w:sz w:val="20"/>
          <w:szCs w:val="20"/>
        </w:rPr>
        <w:t xml:space="preserve">5.  Map rendering</w:t>
      </w:r>
    </w:p>
    <w:p>
      <w:pPr>
        <w:spacing w:after="60"/>
        <w:ind w:left="200"/>
      </w:pPr>
      <w:r>
        <w:rPr>
          <w:color w:val="3A4A54"/>
          <w:sz w:val="20"/>
          <w:szCs w:val="20"/>
        </w:rPr>
        <w:t xml:space="preserve">6.  Rendering the tiles</w:t>
      </w:r>
    </w:p>
    <w:p>
      <w:pPr>
        <w:spacing w:after="60"/>
        <w:ind w:left="200"/>
      </w:pPr>
      <w:r>
        <w:rPr>
          <w:color w:val="3A4A54"/>
          <w:sz w:val="20"/>
          <w:szCs w:val="20"/>
        </w:rPr>
        <w:t xml:space="preserve">7.  From pipeline to application</w:t>
      </w:r>
    </w:p>
    <w:p>
      <w:pPr>
        <w:spacing w:after="60"/>
        <w:ind w:left="200"/>
      </w:pPr>
      <w:r>
        <w:rPr>
          <w:color w:val="3A4A54"/>
          <w:sz w:val="20"/>
          <w:szCs w:val="20"/>
        </w:rPr>
        <w:t xml:space="preserve">8.  Accounts and sync</w:t>
      </w:r>
    </w:p>
    <w:p>
      <w:pPr>
        <w:spacing w:after="60"/>
        <w:ind w:left="200"/>
      </w:pPr>
      <w:r>
        <w:rPr>
          <w:color w:val="3A4A54"/>
          <w:sz w:val="20"/>
          <w:szCs w:val="20"/>
        </w:rPr>
        <w:t xml:space="preserve">9.  External services</w:t>
      </w:r>
    </w:p>
    <w:p>
      <w:pPr>
        <w:spacing w:after="60"/>
        <w:ind w:left="200"/>
      </w:pPr>
      <w:r>
        <w:rPr>
          <w:color w:val="3A4A54"/>
          <w:sz w:val="20"/>
          <w:szCs w:val="20"/>
        </w:rPr>
        <w:t xml:space="preserve">10.  Offline</w:t>
      </w:r>
    </w:p>
    <w:p>
      <w:pPr>
        <w:spacing w:after="60"/>
        <w:ind w:left="200"/>
      </w:pPr>
      <w:r>
        <w:rPr>
          <w:color w:val="3A4A54"/>
          <w:sz w:val="20"/>
          <w:szCs w:val="20"/>
        </w:rPr>
        <w:t xml:space="preserve">11.  Performance budget</w:t>
      </w:r>
    </w:p>
    <w:p>
      <w:pPr>
        <w:spacing w:after="60"/>
        <w:ind w:left="200"/>
      </w:pPr>
      <w:r>
        <w:rPr>
          <w:color w:val="3A4A54"/>
          <w:sz w:val="20"/>
          <w:szCs w:val="20"/>
        </w:rPr>
        <w:t xml:space="preserve">12.  Privacy and security</w:t>
      </w:r>
    </w:p>
    <w:p>
      <w:pPr>
        <w:spacing w:after="60"/>
        <w:ind w:left="200"/>
      </w:pPr>
      <w:r>
        <w:rPr>
          <w:color w:val="3A4A54"/>
          <w:sz w:val="20"/>
          <w:szCs w:val="20"/>
        </w:rPr>
        <w:t xml:space="preserve">13.  Environments and deployment</w:t>
      </w:r>
    </w:p>
    <w:p>
      <w:pPr>
        <w:spacing w:after="60"/>
        <w:ind w:left="200"/>
      </w:pPr>
      <w:r>
        <w:rPr>
          <w:color w:val="3A4A54"/>
          <w:sz w:val="20"/>
          <w:szCs w:val="20"/>
        </w:rPr>
        <w:t xml:space="preserve">14.  Testing</w:t>
      </w:r>
    </w:p>
    <w:p>
      <w:pPr>
        <w:spacing w:after="60"/>
        <w:ind w:left="200"/>
      </w:pPr>
      <w:r>
        <w:rPr>
          <w:color w:val="3A4A54"/>
          <w:sz w:val="20"/>
          <w:szCs w:val="20"/>
        </w:rPr>
        <w:t xml:space="preserve">15.  Risks worth naming</w:t>
      </w:r>
    </w:p>
    <w:p>
      <w:r>
        <w:br w:type="page"/>
      </w:r>
    </w:p>
    <w:p>
      <w:pPr>
        <w:pStyle w:val="Heading1"/>
        <w:spacing w:after="160" w:before="380"/>
      </w:pPr>
      <w:r>
        <w:rPr>
          <w:rFonts w:ascii="Calibri Light" w:cs="Calibri Light" w:eastAsia="Calibri Light" w:hAnsi="Calibri Light"/>
          <w:b/>
          <w:bCs/>
          <w:color w:val="1F4E5F"/>
          <w:sz w:val="30"/>
          <w:szCs w:val="30"/>
        </w:rPr>
        <w:t xml:space="preserve">1.  Shape of the system</w:t>
      </w:r>
    </w:p>
    <w:p>
      <w:pPr>
        <w:spacing w:after="140" w:line="276"/>
      </w:pPr>
      <w:r>
        <w:t xml:space="preserve">Four pieces, deliberately loosely coupled, because the place database is the asset and must outlive every other choice here.</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4300"/>
        <w:gridCol w:w="32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Piece</w:t>
            </w:r>
          </w:p>
        </w:tc>
        <w:tc>
          <w:tcPr>
            <w:tcW w:type="dxa" w:w="4300"/>
            <w:shd w:fill="1F4E5F" w:val="clear"/>
            <w:tcMar>
              <w:top w:type="dxa" w:w="70"/>
              <w:left w:type="dxa" w:w="110"/>
              <w:bottom w:type="dxa" w:w="70"/>
              <w:right w:type="dxa" w:w="110"/>
            </w:tcMar>
          </w:tcPr>
          <w:p>
            <w:pPr>
              <w:spacing w:after="0" w:line="250"/>
            </w:pPr>
            <w:r>
              <w:rPr>
                <w:b/>
                <w:bCs/>
                <w:color w:val="FFFFFF"/>
                <w:sz w:val="18"/>
                <w:szCs w:val="18"/>
              </w:rPr>
              <w:t xml:space="preserve">What it is</w:t>
            </w:r>
          </w:p>
        </w:tc>
        <w:tc>
          <w:tcPr>
            <w:tcW w:type="dxa" w:w="3200"/>
            <w:shd w:fill="1F4E5F" w:val="clear"/>
            <w:tcMar>
              <w:top w:type="dxa" w:w="70"/>
              <w:left w:type="dxa" w:w="110"/>
              <w:bottom w:type="dxa" w:w="70"/>
              <w:right w:type="dxa" w:w="110"/>
            </w:tcMar>
          </w:tcPr>
          <w:p>
            <w:pPr>
              <w:spacing w:after="0" w:line="250"/>
            </w:pPr>
            <w:r>
              <w:rPr>
                <w:b/>
                <w:bCs/>
                <w:color w:val="FFFFFF"/>
                <w:sz w:val="18"/>
                <w:szCs w:val="18"/>
              </w:rPr>
              <w:t xml:space="preserve">Changes</w:t>
            </w:r>
          </w:p>
        </w:tc>
      </w:tr>
      <w:tr>
        <w:tc>
          <w:tcPr>
            <w:tcW w:type="dxa" w:w="1500"/>
            <w:tcMar>
              <w:top w:type="dxa" w:w="70"/>
              <w:left w:type="dxa" w:w="110"/>
              <w:bottom w:type="dxa" w:w="70"/>
              <w:right w:type="dxa" w:w="110"/>
            </w:tcMar>
          </w:tcPr>
          <w:p>
            <w:pPr>
              <w:spacing w:after="0" w:line="250"/>
            </w:pPr>
            <w:r>
              <w:t xml:space="preserve">Build pipeline</w:t>
            </w:r>
          </w:p>
        </w:tc>
        <w:tc>
          <w:tcPr>
            <w:tcW w:type="dxa" w:w="4300"/>
            <w:tcMar>
              <w:top w:type="dxa" w:w="70"/>
              <w:left w:type="dxa" w:w="110"/>
              <w:bottom w:type="dxa" w:w="70"/>
              <w:right w:type="dxa" w:w="110"/>
            </w:tcMar>
          </w:tcPr>
          <w:p>
            <w:pPr>
              <w:spacing w:after="0" w:line="250"/>
            </w:pPr>
            <w:r>
              <w:t xml:space="preserve">Python. Reads open datasets, scores, selects, emits static artefacts.</w:t>
            </w:r>
          </w:p>
        </w:tc>
        <w:tc>
          <w:tcPr>
            <w:tcW w:type="dxa" w:w="3200"/>
            <w:tcMar>
              <w:top w:type="dxa" w:w="70"/>
              <w:left w:type="dxa" w:w="110"/>
              <w:bottom w:type="dxa" w:w="70"/>
              <w:right w:type="dxa" w:w="110"/>
            </w:tcMar>
          </w:tcPr>
          <w:p>
            <w:pPr>
              <w:spacing w:after="0" w:line="250"/>
            </w:pPr>
            <w:r>
              <w:t xml:space="preserve">When the model or the sources change. Runs offline, on a schedule.</w:t>
            </w:r>
          </w:p>
        </w:tc>
      </w:tr>
      <w:tr>
        <w:tc>
          <w:tcPr>
            <w:tcW w:type="dxa" w:w="1500"/>
            <w:shd w:fill="F7F9FA" w:val="clear"/>
            <w:tcMar>
              <w:top w:type="dxa" w:w="70"/>
              <w:left w:type="dxa" w:w="110"/>
              <w:bottom w:type="dxa" w:w="70"/>
              <w:right w:type="dxa" w:w="110"/>
            </w:tcMar>
          </w:tcPr>
          <w:p>
            <w:pPr>
              <w:spacing w:after="0" w:line="250"/>
            </w:pPr>
            <w:r>
              <w:t xml:space="preserve">Place data</w:t>
            </w:r>
          </w:p>
        </w:tc>
        <w:tc>
          <w:tcPr>
            <w:tcW w:type="dxa" w:w="4300"/>
            <w:shd w:fill="F7F9FA" w:val="clear"/>
            <w:tcMar>
              <w:top w:type="dxa" w:w="70"/>
              <w:left w:type="dxa" w:w="110"/>
              <w:bottom w:type="dxa" w:w="70"/>
              <w:right w:type="dxa" w:w="110"/>
            </w:tcMar>
          </w:tcPr>
          <w:p>
            <w:pPr>
              <w:spacing w:after="0" w:line="250"/>
            </w:pPr>
            <w:r>
              <w:t xml:space="preserve">Static, versioned files on a CDN. Vector tiles plus per-country JSON.</w:t>
            </w:r>
          </w:p>
        </w:tc>
        <w:tc>
          <w:tcPr>
            <w:tcW w:type="dxa" w:w="3200"/>
            <w:shd w:fill="F7F9FA" w:val="clear"/>
            <w:tcMar>
              <w:top w:type="dxa" w:w="70"/>
              <w:left w:type="dxa" w:w="110"/>
              <w:bottom w:type="dxa" w:w="70"/>
              <w:right w:type="dxa" w:w="110"/>
            </w:tcMar>
          </w:tcPr>
          <w:p>
            <w:pPr>
              <w:spacing w:after="0" w:line="250"/>
            </w:pPr>
            <w:r>
              <w:t xml:space="preserve">Only when the pipeline runs. Immutable once published.</w:t>
            </w:r>
          </w:p>
        </w:tc>
      </w:tr>
      <w:tr>
        <w:tc>
          <w:tcPr>
            <w:tcW w:type="dxa" w:w="1500"/>
            <w:tcMar>
              <w:top w:type="dxa" w:w="70"/>
              <w:left w:type="dxa" w:w="110"/>
              <w:bottom w:type="dxa" w:w="70"/>
              <w:right w:type="dxa" w:w="110"/>
            </w:tcMar>
          </w:tcPr>
          <w:p>
            <w:pPr>
              <w:spacing w:after="0" w:line="250"/>
            </w:pPr>
            <w:r>
              <w:t xml:space="preserve">Application</w:t>
            </w:r>
          </w:p>
        </w:tc>
        <w:tc>
          <w:tcPr>
            <w:tcW w:type="dxa" w:w="4300"/>
            <w:tcMar>
              <w:top w:type="dxa" w:w="70"/>
              <w:left w:type="dxa" w:w="110"/>
              <w:bottom w:type="dxa" w:w="70"/>
              <w:right w:type="dxa" w:w="110"/>
            </w:tcMar>
          </w:tcPr>
          <w:p>
            <w:pPr>
              <w:spacing w:after="0" w:line="250"/>
            </w:pPr>
            <w:r>
              <w:t xml:space="preserve">A single-page web client rendering the map and the register.</w:t>
            </w:r>
          </w:p>
        </w:tc>
        <w:tc>
          <w:tcPr>
            <w:tcW w:type="dxa" w:w="3200"/>
            <w:tcMar>
              <w:top w:type="dxa" w:w="70"/>
              <w:left w:type="dxa" w:w="110"/>
              <w:bottom w:type="dxa" w:w="70"/>
              <w:right w:type="dxa" w:w="110"/>
            </w:tcMar>
          </w:tcPr>
          <w:p>
            <w:pPr>
              <w:spacing w:after="0" w:line="250"/>
            </w:pPr>
            <w:r>
              <w:t xml:space="preserve">Continuously.</w:t>
            </w:r>
          </w:p>
        </w:tc>
      </w:tr>
      <w:tr>
        <w:tc>
          <w:tcPr>
            <w:tcW w:type="dxa" w:w="1500"/>
            <w:shd w:fill="F7F9FA" w:val="clear"/>
            <w:tcMar>
              <w:top w:type="dxa" w:w="70"/>
              <w:left w:type="dxa" w:w="110"/>
              <w:bottom w:type="dxa" w:w="70"/>
              <w:right w:type="dxa" w:w="110"/>
            </w:tcMar>
          </w:tcPr>
          <w:p>
            <w:pPr>
              <w:spacing w:after="0" w:line="250"/>
            </w:pPr>
            <w:r>
              <w:t xml:space="preserve">User service</w:t>
            </w:r>
          </w:p>
        </w:tc>
        <w:tc>
          <w:tcPr>
            <w:tcW w:type="dxa" w:w="4300"/>
            <w:shd w:fill="F7F9FA" w:val="clear"/>
            <w:tcMar>
              <w:top w:type="dxa" w:w="70"/>
              <w:left w:type="dxa" w:w="110"/>
              <w:bottom w:type="dxa" w:w="70"/>
              <w:right w:type="dxa" w:w="110"/>
            </w:tcMar>
          </w:tcPr>
          <w:p>
            <w:pPr>
              <w:spacing w:after="0" w:line="250"/>
            </w:pPr>
            <w:r>
              <w:t xml:space="preserve">Accounts and the traveler's own records: visited, notes, trips.</w:t>
            </w:r>
          </w:p>
        </w:tc>
        <w:tc>
          <w:tcPr>
            <w:tcW w:type="dxa" w:w="3200"/>
            <w:shd w:fill="F7F9FA" w:val="clear"/>
            <w:tcMar>
              <w:top w:type="dxa" w:w="70"/>
              <w:left w:type="dxa" w:w="110"/>
              <w:bottom w:type="dxa" w:w="70"/>
              <w:right w:type="dxa" w:w="110"/>
            </w:tcMar>
          </w:tcPr>
          <w:p>
            <w:pPr>
              <w:spacing w:after="0" w:line="250"/>
            </w:pPr>
            <w:r>
              <w:t xml:space="preserve">Continuously. Holds no place data.</w:t>
            </w:r>
          </w:p>
        </w:tc>
      </w:tr>
    </w:tbl>
    <w:p>
      <w:pPr>
        <w:spacing w:after="120"/>
      </w:pPr>
    </w:p>
    <w:p>
      <w:pPr>
        <w:pBdr>
          <w:left w:val="single" w:color="8C6D3F" w:sz="14" w:space="10"/>
        </w:pBdr>
        <w:spacing w:after="160" w:before="120" w:line="268"/>
        <w:ind w:left="340"/>
      </w:pPr>
      <w:r>
        <w:rPr>
          <w:b/>
          <w:bCs/>
        </w:rPr>
        <w:t xml:space="preserve">Place data is static, user data is dynamic, and they never share a database.</w:t>
      </w:r>
      <w:r>
        <w:t xml:space="preserve"> A traveler's record is a set of place identifiers; the places themselves are files. This means the read path for the map costs nothing to serve, the database can be rebuilt without touching user records, and a licence problem with a source can be resolved by republishing files rather than migrating a live system.</w:t>
      </w:r>
    </w:p>
    <w:p>
      <w:pPr>
        <w:pStyle w:val="Heading1"/>
        <w:spacing w:after="160" w:before="380"/>
      </w:pPr>
      <w:r>
        <w:rPr>
          <w:rFonts w:ascii="Calibri Light" w:cs="Calibri Light" w:eastAsia="Calibri Light" w:hAnsi="Calibri Light"/>
          <w:b/>
          <w:bCs/>
          <w:color w:val="1F4E5F"/>
          <w:sz w:val="30"/>
          <w:szCs w:val="30"/>
        </w:rPr>
        <w:t xml:space="preserve">2.  Stack, and why</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2600"/>
        <w:gridCol w:w="49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2600"/>
            <w:shd w:fill="1F4E5F"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4900"/>
            <w:shd w:fill="1F4E5F" w:val="clear"/>
            <w:tcMar>
              <w:top w:type="dxa" w:w="70"/>
              <w:left w:type="dxa" w:w="110"/>
              <w:bottom w:type="dxa" w:w="70"/>
              <w:right w:type="dxa" w:w="110"/>
            </w:tcMar>
          </w:tcPr>
          <w:p>
            <w:pPr>
              <w:spacing w:after="0" w:line="250"/>
            </w:pPr>
            <w:r>
              <w:rPr>
                <w:b/>
                <w:bCs/>
                <w:color w:val="FFFFFF"/>
                <w:sz w:val="18"/>
                <w:szCs w:val="18"/>
              </w:rPr>
              <w:t xml:space="preserve">Reasoning</w:t>
            </w:r>
          </w:p>
        </w:tc>
      </w:tr>
      <w:tr>
        <w:tc>
          <w:tcPr>
            <w:tcW w:type="dxa" w:w="1500"/>
            <w:tcMar>
              <w:top w:type="dxa" w:w="70"/>
              <w:left w:type="dxa" w:w="110"/>
              <w:bottom w:type="dxa" w:w="70"/>
              <w:right w:type="dxa" w:w="110"/>
            </w:tcMar>
          </w:tcPr>
          <w:p>
            <w:pPr>
              <w:spacing w:after="0" w:line="250"/>
            </w:pPr>
            <w:r>
              <w:t xml:space="preserve">Map renderer</w:t>
            </w:r>
          </w:p>
        </w:tc>
        <w:tc>
          <w:tcPr>
            <w:tcW w:type="dxa" w:w="2600"/>
            <w:tcMar>
              <w:top w:type="dxa" w:w="70"/>
              <w:left w:type="dxa" w:w="110"/>
              <w:bottom w:type="dxa" w:w="70"/>
              <w:right w:type="dxa" w:w="110"/>
            </w:tcMar>
          </w:tcPr>
          <w:p>
            <w:pPr>
              <w:spacing w:after="0" w:line="250"/>
            </w:pPr>
            <w:r>
              <w:t xml:space="preserve">MapLibre GL JS</w:t>
            </w:r>
          </w:p>
        </w:tc>
        <w:tc>
          <w:tcPr>
            <w:tcW w:type="dxa" w:w="4900"/>
            <w:tcMar>
              <w:top w:type="dxa" w:w="70"/>
              <w:left w:type="dxa" w:w="110"/>
              <w:bottom w:type="dxa" w:w="70"/>
              <w:right w:type="dxa" w:w="110"/>
            </w:tcMar>
          </w:tcPr>
          <w:p>
            <w:pPr>
              <w:spacing w:after="0" w:line="250"/>
            </w:pPr>
            <w:r>
              <w:t xml:space="preserve">Open licence, no per-load billing, and it renders extruded polygons with true interior rings — which is what makes a drilled hole look drilled. Requires a recent major version: earlier ones stalled for several frames when a map carried around twenty thousand feature-state entries, which is exactly our visited marking at our exact scale.</w:t>
            </w:r>
          </w:p>
        </w:tc>
      </w:tr>
      <w:tr>
        <w:tc>
          <w:tcPr>
            <w:tcW w:type="dxa" w:w="1500"/>
            <w:shd w:fill="F7F9FA" w:val="clear"/>
            <w:tcMar>
              <w:top w:type="dxa" w:w="70"/>
              <w:left w:type="dxa" w:w="110"/>
              <w:bottom w:type="dxa" w:w="70"/>
              <w:right w:type="dxa" w:w="110"/>
            </w:tcMar>
          </w:tcPr>
          <w:p>
            <w:pPr>
              <w:spacing w:after="0" w:line="250"/>
            </w:pPr>
            <w:r>
              <w:t xml:space="preserve">Basemap</w:t>
            </w:r>
          </w:p>
        </w:tc>
        <w:tc>
          <w:tcPr>
            <w:tcW w:type="dxa" w:w="2600"/>
            <w:shd w:fill="F7F9FA" w:val="clear"/>
            <w:tcMar>
              <w:top w:type="dxa" w:w="70"/>
              <w:left w:type="dxa" w:w="110"/>
              <w:bottom w:type="dxa" w:w="70"/>
              <w:right w:type="dxa" w:w="110"/>
            </w:tcMar>
          </w:tcPr>
          <w:p>
            <w:pPr>
              <w:spacing w:after="0" w:line="250"/>
            </w:pPr>
            <w:r>
              <w:t xml:space="preserve">Self-hosted vector tiles from an open planet build, served from object storage with zero egress fees</w:t>
            </w:r>
          </w:p>
        </w:tc>
        <w:tc>
          <w:tcPr>
            <w:tcW w:type="dxa" w:w="4900"/>
            <w:shd w:fill="F7F9FA" w:val="clear"/>
            <w:tcMar>
              <w:top w:type="dxa" w:w="70"/>
              <w:left w:type="dxa" w:w="110"/>
              <w:bottom w:type="dxa" w:w="70"/>
              <w:right w:type="dxa" w:w="110"/>
            </w:tcMar>
          </w:tcPr>
          <w:p>
            <w:pPr>
              <w:spacing w:after="0" w:line="250"/>
            </w:pPr>
            <w:r>
              <w:t xml:space="preserve">A commercial basemap bills per map load and ties the product's cost to its success. A single-file tile archive on zero-egress storage costs on the order of ten dollars a month at proof-of-concept traffic against roughly ten times that on conventional cloud storage.</w:t>
            </w:r>
          </w:p>
        </w:tc>
      </w:tr>
      <w:tr>
        <w:tc>
          <w:tcPr>
            <w:tcW w:type="dxa" w:w="1500"/>
            <w:tcMar>
              <w:top w:type="dxa" w:w="70"/>
              <w:left w:type="dxa" w:w="110"/>
              <w:bottom w:type="dxa" w:w="70"/>
              <w:right w:type="dxa" w:w="110"/>
            </w:tcMar>
          </w:tcPr>
          <w:p>
            <w:pPr>
              <w:spacing w:after="0" w:line="250"/>
            </w:pPr>
            <w:r>
              <w:t xml:space="preserve">Client framework</w:t>
            </w:r>
          </w:p>
        </w:tc>
        <w:tc>
          <w:tcPr>
            <w:tcW w:type="dxa" w:w="2600"/>
            <w:tcMar>
              <w:top w:type="dxa" w:w="70"/>
              <w:left w:type="dxa" w:w="110"/>
              <w:bottom w:type="dxa" w:w="70"/>
              <w:right w:type="dxa" w:w="110"/>
            </w:tcMar>
          </w:tcPr>
          <w:p>
            <w:pPr>
              <w:spacing w:after="0" w:line="250"/>
            </w:pPr>
            <w:r>
              <w:t xml:space="preserve">A component framework with a router and TypeScript</w:t>
            </w:r>
          </w:p>
        </w:tc>
        <w:tc>
          <w:tcPr>
            <w:tcW w:type="dxa" w:w="4900"/>
            <w:tcMar>
              <w:top w:type="dxa" w:w="70"/>
              <w:left w:type="dxa" w:w="110"/>
              <w:bottom w:type="dxa" w:w="70"/>
              <w:right w:type="dxa" w:w="110"/>
            </w:tcMar>
          </w:tcPr>
          <w:p>
            <w:pPr>
              <w:spacing w:after="0" w:line="250"/>
            </w:pPr>
            <w:r>
              <w:t xml:space="preserve">Unremarkable on purpose. The interesting engineering is in the map layer and the data pipeline.</w:t>
            </w:r>
          </w:p>
        </w:tc>
      </w:tr>
      <w:tr>
        <w:tc>
          <w:tcPr>
            <w:tcW w:type="dxa" w:w="1500"/>
            <w:shd w:fill="F7F9FA" w:val="clear"/>
            <w:tcMar>
              <w:top w:type="dxa" w:w="70"/>
              <w:left w:type="dxa" w:w="110"/>
              <w:bottom w:type="dxa" w:w="70"/>
              <w:right w:type="dxa" w:w="110"/>
            </w:tcMar>
          </w:tcPr>
          <w:p>
            <w:pPr>
              <w:spacing w:after="0" w:line="250"/>
            </w:pPr>
            <w:r>
              <w:t xml:space="preserve">Place delivery</w:t>
            </w:r>
          </w:p>
        </w:tc>
        <w:tc>
          <w:tcPr>
            <w:tcW w:type="dxa" w:w="2600"/>
            <w:shd w:fill="F7F9FA" w:val="clear"/>
            <w:tcMar>
              <w:top w:type="dxa" w:w="70"/>
              <w:left w:type="dxa" w:w="110"/>
              <w:bottom w:type="dxa" w:w="70"/>
              <w:right w:type="dxa" w:w="110"/>
            </w:tcMar>
          </w:tcPr>
          <w:p>
            <w:pPr>
              <w:spacing w:after="0" w:line="250"/>
            </w:pPr>
            <w:r>
              <w:t xml:space="preserve">Vector tiles for pins, JSON per country for the register</w:t>
            </w:r>
          </w:p>
        </w:tc>
        <w:tc>
          <w:tcPr>
            <w:tcW w:type="dxa" w:w="4900"/>
            <w:shd w:fill="F7F9FA" w:val="clear"/>
            <w:tcMar>
              <w:top w:type="dxa" w:w="70"/>
              <w:left w:type="dxa" w:w="110"/>
              <w:bottom w:type="dxa" w:w="70"/>
              <w:right w:type="dxa" w:w="110"/>
            </w:tcMar>
          </w:tcPr>
          <w:p>
            <w:pPr>
              <w:spacing w:after="0" w:line="250"/>
            </w:pPr>
            <w:r>
              <w:t xml:space="preserve">Twenty-five thousand points must not be shipped as one GeoJSON blob.</w:t>
            </w:r>
          </w:p>
        </w:tc>
      </w:tr>
      <w:tr>
        <w:tc>
          <w:tcPr>
            <w:tcW w:type="dxa" w:w="1500"/>
            <w:tcMar>
              <w:top w:type="dxa" w:w="70"/>
              <w:left w:type="dxa" w:w="110"/>
              <w:bottom w:type="dxa" w:w="70"/>
              <w:right w:type="dxa" w:w="110"/>
            </w:tcMar>
          </w:tcPr>
          <w:p>
            <w:pPr>
              <w:spacing w:after="0" w:line="250"/>
            </w:pPr>
            <w:r>
              <w:t xml:space="preserve">User service</w:t>
            </w:r>
          </w:p>
        </w:tc>
        <w:tc>
          <w:tcPr>
            <w:tcW w:type="dxa" w:w="2600"/>
            <w:tcMar>
              <w:top w:type="dxa" w:w="70"/>
              <w:left w:type="dxa" w:w="110"/>
              <w:bottom w:type="dxa" w:w="70"/>
              <w:right w:type="dxa" w:w="110"/>
            </w:tcMar>
          </w:tcPr>
          <w:p>
            <w:pPr>
              <w:spacing w:after="0" w:line="250"/>
            </w:pPr>
            <w:r>
              <w:t xml:space="preserve">A managed Postgres-with-auth platform</w:t>
            </w:r>
          </w:p>
        </w:tc>
        <w:tc>
          <w:tcPr>
            <w:tcW w:type="dxa" w:w="4900"/>
            <w:tcMar>
              <w:top w:type="dxa" w:w="70"/>
              <w:left w:type="dxa" w:w="110"/>
              <w:bottom w:type="dxa" w:w="70"/>
              <w:right w:type="dxa" w:w="110"/>
            </w:tcMar>
          </w:tcPr>
          <w:p>
            <w:pPr>
              <w:spacing w:after="0" w:line="250"/>
            </w:pPr>
            <w:r>
              <w:t xml:space="preserve">Auth, row-level security and a REST layer without operating them. Postgres underneath means no lock-in that a dump cannot solve.</w:t>
            </w:r>
          </w:p>
        </w:tc>
      </w:tr>
      <w:tr>
        <w:tc>
          <w:tcPr>
            <w:tcW w:type="dxa" w:w="1500"/>
            <w:shd w:fill="F7F9FA" w:val="clear"/>
            <w:tcMar>
              <w:top w:type="dxa" w:w="70"/>
              <w:left w:type="dxa" w:w="110"/>
              <w:bottom w:type="dxa" w:w="70"/>
              <w:right w:type="dxa" w:w="110"/>
            </w:tcMar>
          </w:tcPr>
          <w:p>
            <w:pPr>
              <w:spacing w:after="0" w:line="250"/>
            </w:pPr>
            <w:r>
              <w:t xml:space="preserve">Build pipeline</w:t>
            </w:r>
          </w:p>
        </w:tc>
        <w:tc>
          <w:tcPr>
            <w:tcW w:type="dxa" w:w="2600"/>
            <w:shd w:fill="F7F9FA" w:val="clear"/>
            <w:tcMar>
              <w:top w:type="dxa" w:w="70"/>
              <w:left w:type="dxa" w:w="110"/>
              <w:bottom w:type="dxa" w:w="70"/>
              <w:right w:type="dxa" w:w="110"/>
            </w:tcMar>
          </w:tcPr>
          <w:p>
            <w:pPr>
              <w:spacing w:after="0" w:line="250"/>
            </w:pPr>
            <w:r>
              <w:t xml:space="preserve">Python with DuckDB</w:t>
            </w:r>
          </w:p>
        </w:tc>
        <w:tc>
          <w:tcPr>
            <w:tcW w:type="dxa" w:w="4900"/>
            <w:shd w:fill="F7F9FA" w:val="clear"/>
            <w:tcMar>
              <w:top w:type="dxa" w:w="70"/>
              <w:left w:type="dxa" w:w="110"/>
              <w:bottom w:type="dxa" w:w="70"/>
              <w:right w:type="dxa" w:w="110"/>
            </w:tcMar>
          </w:tcPr>
          <w:p>
            <w:pPr>
              <w:spacing w:after="0" w:line="250"/>
            </w:pPr>
            <w:r>
              <w:t xml:space="preserve">DuckDB reads the Parquet the open datasets ship in, joins at this scale without a server, and needs no infrastructure.</w:t>
            </w:r>
          </w:p>
        </w:tc>
      </w:tr>
    </w:tbl>
    <w:p>
      <w:pPr>
        <w:spacing w:after="120"/>
      </w:pPr>
    </w:p>
    <w:p>
      <w:pPr>
        <w:pBdr>
          <w:left w:val="single" w:color="8C6D3F" w:sz="14" w:space="10"/>
        </w:pBdr>
        <w:spacing w:after="160" w:before="120" w:line="268"/>
        <w:ind w:left="340"/>
      </w:pPr>
      <w:r>
        <w:rPr>
          <w:b/>
          <w:bCs/>
        </w:rPr>
        <w:t xml:space="preserve">A word on version pinning.</w:t>
      </w:r>
      <w:r>
        <w:t xml:space="preserve"> Several of these choices depend on capabilities that arrived recently — the extrusion bevel, the feature-state performance fix, the tile format. Pin exact versions, verify each capability against its own release notes before relying on it, and re-verify at upgrade. A brief spike against the real dataset is cheaper than discovering a stall at twenty thousand pins in beta.</w:t>
      </w:r>
    </w:p>
    <w:p>
      <w:pPr>
        <w:pStyle w:val="Heading1"/>
        <w:spacing w:after="160" w:before="380"/>
      </w:pPr>
      <w:r>
        <w:rPr>
          <w:rFonts w:ascii="Calibri Light" w:cs="Calibri Light" w:eastAsia="Calibri Light" w:hAnsi="Calibri Light"/>
          <w:b/>
          <w:bCs/>
          <w:color w:val="1F4E5F"/>
          <w:sz w:val="30"/>
          <w:szCs w:val="30"/>
        </w:rPr>
        <w:t xml:space="preserve">3.  Data model</w:t>
      </w:r>
    </w:p>
    <w:p>
      <w:pPr>
        <w:pStyle w:val="Heading2"/>
        <w:spacing w:after="110" w:before="260"/>
      </w:pPr>
      <w:r>
        <w:rPr>
          <w:rFonts w:ascii="Calibri Light" w:cs="Calibri Light" w:eastAsia="Calibri Light" w:hAnsi="Calibri Light"/>
          <w:b/>
          <w:bCs/>
          <w:color w:val="8C6D3F"/>
          <w:sz w:val="24"/>
          <w:szCs w:val="24"/>
        </w:rPr>
        <w:t xml:space="preserve">3.1  Place data — static, published by the pipeline</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700"/>
        <w:gridCol w:w="1300"/>
        <w:gridCol w:w="6000"/>
      </w:tblGrid>
      <w:tr>
        <w:trPr>
          <w:tblHeader/>
        </w:trPr>
        <w:tc>
          <w:tcPr>
            <w:tcW w:type="dxa" w:w="1700"/>
            <w:shd w:fill="1F4E5F" w:val="clear"/>
            <w:tcMar>
              <w:top w:type="dxa" w:w="70"/>
              <w:left w:type="dxa" w:w="110"/>
              <w:bottom w:type="dxa" w:w="70"/>
              <w:right w:type="dxa" w:w="110"/>
            </w:tcMar>
          </w:tcPr>
          <w:p>
            <w:pPr>
              <w:spacing w:after="0" w:line="250"/>
            </w:pPr>
            <w:r>
              <w:rPr>
                <w:b/>
                <w:bCs/>
                <w:color w:val="FFFFFF"/>
                <w:sz w:val="18"/>
                <w:szCs w:val="18"/>
              </w:rPr>
              <w:t xml:space="preserve">Field</w:t>
            </w:r>
          </w:p>
        </w:tc>
        <w:tc>
          <w:tcPr>
            <w:tcW w:type="dxa" w:w="1300"/>
            <w:shd w:fill="1F4E5F" w:val="clear"/>
            <w:tcMar>
              <w:top w:type="dxa" w:w="70"/>
              <w:left w:type="dxa" w:w="110"/>
              <w:bottom w:type="dxa" w:w="70"/>
              <w:right w:type="dxa" w:w="110"/>
            </w:tcMar>
          </w:tcPr>
          <w:p>
            <w:pPr>
              <w:spacing w:after="0" w:line="250"/>
            </w:pPr>
            <w:r>
              <w:rPr>
                <w:b/>
                <w:bCs/>
                <w:color w:val="FFFFFF"/>
                <w:sz w:val="18"/>
                <w:szCs w:val="18"/>
              </w:rPr>
              <w:t xml:space="preserve">Type</w:t>
            </w:r>
          </w:p>
        </w:tc>
        <w:tc>
          <w:tcPr>
            <w:tcW w:type="dxa" w:w="6000"/>
            <w:shd w:fill="1F4E5F" w:val="clear"/>
            <w:tcMar>
              <w:top w:type="dxa" w:w="70"/>
              <w:left w:type="dxa" w:w="110"/>
              <w:bottom w:type="dxa" w:w="70"/>
              <w:right w:type="dxa" w:w="110"/>
            </w:tcMar>
          </w:tcPr>
          <w:p>
            <w:pPr>
              <w:spacing w:after="0" w:line="250"/>
            </w:pPr>
            <w:r>
              <w:rPr>
                <w:b/>
                <w:bCs/>
                <w:color w:val="FFFFFF"/>
                <w:sz w:val="18"/>
                <w:szCs w:val="18"/>
              </w:rPr>
              <w:t xml:space="preserve">Note</w:t>
            </w:r>
          </w:p>
        </w:tc>
      </w:tr>
      <w:tr>
        <w:tc>
          <w:tcPr>
            <w:tcW w:type="dxa" w:w="1700"/>
            <w:tcMar>
              <w:top w:type="dxa" w:w="70"/>
              <w:left w:type="dxa" w:w="110"/>
              <w:bottom w:type="dxa" w:w="70"/>
              <w:right w:type="dxa" w:w="110"/>
            </w:tcMar>
          </w:tcPr>
          <w:p>
            <w:pPr>
              <w:spacing w:after="0" w:line="250"/>
            </w:pPr>
            <w:r>
              <w:t xml:space="preserve">place_id</w:t>
            </w:r>
          </w:p>
        </w:tc>
        <w:tc>
          <w:tcPr>
            <w:tcW w:type="dxa" w:w="1300"/>
            <w:tcMar>
              <w:top w:type="dxa" w:w="70"/>
              <w:left w:type="dxa" w:w="110"/>
              <w:bottom w:type="dxa" w:w="70"/>
              <w:right w:type="dxa" w:w="110"/>
            </w:tcMar>
          </w:tcPr>
          <w:p>
            <w:pPr>
              <w:spacing w:after="0" w:line="250"/>
            </w:pPr>
            <w:r>
              <w:t xml:space="preserve">string</w:t>
            </w:r>
          </w:p>
        </w:tc>
        <w:tc>
          <w:tcPr>
            <w:tcW w:type="dxa" w:w="6000"/>
            <w:tcMar>
              <w:top w:type="dxa" w:w="70"/>
              <w:left w:type="dxa" w:w="110"/>
              <w:bottom w:type="dxa" w:w="70"/>
              <w:right w:type="dxa" w:w="110"/>
            </w:tcMar>
          </w:tcPr>
          <w:p>
            <w:pPr>
              <w:spacing w:after="0" w:line="250"/>
            </w:pPr>
            <w:r>
              <w:t xml:space="preserve">Stable across rebuilds. The only thing user records reference.</w:t>
            </w:r>
          </w:p>
        </w:tc>
      </w:tr>
      <w:tr>
        <w:tc>
          <w:tcPr>
            <w:tcW w:type="dxa" w:w="1700"/>
            <w:shd w:fill="F7F9FA" w:val="clear"/>
            <w:tcMar>
              <w:top w:type="dxa" w:w="70"/>
              <w:left w:type="dxa" w:w="110"/>
              <w:bottom w:type="dxa" w:w="70"/>
              <w:right w:type="dxa" w:w="110"/>
            </w:tcMar>
          </w:tcPr>
          <w:p>
            <w:pPr>
              <w:spacing w:after="0" w:line="250"/>
            </w:pPr>
            <w:r>
              <w:t xml:space="preserve">name, name_local</w:t>
            </w:r>
          </w:p>
        </w:tc>
        <w:tc>
          <w:tcPr>
            <w:tcW w:type="dxa" w:w="1300"/>
            <w:shd w:fill="F7F9FA" w:val="clear"/>
            <w:tcMar>
              <w:top w:type="dxa" w:w="70"/>
              <w:left w:type="dxa" w:w="110"/>
              <w:bottom w:type="dxa" w:w="70"/>
              <w:right w:type="dxa" w:w="110"/>
            </w:tcMar>
          </w:tcPr>
          <w:p>
            <w:pPr>
              <w:spacing w:after="0" w:line="250"/>
            </w:pPr>
            <w:r>
              <w:t xml:space="preserve">string</w:t>
            </w:r>
          </w:p>
        </w:tc>
        <w:tc>
          <w:tcPr>
            <w:tcW w:type="dxa" w:w="6000"/>
            <w:shd w:fill="F7F9FA" w:val="clear"/>
            <w:tcMar>
              <w:top w:type="dxa" w:w="70"/>
              <w:left w:type="dxa" w:w="110"/>
              <w:bottom w:type="dxa" w:w="70"/>
              <w:right w:type="dxa" w:w="110"/>
            </w:tcMar>
          </w:tcPr>
          <w:p>
            <w:pPr>
              <w:spacing w:after="0" w:line="250"/>
            </w:pPr>
            <w:r>
              <w:t xml:space="preserve">Local script preserved; the interface shows both.</w:t>
            </w:r>
          </w:p>
        </w:tc>
      </w:tr>
      <w:tr>
        <w:tc>
          <w:tcPr>
            <w:tcW w:type="dxa" w:w="1700"/>
            <w:tcMar>
              <w:top w:type="dxa" w:w="70"/>
              <w:left w:type="dxa" w:w="110"/>
              <w:bottom w:type="dxa" w:w="70"/>
              <w:right w:type="dxa" w:w="110"/>
            </w:tcMar>
          </w:tcPr>
          <w:p>
            <w:pPr>
              <w:spacing w:after="0" w:line="250"/>
            </w:pPr>
            <w:r>
              <w:t xml:space="preserve">country, territory_id</w:t>
            </w:r>
          </w:p>
        </w:tc>
        <w:tc>
          <w:tcPr>
            <w:tcW w:type="dxa" w:w="1300"/>
            <w:tcMar>
              <w:top w:type="dxa" w:w="70"/>
              <w:left w:type="dxa" w:w="110"/>
              <w:bottom w:type="dxa" w:w="70"/>
              <w:right w:type="dxa" w:w="110"/>
            </w:tcMar>
          </w:tcPr>
          <w:p>
            <w:pPr>
              <w:spacing w:after="0" w:line="250"/>
            </w:pPr>
            <w:r>
              <w:t xml:space="preserve">string</w:t>
            </w:r>
          </w:p>
        </w:tc>
        <w:tc>
          <w:tcPr>
            <w:tcW w:type="dxa" w:w="6000"/>
            <w:tcMar>
              <w:top w:type="dxa" w:w="70"/>
              <w:left w:type="dxa" w:w="110"/>
              <w:bottom w:type="dxa" w:w="70"/>
              <w:right w:type="dxa" w:w="110"/>
            </w:tcMar>
          </w:tcPr>
          <w:p>
            <w:pPr>
              <w:spacing w:after="0" w:line="250"/>
            </w:pPr>
            <w:r>
              <w:t xml:space="preserve">Territory is null until territories are derived.</w:t>
            </w:r>
          </w:p>
        </w:tc>
      </w:tr>
      <w:tr>
        <w:tc>
          <w:tcPr>
            <w:tcW w:type="dxa" w:w="1700"/>
            <w:shd w:fill="F7F9FA" w:val="clear"/>
            <w:tcMar>
              <w:top w:type="dxa" w:w="70"/>
              <w:left w:type="dxa" w:w="110"/>
              <w:bottom w:type="dxa" w:w="70"/>
              <w:right w:type="dxa" w:w="110"/>
            </w:tcMar>
          </w:tcPr>
          <w:p>
            <w:pPr>
              <w:spacing w:after="0" w:line="250"/>
            </w:pPr>
            <w:r>
              <w:t xml:space="preserve">lat, lon</w:t>
            </w:r>
          </w:p>
        </w:tc>
        <w:tc>
          <w:tcPr>
            <w:tcW w:type="dxa" w:w="1300"/>
            <w:shd w:fill="F7F9FA" w:val="clear"/>
            <w:tcMar>
              <w:top w:type="dxa" w:w="70"/>
              <w:left w:type="dxa" w:w="110"/>
              <w:bottom w:type="dxa" w:w="70"/>
              <w:right w:type="dxa" w:w="110"/>
            </w:tcMar>
          </w:tcPr>
          <w:p>
            <w:pPr>
              <w:spacing w:after="0" w:line="250"/>
            </w:pPr>
            <w:r>
              <w:t xml:space="preserve">number</w:t>
            </w:r>
          </w:p>
        </w:tc>
        <w:tc>
          <w:tcPr>
            <w:tcW w:type="dxa" w:w="6000"/>
            <w:shd w:fill="F7F9FA" w:val="clear"/>
            <w:tcMar>
              <w:top w:type="dxa" w:w="70"/>
              <w:left w:type="dxa" w:w="110"/>
              <w:bottom w:type="dxa" w:w="70"/>
              <w:right w:type="dxa" w:w="110"/>
            </w:tcMar>
          </w:tcPr>
          <w:p>
            <w:pPr>
              <w:spacing w:after="0" w:line="250"/>
            </w:pPr>
            <w:r>
              <w:t xml:space="preserve">Four decimals — about 11 m, far finer than the 60 km at which two places become one hole.</w:t>
            </w:r>
          </w:p>
        </w:tc>
      </w:tr>
      <w:tr>
        <w:tc>
          <w:tcPr>
            <w:tcW w:type="dxa" w:w="1700"/>
            <w:tcMar>
              <w:top w:type="dxa" w:w="70"/>
              <w:left w:type="dxa" w:w="110"/>
              <w:bottom w:type="dxa" w:w="70"/>
              <w:right w:type="dxa" w:w="110"/>
            </w:tcMar>
          </w:tcPr>
          <w:p>
            <w:pPr>
              <w:spacing w:after="0" w:line="250"/>
            </w:pPr>
            <w:r>
              <w:t xml:space="preserve">is_site</w:t>
            </w:r>
          </w:p>
        </w:tc>
        <w:tc>
          <w:tcPr>
            <w:tcW w:type="dxa" w:w="1300"/>
            <w:tcMar>
              <w:top w:type="dxa" w:w="70"/>
              <w:left w:type="dxa" w:w="110"/>
              <w:bottom w:type="dxa" w:w="70"/>
              <w:right w:type="dxa" w:w="110"/>
            </w:tcMar>
          </w:tcPr>
          <w:p>
            <w:pPr>
              <w:spacing w:after="0" w:line="250"/>
            </w:pPr>
            <w:r>
              <w:t xml:space="preserve">boolean</w:t>
            </w:r>
          </w:p>
        </w:tc>
        <w:tc>
          <w:tcPr>
            <w:tcW w:type="dxa" w:w="6000"/>
            <w:tcMar>
              <w:top w:type="dxa" w:w="70"/>
              <w:left w:type="dxa" w:w="110"/>
              <w:bottom w:type="dxa" w:w="70"/>
              <w:right w:type="dxa" w:w="110"/>
            </w:tcMar>
          </w:tcPr>
          <w:p>
            <w:pPr>
              <w:spacing w:after="0" w:line="250"/>
            </w:pPr>
            <w:r>
              <w:t xml:space="preserve">A natural or archaeological feature rather than a settlement. Drives marker shape.</w:t>
            </w:r>
          </w:p>
        </w:tc>
      </w:tr>
      <w:tr>
        <w:tc>
          <w:tcPr>
            <w:tcW w:type="dxa" w:w="1700"/>
            <w:shd w:fill="F7F9FA" w:val="clear"/>
            <w:tcMar>
              <w:top w:type="dxa" w:w="70"/>
              <w:left w:type="dxa" w:w="110"/>
              <w:bottom w:type="dxa" w:w="70"/>
              <w:right w:type="dxa" w:w="110"/>
            </w:tcMar>
          </w:tcPr>
          <w:p>
            <w:pPr>
              <w:spacing w:after="0" w:line="250"/>
            </w:pPr>
            <w:r>
              <w:t xml:space="preserve">score</w:t>
            </w:r>
          </w:p>
        </w:tc>
        <w:tc>
          <w:tcPr>
            <w:tcW w:type="dxa" w:w="1300"/>
            <w:shd w:fill="F7F9FA" w:val="clear"/>
            <w:tcMar>
              <w:top w:type="dxa" w:w="70"/>
              <w:left w:type="dxa" w:w="110"/>
              <w:bottom w:type="dxa" w:w="70"/>
              <w:right w:type="dxa" w:w="110"/>
            </w:tcMar>
          </w:tcPr>
          <w:p>
            <w:pPr>
              <w:spacing w:after="0" w:line="250"/>
            </w:pPr>
            <w:r>
              <w:t xml:space="preserve">integer</w:t>
            </w:r>
          </w:p>
        </w:tc>
        <w:tc>
          <w:tcPr>
            <w:tcW w:type="dxa" w:w="6000"/>
            <w:shd w:fill="F7F9FA" w:val="clear"/>
            <w:tcMar>
              <w:top w:type="dxa" w:w="70"/>
              <w:left w:type="dxa" w:w="110"/>
              <w:bottom w:type="dxa" w:w="70"/>
              <w:right w:type="dxa" w:w="110"/>
            </w:tcMar>
          </w:tcPr>
          <w:p>
            <w:pPr>
              <w:spacing w:after="0" w:line="250"/>
            </w:pPr>
            <w:r>
              <w:t xml:space="preserve">0–100 relative to the best in its own country. Never comparable across borders.</w:t>
            </w:r>
          </w:p>
        </w:tc>
      </w:tr>
      <w:tr>
        <w:tc>
          <w:tcPr>
            <w:tcW w:type="dxa" w:w="1700"/>
            <w:tcMar>
              <w:top w:type="dxa" w:w="70"/>
              <w:left w:type="dxa" w:w="110"/>
              <w:bottom w:type="dxa" w:w="70"/>
              <w:right w:type="dxa" w:w="110"/>
            </w:tcMar>
          </w:tcPr>
          <w:p>
            <w:pPr>
              <w:spacing w:after="0" w:line="250"/>
            </w:pPr>
            <w:r>
              <w:t xml:space="preserve">archetypes[], weights[]</w:t>
            </w:r>
          </w:p>
        </w:tc>
        <w:tc>
          <w:tcPr>
            <w:tcW w:type="dxa" w:w="1300"/>
            <w:tcMar>
              <w:top w:type="dxa" w:w="70"/>
              <w:left w:type="dxa" w:w="110"/>
              <w:bottom w:type="dxa" w:w="70"/>
              <w:right w:type="dxa" w:w="110"/>
            </w:tcMar>
          </w:tcPr>
          <w:p>
            <w:pPr>
              <w:spacing w:after="0" w:line="250"/>
            </w:pPr>
            <w:r>
              <w:t xml:space="preserve">array</w:t>
            </w:r>
          </w:p>
        </w:tc>
        <w:tc>
          <w:tcPr>
            <w:tcW w:type="dxa" w:w="6000"/>
            <w:tcMar>
              <w:top w:type="dxa" w:w="70"/>
              <w:left w:type="dxa" w:w="110"/>
              <w:bottom w:type="dxa" w:w="70"/>
              <w:right w:type="dxa" w:w="110"/>
            </w:tcMar>
          </w:tcPr>
          <w:p>
            <w:pPr>
              <w:spacing w:after="0" w:line="250"/>
            </w:pPr>
            <w:r>
              <w:t xml:space="preserve">The kinds of place it represents. Drives the coverage meter.</w:t>
            </w:r>
          </w:p>
        </w:tc>
      </w:tr>
      <w:tr>
        <w:tc>
          <w:tcPr>
            <w:tcW w:type="dxa" w:w="1700"/>
            <w:shd w:fill="F7F9FA" w:val="clear"/>
            <w:tcMar>
              <w:top w:type="dxa" w:w="70"/>
              <w:left w:type="dxa" w:w="110"/>
              <w:bottom w:type="dxa" w:w="70"/>
              <w:right w:type="dxa" w:w="110"/>
            </w:tcMar>
          </w:tcPr>
          <w:p>
            <w:pPr>
              <w:spacing w:after="0" w:line="250"/>
            </w:pPr>
            <w:r>
              <w:t xml:space="preserve">whs</w:t>
            </w:r>
          </w:p>
        </w:tc>
        <w:tc>
          <w:tcPr>
            <w:tcW w:type="dxa" w:w="1300"/>
            <w:shd w:fill="F7F9FA" w:val="clear"/>
            <w:tcMar>
              <w:top w:type="dxa" w:w="70"/>
              <w:left w:type="dxa" w:w="110"/>
              <w:bottom w:type="dxa" w:w="70"/>
              <w:right w:type="dxa" w:w="110"/>
            </w:tcMar>
          </w:tcPr>
          <w:p>
            <w:pPr>
              <w:spacing w:after="0" w:line="250"/>
            </w:pPr>
            <w:r>
              <w:t xml:space="preserve">integer</w:t>
            </w:r>
          </w:p>
        </w:tc>
        <w:tc>
          <w:tcPr>
            <w:tcW w:type="dxa" w:w="6000"/>
            <w:shd w:fill="F7F9FA" w:val="clear"/>
            <w:tcMar>
              <w:top w:type="dxa" w:w="70"/>
              <w:left w:type="dxa" w:w="110"/>
              <w:bottom w:type="dxa" w:w="70"/>
              <w:right w:type="dxa" w:w="110"/>
            </w:tcMar>
          </w:tcPr>
          <w:p>
            <w:pPr>
              <w:spacing w:after="0" w:line="250"/>
            </w:pPr>
            <w:r>
              <w:t xml:space="preserve">World Heritage inscriptions.</w:t>
            </w:r>
          </w:p>
        </w:tc>
      </w:tr>
      <w:tr>
        <w:tc>
          <w:tcPr>
            <w:tcW w:type="dxa" w:w="1700"/>
            <w:tcMar>
              <w:top w:type="dxa" w:w="70"/>
              <w:left w:type="dxa" w:w="110"/>
              <w:bottom w:type="dxa" w:w="70"/>
              <w:right w:type="dxa" w:w="110"/>
            </w:tcMar>
          </w:tcPr>
          <w:p>
            <w:pPr>
              <w:spacing w:after="0" w:line="250"/>
            </w:pPr>
            <w:r>
              <w:t xml:space="preserve">best_months[]</w:t>
            </w:r>
          </w:p>
        </w:tc>
        <w:tc>
          <w:tcPr>
            <w:tcW w:type="dxa" w:w="1300"/>
            <w:tcMar>
              <w:top w:type="dxa" w:w="70"/>
              <w:left w:type="dxa" w:w="110"/>
              <w:bottom w:type="dxa" w:w="70"/>
              <w:right w:type="dxa" w:w="110"/>
            </w:tcMar>
          </w:tcPr>
          <w:p>
            <w:pPr>
              <w:spacing w:after="0" w:line="250"/>
            </w:pPr>
            <w:r>
              <w:t xml:space="preserve">array</w:t>
            </w:r>
          </w:p>
        </w:tc>
        <w:tc>
          <w:tcPr>
            <w:tcW w:type="dxa" w:w="6000"/>
            <w:tcMar>
              <w:top w:type="dxa" w:w="70"/>
              <w:left w:type="dxa" w:w="110"/>
              <w:bottom w:type="dxa" w:w="70"/>
              <w:right w:type="dxa" w:w="110"/>
            </w:tcMar>
          </w:tcPr>
          <w:p>
            <w:pPr>
              <w:spacing w:after="0" w:line="250"/>
            </w:pPr>
            <w:r>
              <w:t xml:space="preserve">Seasonality. Metadata for planning, never a score penalty.</w:t>
            </w:r>
          </w:p>
        </w:tc>
      </w:tr>
      <w:tr>
        <w:tc>
          <w:tcPr>
            <w:tcW w:type="dxa" w:w="1700"/>
            <w:shd w:fill="F7F9FA" w:val="clear"/>
            <w:tcMar>
              <w:top w:type="dxa" w:w="70"/>
              <w:left w:type="dxa" w:w="110"/>
              <w:bottom w:type="dxa" w:w="70"/>
              <w:right w:type="dxa" w:w="110"/>
            </w:tcMar>
          </w:tcPr>
          <w:p>
            <w:pPr>
              <w:spacing w:after="0" w:line="250"/>
            </w:pPr>
            <w:r>
              <w:t xml:space="preserve">on_printed_map</w:t>
            </w:r>
          </w:p>
        </w:tc>
        <w:tc>
          <w:tcPr>
            <w:tcW w:type="dxa" w:w="1300"/>
            <w:shd w:fill="F7F9FA" w:val="clear"/>
            <w:tcMar>
              <w:top w:type="dxa" w:w="70"/>
              <w:left w:type="dxa" w:w="110"/>
              <w:bottom w:type="dxa" w:w="70"/>
              <w:right w:type="dxa" w:w="110"/>
            </w:tcMar>
          </w:tcPr>
          <w:p>
            <w:pPr>
              <w:spacing w:after="0" w:line="250"/>
            </w:pPr>
            <w:r>
              <w:t xml:space="preserve">boolean</w:t>
            </w:r>
          </w:p>
        </w:tc>
        <w:tc>
          <w:tcPr>
            <w:tcW w:type="dxa" w:w="6000"/>
            <w:shd w:fill="F7F9FA" w:val="clear"/>
            <w:tcMar>
              <w:top w:type="dxa" w:w="70"/>
              <w:left w:type="dxa" w:w="110"/>
              <w:bottom w:type="dxa" w:w="70"/>
              <w:right w:type="dxa" w:w="110"/>
            </w:tcMar>
          </w:tcPr>
          <w:p>
            <w:pPr>
              <w:spacing w:after="0" w:line="250"/>
            </w:pPr>
            <w:r>
              <w:t xml:space="preserve">Whether it survives the hole budget and the spacing rule.</w:t>
            </w:r>
          </w:p>
        </w:tc>
      </w:tr>
      <w:tr>
        <w:tc>
          <w:tcPr>
            <w:tcW w:type="dxa" w:w="1700"/>
            <w:tcMar>
              <w:top w:type="dxa" w:w="70"/>
              <w:left w:type="dxa" w:w="110"/>
              <w:bottom w:type="dxa" w:w="70"/>
              <w:right w:type="dxa" w:w="110"/>
            </w:tcMar>
          </w:tcPr>
          <w:p>
            <w:pPr>
              <w:spacing w:after="0" w:line="250"/>
            </w:pPr>
            <w:r>
              <w:t xml:space="preserve">sources[]</w:t>
            </w:r>
          </w:p>
        </w:tc>
        <w:tc>
          <w:tcPr>
            <w:tcW w:type="dxa" w:w="1300"/>
            <w:tcMar>
              <w:top w:type="dxa" w:w="70"/>
              <w:left w:type="dxa" w:w="110"/>
              <w:bottom w:type="dxa" w:w="70"/>
              <w:right w:type="dxa" w:w="110"/>
            </w:tcMar>
          </w:tcPr>
          <w:p>
            <w:pPr>
              <w:spacing w:after="0" w:line="250"/>
            </w:pPr>
            <w:r>
              <w:t xml:space="preserve">array</w:t>
            </w:r>
          </w:p>
        </w:tc>
        <w:tc>
          <w:tcPr>
            <w:tcW w:type="dxa" w:w="6000"/>
            <w:tcMar>
              <w:top w:type="dxa" w:w="70"/>
              <w:left w:type="dxa" w:w="110"/>
              <w:bottom w:type="dxa" w:w="70"/>
              <w:right w:type="dxa" w:w="110"/>
            </w:tcMar>
          </w:tcPr>
          <w:p>
            <w:pPr>
              <w:spacing w:after="0" w:line="250"/>
            </w:pPr>
            <w:r>
              <w:t xml:space="preserve">Provenance, for licence audit.</w:t>
            </w:r>
          </w:p>
        </w:tc>
      </w:tr>
    </w:tbl>
    <w:p>
      <w:pPr>
        <w:spacing w:after="120"/>
      </w:pPr>
    </w:p>
    <w:p>
      <w:pPr>
        <w:pBdr>
          <w:left w:val="single" w:color="8C6D3F" w:sz="14" w:space="10"/>
        </w:pBdr>
        <w:spacing w:after="160" w:before="120" w:line="268"/>
        <w:ind w:left="340"/>
      </w:pPr>
      <w:r>
        <w:rPr>
          <w:b/>
          <w:bCs/>
        </w:rPr>
        <w:t xml:space="preserve">place_id stability is a hard contract.</w:t>
      </w:r>
      <w:r>
        <w:t xml:space="preserve"> A traveler's record is a list of these identifiers, so a rebuild that renumbers places silently destroys travel histories. The pipeline derives them from stable upstream identifiers, and any rebuild that changes one must be treated as a migration, with a mapping table, not as a routine publish.</w:t>
      </w:r>
    </w:p>
    <w:p>
      <w:pPr>
        <w:pBdr>
          <w:left w:val="single" w:color="8C6D3F" w:sz="14" w:space="10"/>
        </w:pBdr>
        <w:spacing w:after="160" w:before="120" w:line="268"/>
        <w:ind w:left="340"/>
      </w:pPr>
      <w:r>
        <w:rPr>
          <w:b/>
          <w:bCs/>
        </w:rPr>
        <w:t>Two polygon references, not one. region_id names the web region containing the place and is never null: every place in the application sits in exactly one region, and a place without one fails the build. territory_id names the printed tile and is null for any place that does not reach the printed map. The two come from different files, and neither can be derived from the other.</w:t>
      </w:r>
    </w:p>
    <w:p>
      <w:pPr>
        <w:pBdr>
          <w:left w:val="single" w:color="8C6D3F" w:sz="14" w:space="10"/>
        </w:pBdr>
        <w:spacing w:after="160" w:before="120" w:line="268"/>
        <w:ind w:left="340"/>
      </w:pPr>
      <w:r>
        <w:rPr>
          <w:b/>
          <w:bCs/>
        </w:rPr>
        <w:t>country carries the administering state for a place in dissolved territory, and disputed carries the code of the dissolved territory where one applies: Laayoune reads country Morocco, disputed ESH. The application uses disputed to say that sovereignty is contested without drawing a border, and to refuse to inherit the administering state's rules — a visa regime, for instance — for places inside it.</w:t>
      </w:r>
    </w:p>
    <w:p>
      <w:pPr>
        <w:pStyle w:val="Heading2"/>
        <w:spacing w:after="110" w:before="260"/>
      </w:pPr>
      <w:r>
        <w:rPr>
          <w:rFonts w:ascii="Calibri Light" w:cs="Calibri Light" w:eastAsia="Calibri Light" w:hAnsi="Calibri Light"/>
          <w:b/>
          <w:bCs/>
          <w:color w:val="8C6D3F"/>
          <w:sz w:val="24"/>
          <w:szCs w:val="24"/>
        </w:rPr>
        <w:t xml:space="preserve">3.2  User data — dynamic, owned by the traveler</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75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Table</w:t>
            </w:r>
          </w:p>
        </w:tc>
        <w:tc>
          <w:tcPr>
            <w:tcW w:type="dxa" w:w="7500"/>
            <w:shd w:fill="1F4E5F" w:val="clear"/>
            <w:tcMar>
              <w:top w:type="dxa" w:w="70"/>
              <w:left w:type="dxa" w:w="110"/>
              <w:bottom w:type="dxa" w:w="70"/>
              <w:right w:type="dxa" w:w="110"/>
            </w:tcMar>
          </w:tcPr>
          <w:p>
            <w:pPr>
              <w:spacing w:after="0" w:line="250"/>
            </w:pPr>
            <w:r>
              <w:rPr>
                <w:b/>
                <w:bCs/>
                <w:color w:val="FFFFFF"/>
                <w:sz w:val="18"/>
                <w:szCs w:val="18"/>
              </w:rPr>
              <w:t xml:space="preserve">Holds</w:t>
            </w:r>
          </w:p>
        </w:tc>
      </w:tr>
      <w:tr>
        <w:tc>
          <w:tcPr>
            <w:tcW w:type="dxa" w:w="1500"/>
            <w:tcMar>
              <w:top w:type="dxa" w:w="70"/>
              <w:left w:type="dxa" w:w="110"/>
              <w:bottom w:type="dxa" w:w="70"/>
              <w:right w:type="dxa" w:w="110"/>
            </w:tcMar>
          </w:tcPr>
          <w:p>
            <w:pPr>
              <w:spacing w:after="0" w:line="250"/>
            </w:pPr>
            <w:r>
              <w:t xml:space="preserve">visit</w:t>
            </w:r>
          </w:p>
        </w:tc>
        <w:tc>
          <w:tcPr>
            <w:tcW w:type="dxa" w:w="7500"/>
            <w:tcMar>
              <w:top w:type="dxa" w:w="70"/>
              <w:left w:type="dxa" w:w="110"/>
              <w:bottom w:type="dxa" w:w="70"/>
              <w:right w:type="dxa" w:w="110"/>
            </w:tcMar>
          </w:tcPr>
          <w:p>
            <w:pPr>
              <w:spacing w:after="0" w:line="250"/>
            </w:pPr>
            <w:r>
              <w:t xml:space="preserve">user, place_id, marked_at, optional visited_on, optional note. One row per marked place.</w:t>
            </w:r>
          </w:p>
        </w:tc>
      </w:tr>
      <w:tr>
        <w:tc>
          <w:tcPr>
            <w:tcW w:type="dxa" w:w="1500"/>
            <w:shd w:fill="F7F9FA" w:val="clear"/>
            <w:tcMar>
              <w:top w:type="dxa" w:w="70"/>
              <w:left w:type="dxa" w:w="110"/>
              <w:bottom w:type="dxa" w:w="70"/>
              <w:right w:type="dxa" w:w="110"/>
            </w:tcMar>
          </w:tcPr>
          <w:p>
            <w:pPr>
              <w:spacing w:after="0" w:line="250"/>
            </w:pPr>
            <w:r>
              <w:t xml:space="preserve">trip</w:t>
            </w:r>
          </w:p>
        </w:tc>
        <w:tc>
          <w:tcPr>
            <w:tcW w:type="dxa" w:w="7500"/>
            <w:shd w:fill="F7F9FA" w:val="clear"/>
            <w:tcMar>
              <w:top w:type="dxa" w:w="70"/>
              <w:left w:type="dxa" w:w="110"/>
              <w:bottom w:type="dxa" w:w="70"/>
              <w:right w:type="dxa" w:w="110"/>
            </w:tcMar>
          </w:tcPr>
          <w:p>
            <w:pPr>
              <w:spacing w:after="0" w:line="250"/>
            </w:pPr>
            <w:r>
              <w:t xml:space="preserve">user, title, dates, and an ordered list of days.</w:t>
            </w:r>
          </w:p>
        </w:tc>
      </w:tr>
      <w:tr>
        <w:tc>
          <w:tcPr>
            <w:tcW w:type="dxa" w:w="1500"/>
            <w:tcMar>
              <w:top w:type="dxa" w:w="70"/>
              <w:left w:type="dxa" w:w="110"/>
              <w:bottom w:type="dxa" w:w="70"/>
              <w:right w:type="dxa" w:w="110"/>
            </w:tcMar>
          </w:tcPr>
          <w:p>
            <w:pPr>
              <w:spacing w:after="0" w:line="250"/>
            </w:pPr>
            <w:r>
              <w:t xml:space="preserve">trip_place</w:t>
            </w:r>
          </w:p>
        </w:tc>
        <w:tc>
          <w:tcPr>
            <w:tcW w:type="dxa" w:w="7500"/>
            <w:tcMar>
              <w:top w:type="dxa" w:w="70"/>
              <w:left w:type="dxa" w:w="110"/>
              <w:bottom w:type="dxa" w:w="70"/>
              <w:right w:type="dxa" w:w="110"/>
            </w:tcMar>
          </w:tcPr>
          <w:p>
            <w:pPr>
              <w:spacing w:after="0" w:line="250"/>
            </w:pPr>
            <w:r>
              <w:t xml:space="preserve">trip, place_id, day index, position. Ordering by position, never by array index.</w:t>
            </w:r>
          </w:p>
        </w:tc>
      </w:tr>
      <w:tr>
        <w:tc>
          <w:tcPr>
            <w:tcW w:type="dxa" w:w="1500"/>
            <w:shd w:fill="F7F9FA" w:val="clear"/>
            <w:tcMar>
              <w:top w:type="dxa" w:w="70"/>
              <w:left w:type="dxa" w:w="110"/>
              <w:bottom w:type="dxa" w:w="70"/>
              <w:right w:type="dxa" w:w="110"/>
            </w:tcMar>
          </w:tcPr>
          <w:p>
            <w:pPr>
              <w:spacing w:after="0" w:line="250"/>
            </w:pPr>
            <w:r>
              <w:t xml:space="preserve">profile</w:t>
            </w:r>
          </w:p>
        </w:tc>
        <w:tc>
          <w:tcPr>
            <w:tcW w:type="dxa" w:w="7500"/>
            <w:shd w:fill="F7F9FA" w:val="clear"/>
            <w:tcMar>
              <w:top w:type="dxa" w:w="70"/>
              <w:left w:type="dxa" w:w="110"/>
              <w:bottom w:type="dxa" w:w="70"/>
              <w:right w:type="dxa" w:w="110"/>
            </w:tcMar>
          </w:tcPr>
          <w:p>
            <w:pPr>
              <w:spacing w:after="0" w:line="250"/>
            </w:pPr>
            <w:r>
              <w:t xml:space="preserve">display name, home country, units, theme.</w:t>
            </w:r>
          </w:p>
        </w:tc>
      </w:tr>
    </w:tbl>
    <w:p>
      <w:pPr>
        <w:spacing w:after="120"/>
      </w:pPr>
    </w:p>
    <w:p>
      <w:pPr>
        <w:spacing w:after="140" w:line="276"/>
      </w:pPr>
      <w:r>
        <w:t xml:space="preserve">Row-level security scopes every row to its owner. </w:t>
      </w:r>
      <w:r>
        <w:rPr>
          <w:b/>
          <w:bCs/>
        </w:rPr>
        <w:t xml:space="preserve">A visit row is never hard-deleted</w:t>
      </w:r>
      <w:r>
        <w:t xml:space="preserve"> — unmarking sets a flag — so that a note survives an accidental tap. This is the difference between a record a traveler trusts and one they do not.</w:t>
      </w:r>
    </w:p>
    <w:p>
      <w:pPr>
        <w:pStyle w:val="Heading1"/>
        <w:spacing w:after="160" w:before="380"/>
      </w:pPr>
      <w:r>
        <w:rPr>
          <w:rFonts w:ascii="Calibri Light" w:cs="Calibri Light" w:eastAsia="Calibri Light" w:hAnsi="Calibri Light"/>
          <w:b/>
          <w:bCs/>
          <w:color w:val="1F4E5F"/>
          <w:sz w:val="30"/>
          <w:szCs w:val="30"/>
        </w:rPr>
        <w:t xml:space="preserve">4.  The API</w:t>
      </w:r>
    </w:p>
    <w:p>
      <w:pPr>
        <w:spacing w:after="140" w:line="276"/>
      </w:pPr>
      <w:r>
        <w:t xml:space="preserve">Small on purpose. The map reads static files; the API only touches things the traveler owns.</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2100"/>
        <w:gridCol w:w="6900"/>
      </w:tblGrid>
      <w:tr>
        <w:trPr>
          <w:tblHeader/>
        </w:trPr>
        <w:tc>
          <w:tcPr>
            <w:tcW w:type="dxa" w:w="2100"/>
            <w:shd w:fill="1F4E5F" w:val="clear"/>
            <w:tcMar>
              <w:top w:type="dxa" w:w="70"/>
              <w:left w:type="dxa" w:w="110"/>
              <w:bottom w:type="dxa" w:w="70"/>
              <w:right w:type="dxa" w:w="110"/>
            </w:tcMar>
          </w:tcPr>
          <w:p>
            <w:pPr>
              <w:spacing w:after="0" w:line="250"/>
            </w:pPr>
            <w:r>
              <w:rPr>
                <w:b/>
                <w:bCs/>
                <w:color w:val="FFFFFF"/>
                <w:sz w:val="18"/>
                <w:szCs w:val="18"/>
              </w:rPr>
              <w:t xml:space="preserve">Endpoint</w:t>
            </w:r>
          </w:p>
        </w:tc>
        <w:tc>
          <w:tcPr>
            <w:tcW w:type="dxa" w:w="6900"/>
            <w:shd w:fill="1F4E5F" w:val="clear"/>
            <w:tcMar>
              <w:top w:type="dxa" w:w="70"/>
              <w:left w:type="dxa" w:w="110"/>
              <w:bottom w:type="dxa" w:w="70"/>
              <w:right w:type="dxa" w:w="110"/>
            </w:tcMar>
          </w:tcPr>
          <w:p>
            <w:pPr>
              <w:spacing w:after="0" w:line="250"/>
            </w:pPr>
            <w:r>
              <w:rPr>
                <w:b/>
                <w:bCs/>
                <w:color w:val="FFFFFF"/>
                <w:sz w:val="18"/>
                <w:szCs w:val="18"/>
              </w:rPr>
              <w:t xml:space="preserve">Purpose</w:t>
            </w:r>
          </w:p>
        </w:tc>
      </w:tr>
      <w:tr>
        <w:tc>
          <w:tcPr>
            <w:tcW w:type="dxa" w:w="2100"/>
            <w:tcMar>
              <w:top w:type="dxa" w:w="70"/>
              <w:left w:type="dxa" w:w="110"/>
              <w:bottom w:type="dxa" w:w="70"/>
              <w:right w:type="dxa" w:w="110"/>
            </w:tcMar>
          </w:tcPr>
          <w:p>
            <w:pPr>
              <w:spacing w:after="0" w:line="250"/>
            </w:pPr>
            <w:r>
              <w:t xml:space="preserve">GET /visits</w:t>
            </w:r>
          </w:p>
        </w:tc>
        <w:tc>
          <w:tcPr>
            <w:tcW w:type="dxa" w:w="6900"/>
            <w:tcMar>
              <w:top w:type="dxa" w:w="70"/>
              <w:left w:type="dxa" w:w="110"/>
              <w:bottom w:type="dxa" w:w="70"/>
              <w:right w:type="dxa" w:w="110"/>
            </w:tcMar>
          </w:tcPr>
          <w:p>
            <w:pPr>
              <w:spacing w:after="0" w:line="250"/>
            </w:pPr>
            <w:r>
              <w:t xml:space="preserve">The traveler's marked places. Cached locally, reconciled on load.</w:t>
            </w:r>
          </w:p>
        </w:tc>
      </w:tr>
      <w:tr>
        <w:tc>
          <w:tcPr>
            <w:tcW w:type="dxa" w:w="2100"/>
            <w:shd w:fill="F7F9FA" w:val="clear"/>
            <w:tcMar>
              <w:top w:type="dxa" w:w="70"/>
              <w:left w:type="dxa" w:w="110"/>
              <w:bottom w:type="dxa" w:w="70"/>
              <w:right w:type="dxa" w:w="110"/>
            </w:tcMar>
          </w:tcPr>
          <w:p>
            <w:pPr>
              <w:spacing w:after="0" w:line="250"/>
            </w:pPr>
            <w:r>
              <w:t xml:space="preserve">PUT /visits/{place_id}</w:t>
            </w:r>
          </w:p>
        </w:tc>
        <w:tc>
          <w:tcPr>
            <w:tcW w:type="dxa" w:w="6900"/>
            <w:shd w:fill="F7F9FA" w:val="clear"/>
            <w:tcMar>
              <w:top w:type="dxa" w:w="70"/>
              <w:left w:type="dxa" w:w="110"/>
              <w:bottom w:type="dxa" w:w="70"/>
              <w:right w:type="dxa" w:w="110"/>
            </w:tcMar>
          </w:tcPr>
          <w:p>
            <w:pPr>
              <w:spacing w:after="0" w:line="250"/>
            </w:pPr>
            <w:r>
              <w:t xml:space="preserve">Mark or unmark. Idempotent, so a retry after a dropped connection is safe.</w:t>
            </w:r>
          </w:p>
        </w:tc>
      </w:tr>
      <w:tr>
        <w:tc>
          <w:tcPr>
            <w:tcW w:type="dxa" w:w="2100"/>
            <w:tcMar>
              <w:top w:type="dxa" w:w="70"/>
              <w:left w:type="dxa" w:w="110"/>
              <w:bottom w:type="dxa" w:w="70"/>
              <w:right w:type="dxa" w:w="110"/>
            </w:tcMar>
          </w:tcPr>
          <w:p>
            <w:pPr>
              <w:spacing w:after="0" w:line="250"/>
            </w:pPr>
            <w:r>
              <w:t xml:space="preserve">POST /visits/bulk</w:t>
            </w:r>
          </w:p>
        </w:tc>
        <w:tc>
          <w:tcPr>
            <w:tcW w:type="dxa" w:w="6900"/>
            <w:tcMar>
              <w:top w:type="dxa" w:w="70"/>
              <w:left w:type="dxa" w:w="110"/>
              <w:bottom w:type="dxa" w:w="70"/>
              <w:right w:type="dxa" w:w="110"/>
            </w:tcMar>
          </w:tcPr>
          <w:p>
            <w:pPr>
              <w:spacing w:after="0" w:line="250"/>
            </w:pPr>
            <w:r>
              <w:t xml:space="preserve">Marking a country's obvious places at once — the onboarding path for someone with thirty years of travel behind them.</w:t>
            </w:r>
          </w:p>
        </w:tc>
      </w:tr>
      <w:tr>
        <w:tc>
          <w:tcPr>
            <w:tcW w:type="dxa" w:w="2100"/>
            <w:shd w:fill="F7F9FA" w:val="clear"/>
            <w:tcMar>
              <w:top w:type="dxa" w:w="70"/>
              <w:left w:type="dxa" w:w="110"/>
              <w:bottom w:type="dxa" w:w="70"/>
              <w:right w:type="dxa" w:w="110"/>
            </w:tcMar>
          </w:tcPr>
          <w:p>
            <w:pPr>
              <w:spacing w:after="0" w:line="250"/>
            </w:pPr>
            <w:r>
              <w:t xml:space="preserve">GET|POST|PATCH /trips</w:t>
            </w:r>
          </w:p>
        </w:tc>
        <w:tc>
          <w:tcPr>
            <w:tcW w:type="dxa" w:w="6900"/>
            <w:shd w:fill="F7F9FA" w:val="clear"/>
            <w:tcMar>
              <w:top w:type="dxa" w:w="70"/>
              <w:left w:type="dxa" w:w="110"/>
              <w:bottom w:type="dxa" w:w="70"/>
              <w:right w:type="dxa" w:w="110"/>
            </w:tcMar>
          </w:tcPr>
          <w:p>
            <w:pPr>
              <w:spacing w:after="0" w:line="250"/>
            </w:pPr>
            <w:r>
              <w:t xml:space="preserve">Trip lifecycle.</w:t>
            </w:r>
          </w:p>
        </w:tc>
      </w:tr>
      <w:tr>
        <w:tc>
          <w:tcPr>
            <w:tcW w:type="dxa" w:w="2100"/>
            <w:tcMar>
              <w:top w:type="dxa" w:w="70"/>
              <w:left w:type="dxa" w:w="110"/>
              <w:bottom w:type="dxa" w:w="70"/>
              <w:right w:type="dxa" w:w="110"/>
            </w:tcMar>
          </w:tcPr>
          <w:p>
            <w:pPr>
              <w:spacing w:after="0" w:line="250"/>
            </w:pPr>
            <w:r>
              <w:t xml:space="preserve">GET /export</w:t>
            </w:r>
          </w:p>
        </w:tc>
        <w:tc>
          <w:tcPr>
            <w:tcW w:type="dxa" w:w="6900"/>
            <w:tcMar>
              <w:top w:type="dxa" w:w="70"/>
              <w:left w:type="dxa" w:w="110"/>
              <w:bottom w:type="dxa" w:w="70"/>
              <w:right w:type="dxa" w:w="110"/>
            </w:tcMar>
          </w:tcPr>
          <w:p>
            <w:pPr>
              <w:spacing w:after="0" w:line="250"/>
            </w:pPr>
            <w:r>
              <w:t xml:space="preserve">Everything the traveler owns, in one documented file.</w:t>
            </w:r>
          </w:p>
        </w:tc>
      </w:tr>
      <w:tr>
        <w:tc>
          <w:tcPr>
            <w:tcW w:type="dxa" w:w="2100"/>
            <w:shd w:fill="F7F9FA" w:val="clear"/>
            <w:tcMar>
              <w:top w:type="dxa" w:w="70"/>
              <w:left w:type="dxa" w:w="110"/>
              <w:bottom w:type="dxa" w:w="70"/>
              <w:right w:type="dxa" w:w="110"/>
            </w:tcMar>
          </w:tcPr>
          <w:p>
            <w:pPr>
              <w:spacing w:after="0" w:line="250"/>
            </w:pPr>
            <w:r>
              <w:t xml:space="preserve">POST /import</w:t>
            </w:r>
          </w:p>
        </w:tc>
        <w:tc>
          <w:tcPr>
            <w:tcW w:type="dxa" w:w="6900"/>
            <w:shd w:fill="F7F9FA" w:val="clear"/>
            <w:tcMar>
              <w:top w:type="dxa" w:w="70"/>
              <w:left w:type="dxa" w:w="110"/>
              <w:bottom w:type="dxa" w:w="70"/>
              <w:right w:type="dxa" w:w="110"/>
            </w:tcMar>
          </w:tcPr>
          <w:p>
            <w:pPr>
              <w:spacing w:after="0" w:line="250"/>
            </w:pPr>
            <w:r>
              <w:t xml:space="preserve">Restore from an export.</w:t>
            </w:r>
          </w:p>
        </w:tc>
      </w:tr>
      <w:tr>
        <w:tc>
          <w:tcPr>
            <w:tcW w:type="dxa" w:w="2100"/>
            <w:tcMar>
              <w:top w:type="dxa" w:w="70"/>
              <w:left w:type="dxa" w:w="110"/>
              <w:bottom w:type="dxa" w:w="70"/>
              <w:right w:type="dxa" w:w="110"/>
            </w:tcMar>
          </w:tcPr>
          <w:p>
            <w:pPr>
              <w:spacing w:after="0" w:line="250"/>
            </w:pPr>
            <w:r>
              <w:t xml:space="preserve">POST /feedback/place</w:t>
            </w:r>
          </w:p>
        </w:tc>
        <w:tc>
          <w:tcPr>
            <w:tcW w:type="dxa" w:w="6900"/>
            <w:tcMar>
              <w:top w:type="dxa" w:w="70"/>
              <w:left w:type="dxa" w:w="110"/>
              <w:bottom w:type="dxa" w:w="70"/>
              <w:right w:type="dxa" w:w="110"/>
            </w:tcMar>
          </w:tcPr>
          <w:p>
            <w:pPr>
              <w:spacing w:after="0" w:line="250"/>
            </w:pPr>
            <w:r>
              <w:t xml:space="preserve">A traveler disputing a place. Routed to the pipeline's review queue — this is our best early warning of a scoring bug.</w:t>
            </w:r>
          </w:p>
        </w:tc>
      </w:tr>
    </w:tbl>
    <w:p>
      <w:pPr>
        <w:pStyle w:val="Heading1"/>
        <w:spacing w:after="160" w:before="380"/>
      </w:pPr>
      <w:r>
        <w:rPr>
          <w:rFonts w:ascii="Calibri Light" w:cs="Calibri Light" w:eastAsia="Calibri Light" w:hAnsi="Calibri Light"/>
          <w:b/>
          <w:bCs/>
          <w:color w:val="1F4E5F"/>
          <w:sz w:val="30"/>
          <w:szCs w:val="30"/>
        </w:rPr>
        <w:t xml:space="preserve">5.  Map rendering</w:t>
      </w:r>
    </w:p>
    <w:p>
      <w:pPr>
        <w:pStyle w:val="Heading2"/>
        <w:spacing w:after="110" w:before="260"/>
      </w:pPr>
      <w:r>
        <w:rPr>
          <w:rFonts w:ascii="Calibri Light" w:cs="Calibri Light" w:eastAsia="Calibri Light" w:hAnsi="Calibri Light"/>
          <w:b/>
          <w:bCs/>
          <w:color w:val="8C6D3F"/>
          <w:sz w:val="24"/>
          <w:szCs w:val="24"/>
        </w:rPr>
        <w:t xml:space="preserve">5.1  Projection</w:t>
      </w:r>
    </w:p>
    <w:p>
      <w:pPr>
        <w:spacing w:after="140" w:line="276"/>
      </w:pPr>
      <w:r>
        <w:t xml:space="preserve">The printed map uses an equal-area projection so that a tile's physical size is proportional to real area. </w:t>
      </w:r>
      <w:r>
        <w:rPr>
          <w:b/>
          <w:bCs/>
        </w:rPr>
        <w:t xml:space="preserve">The web renderer cannot match it</w:t>
      </w:r>
      <w:r>
        <w:t xml:space="preserve"> — it supports a spherical globe and Web Mercator, with no custom-projection interface — and matching it would be wrong anyway, since travelers zoom into cities and the whole tile ecosystem is built on Mercator.</w:t>
      </w:r>
    </w:p>
    <w:p>
      <w:pPr>
        <w:spacing w:after="140" w:line="276"/>
      </w:pPr>
      <w:r>
        <w:t xml:space="preserve">The answer is a globe at world zoom easing into Mercator as the traveler zooms in. The globe supplies the whole-world-as-an-object feeling that echoes the printed product, without fighting the tile pyramid. The two products differ in projection, and that is a deliberate, documented divergence rather than an oversight.</w:t>
      </w:r>
    </w:p>
    <w:p>
      <w:pPr>
        <w:pStyle w:val="Heading2"/>
        <w:spacing w:after="110" w:before="260"/>
      </w:pPr>
      <w:r>
        <w:rPr>
          <w:rFonts w:ascii="Calibri Light" w:cs="Calibri Light" w:eastAsia="Calibri Light" w:hAnsi="Calibri Light"/>
          <w:b/>
          <w:bCs/>
          <w:color w:val="8C6D3F"/>
          <w:sz w:val="24"/>
          <w:szCs w:val="24"/>
        </w:rPr>
        <w:t xml:space="preserve">5.2  Twenty-five thousand points</w:t>
      </w:r>
    </w:p>
    <w:p>
      <w:pPr>
        <w:pStyle w:val="ListParagraph"/>
        <w:numPr>
          <w:ilvl w:val="0"/>
          <w:numId w:val="2"/>
        </w:numPr>
        <w:spacing w:after="70" w:line="268"/>
      </w:pPr>
      <w:r>
        <w:rPr>
          <w:b/>
          <w:bCs/>
        </w:rPr>
        <w:t>Document 5 §9 sets the delivery for the MVP: GeoJSON per country while the database is near twelve thousand places, moving to vector tiles before it approaches twenty-five thousand. The number in this section's heading is the ceiling the design must survive, not the number shipping today. Either way the files are generated in the pipeline, the point layer is capped at a mid zoom, coordinates are trimmed and unused properties are stripped.</w:t>
      </w:r>
    </w:p>
    <w:p>
      <w:pPr>
        <w:pStyle w:val="ListParagraph"/>
        <w:numPr>
          <w:ilvl w:val="0"/>
          <w:numId w:val="2"/>
        </w:numPr>
        <w:spacing w:after="70" w:line="268"/>
      </w:pPr>
      <w:r>
        <w:rPr>
          <w:b/>
          <w:bCs/>
        </w:rPr>
        <w:t xml:space="preserve">Visited state rides on feature-state</w:t>
      </w:r>
      <w:r>
        <w:t xml:space="preserve">, keyed by a promoted place identifier, so marking a place repaints without re-uploading geometry. Verify this at full scale early: this is the exact pattern that stalled on older renderer versions.</w:t>
      </w:r>
    </w:p>
    <w:p>
      <w:pPr>
        <w:pStyle w:val="ListParagraph"/>
        <w:numPr>
          <w:ilvl w:val="0"/>
          <w:numId w:val="2"/>
        </w:numPr>
        <w:spacing w:after="70" w:line="268"/>
      </w:pPr>
      <w:r>
        <w:rPr>
          <w:b/>
          <w:bCs/>
        </w:rPr>
        <w:t xml:space="preserve">Cluster at low zoom.</w:t>
      </w:r>
      <w:r>
        <w:t xml:space="preserve"> Clusters carry both a total and a visited count so an untouched region is visible without zooming.</w:t>
      </w:r>
    </w:p>
    <w:p>
      <w:pPr>
        <w:pStyle w:val="ListParagraph"/>
        <w:numPr>
          <w:ilvl w:val="0"/>
          <w:numId w:val="2"/>
        </w:numPr>
        <w:spacing w:after="70" w:line="268"/>
      </w:pPr>
      <w:r>
        <w:rPr>
          <w:b/>
          <w:bCs/>
        </w:rPr>
        <w:t xml:space="preserve">Label collision, not fill rate, is what makes mid-range phones stutter.</w:t>
      </w:r>
      <w:r>
        <w:t xml:space="preserve"> Keep the layer count low and allow icon overlap once clustered.</w:t>
      </w:r>
    </w:p>
    <w:p>
      <w:pPr>
        <w:pStyle w:val="Heading1"/>
        <w:spacing w:after="160" w:before="380"/>
      </w:pPr>
      <w:r>
        <w:rPr>
          <w:rFonts w:ascii="Calibri Light" w:cs="Calibri Light" w:eastAsia="Calibri Light" w:hAnsi="Calibri Light"/>
          <w:b/>
          <w:bCs/>
          <w:color w:val="1F4E5F"/>
          <w:sz w:val="30"/>
          <w:szCs w:val="30"/>
        </w:rPr>
        <w:t xml:space="preserve">6.  Rendering the tiles</w:t>
      </w:r>
    </w:p>
    <w:p>
      <w:pPr>
        <w:spacing w:after="140" w:line="276"/>
      </w:pPr>
      <w:r>
        <w:t xml:space="preserve">The tile view is the product's signature and the only genuinely unusual rendering in it.</w:t>
      </w:r>
    </w:p>
    <w:p>
      <w:pPr>
        <w:pStyle w:val="ListParagraph"/>
        <w:numPr>
          <w:ilvl w:val="0"/>
          <w:numId w:val="3"/>
        </w:numPr>
        <w:spacing w:after="70" w:line="268"/>
      </w:pPr>
      <w:r>
        <w:rPr>
          <w:b/>
          <w:bCs/>
        </w:rPr>
        <w:t xml:space="preserve">Cut the holes in the pipeline, not the browser.</w:t>
      </w:r>
      <w:r>
        <w:t xml:space="preserve"> Buffer each place point and subtract it from its territory polygon at build time. The result is a polygon with true interior rings, which the renderer extrudes into walled holes. Attempting this at runtime is both slow and fragile.</w:t>
      </w:r>
    </w:p>
    <w:p>
      <w:pPr>
        <w:pStyle w:val="ListParagraph"/>
        <w:numPr>
          <w:ilvl w:val="0"/>
          <w:numId w:val="3"/>
        </w:numPr>
        <w:spacing w:after="70" w:line="268"/>
      </w:pPr>
      <w:r>
        <w:rPr>
          <w:b/>
          <w:bCs/>
        </w:rPr>
        <w:t>Bevelled corners are parked. The renderer has no rounded-extrusion property, and nothing that imitates one survives a camera move, so the pieces read as cut until MapLibre grows the capability. The fake shadow below is a different case and is allowed: it is a fill placed under a polygon, not a claim about the geometry of the polygon.</w:t>
      </w:r>
    </w:p>
    <w:p>
      <w:pPr>
        <w:pStyle w:val="ListParagraph"/>
        <w:numPr>
          <w:ilvl w:val="0"/>
          <w:numId w:val="3"/>
        </w:numPr>
        <w:spacing w:after="70" w:line="268"/>
      </w:pPr>
      <w:r>
        <w:rPr>
          <w:b/>
          <w:bCs/>
        </w:rPr>
        <w:t xml:space="preserve">Drive height from zoom.</w:t>
      </w:r>
      <w:r>
        <w:t xml:space="preserve"> Extrusion heights are real-world units and do not scale, so a fixed height is invisible at world zoom and absurd close in.</w:t>
      </w:r>
    </w:p>
    <w:p>
      <w:pPr>
        <w:pStyle w:val="ListParagraph"/>
        <w:numPr>
          <w:ilvl w:val="0"/>
          <w:numId w:val="3"/>
        </w:numPr>
        <w:spacing w:after="70" w:line="268"/>
      </w:pPr>
      <w:r>
        <w:rPr>
          <w:b/>
          <w:bCs/>
        </w:rPr>
        <w:t xml:space="preserve">Fake the shadow.</w:t>
      </w:r>
      <w:r>
        <w:t xml:space="preserve"> The renderer casts none. A blurred, offset fill beneath each tile supplies the grounding; without it the tiles float.</w:t>
      </w:r>
    </w:p>
    <w:p>
      <w:pPr>
        <w:pStyle w:val="ListParagraph"/>
        <w:numPr>
          <w:ilvl w:val="0"/>
          <w:numId w:val="3"/>
        </w:numPr>
        <w:spacing w:after="70" w:line="268"/>
      </w:pPr>
      <w:r>
        <w:rPr>
          <w:b/>
          <w:bCs/>
        </w:rPr>
        <w:t xml:space="preserve">Ease into pitch.</w:t>
      </w:r>
      <w:r>
        <w:t xml:space="preserve"> Switching views animates the camera to 35–50°, which is what tells the traveler the map has become an object.</w:t>
      </w:r>
    </w:p>
    <w:p>
      <w:pPr>
        <w:pBdr>
          <w:left w:val="single" w:color="8C6D3F" w:sz="14" w:space="10"/>
        </w:pBdr>
        <w:spacing w:after="160" w:before="120" w:line="268"/>
        <w:ind w:left="340"/>
      </w:pPr>
      <w:r>
        <w:rPr>
          <w:b/>
          <w:bCs/>
        </w:rPr>
        <w:t xml:space="preserve">Budget this as the largest single piece of front-end work.</w:t>
      </w:r>
      <w:r>
        <w:t xml:space="preserve"> Everything else in the client is conventional; this is not, and it is worth prototyping against one real country before committing to the schedule.</w:t>
      </w:r>
    </w:p>
    <w:p>
      <w:pPr>
        <w:pStyle w:val="Heading1"/>
        <w:spacing w:after="160" w:before="380"/>
      </w:pPr>
      <w:r>
        <w:rPr>
          <w:rFonts w:ascii="Calibri Light" w:cs="Calibri Light" w:eastAsia="Calibri Light" w:hAnsi="Calibri Light"/>
          <w:b/>
          <w:bCs/>
          <w:color w:val="1F4E5F"/>
          <w:sz w:val="30"/>
          <w:szCs w:val="30"/>
        </w:rPr>
        <w:t xml:space="preserve">7.  From pipeline to application</w:t>
      </w:r>
    </w:p>
    <w:p>
      <w:pPr>
        <w:spacing w:after="140" w:line="276"/>
      </w:pPr>
      <w:r>
        <w:t>The pipeline emits a versioned bundle: the place files, the web region polygons as their own file, the printed tile polygons as a separate file, per-country JSON for the register, a manifest naming the build, the source versions and the model parameters, and the verification report for that bundle. The two polygon files are never interchanged. The application draws regions; printed tiles appear only in the preview mode, because a layer assembled from tiles has a gap wherever a country has land and no holes. The gates in document 1 §19 run against the published bundle — the same files the client will fetch — and not against the working directory the run produced.</w:t>
      </w:r>
    </w:p>
    <w:p>
      <w:pPr>
        <w:pStyle w:val="ListParagraph"/>
        <w:numPr>
          <w:ilvl w:val="0"/>
          <w:numId w:val="2"/>
        </w:numPr>
        <w:spacing w:after="70" w:line="268"/>
      </w:pPr>
      <w:r>
        <w:rPr>
          <w:b/>
          <w:bCs/>
        </w:rPr>
        <w:t xml:space="preserve">Bundles are immutable and content-addressed.</w:t>
      </w:r>
      <w:r>
        <w:t xml:space="preserve"> The client fetches the manifest, then everything else by hashed path, so caching is aggressive and safe.</w:t>
      </w:r>
    </w:p>
    <w:p>
      <w:pPr>
        <w:pStyle w:val="ListParagraph"/>
        <w:numPr>
          <w:ilvl w:val="0"/>
          <w:numId w:val="2"/>
        </w:numPr>
        <w:spacing w:after="70" w:line="268"/>
      </w:pPr>
      <w:r>
        <w:rPr>
          <w:b/>
          <w:bCs/>
        </w:rPr>
        <w:t xml:space="preserve">A rebuild is a publish, not a migration</w:t>
      </w:r>
      <w:r>
        <w:t xml:space="preserve"> — unless place identifiers changed, which is the one case requiring a mapping table and a deliberate release.</w:t>
      </w:r>
    </w:p>
    <w:p>
      <w:pPr>
        <w:pStyle w:val="ListParagraph"/>
        <w:numPr>
          <w:ilvl w:val="0"/>
          <w:numId w:val="2"/>
        </w:numPr>
        <w:spacing w:after="70" w:line="268"/>
      </w:pPr>
      <w:r>
        <w:rPr>
          <w:b/>
          <w:bCs/>
        </w:rPr>
        <w:t xml:space="preserve">The manifest is the audit trail.</w:t>
      </w:r>
      <w:r>
        <w:t xml:space="preserve"> It records which sources produced this database and under which licences, which is what makes a later licence question answerable without archaeology.</w:t>
      </w:r>
    </w:p>
    <w:p>
      <w:pPr>
        <w:pStyle w:val="Heading1"/>
        <w:spacing w:after="160" w:before="380"/>
      </w:pPr>
      <w:r>
        <w:rPr>
          <w:rFonts w:ascii="Calibri Light" w:cs="Calibri Light" w:eastAsia="Calibri Light" w:hAnsi="Calibri Light"/>
          <w:b/>
          <w:bCs/>
          <w:color w:val="1F4E5F"/>
          <w:sz w:val="30"/>
          <w:szCs w:val="30"/>
        </w:rPr>
        <w:t xml:space="preserve">8.  Accounts and sync</w:t>
      </w:r>
    </w:p>
    <w:p>
      <w:pPr>
        <w:pStyle w:val="ListParagraph"/>
        <w:numPr>
          <w:ilvl w:val="0"/>
          <w:numId w:val="2"/>
        </w:numPr>
        <w:spacing w:after="70" w:line="268"/>
      </w:pPr>
      <w:r>
        <w:rPr>
          <w:b/>
          <w:bCs/>
        </w:rPr>
        <w:t xml:space="preserve">Local first.</w:t>
      </w:r>
      <w:r>
        <w:t xml:space="preserve"> Marking writes to local storage immediately and queues for sync. The product works before an account exists, and keeps working when the network does not.</w:t>
      </w:r>
    </w:p>
    <w:p>
      <w:pPr>
        <w:pStyle w:val="ListParagraph"/>
        <w:numPr>
          <w:ilvl w:val="0"/>
          <w:numId w:val="2"/>
        </w:numPr>
        <w:spacing w:after="70" w:line="268"/>
      </w:pPr>
      <w:r>
        <w:rPr>
          <w:b/>
          <w:bCs/>
        </w:rPr>
        <w:t xml:space="preserve">Reconciliation is last-write-wins per place</w:t>
      </w:r>
      <w:r>
        <w:t xml:space="preserve">, with the marked timestamp as the clock. Visits are independent single facts, so this is sufficient and needs no conflict interface.</w:t>
      </w:r>
    </w:p>
    <w:p>
      <w:pPr>
        <w:pStyle w:val="ListParagraph"/>
        <w:numPr>
          <w:ilvl w:val="0"/>
          <w:numId w:val="2"/>
        </w:numPr>
        <w:spacing w:after="70" w:line="268"/>
      </w:pPr>
      <w:r>
        <w:rPr>
          <w:b/>
          <w:bCs/>
        </w:rPr>
        <w:t xml:space="preserve">Signing in merges rather than replaces.</w:t>
      </w:r>
      <w:r>
        <w:t xml:space="preserve"> A traveler who marked eighty places before registering must not lose them, which is the obvious failure mode of a naive implementation.</w:t>
      </w:r>
    </w:p>
    <w:p>
      <w:pPr>
        <w:pStyle w:val="ListParagraph"/>
        <w:numPr>
          <w:ilvl w:val="0"/>
          <w:numId w:val="2"/>
        </w:numPr>
        <w:spacing w:after="70" w:line="268"/>
      </w:pPr>
      <w:r>
        <w:rPr>
          <w:b/>
          <w:bCs/>
        </w:rPr>
        <w:t xml:space="preserve">Trips are ordered by explicit position values</w:t>
      </w:r>
      <w:r>
        <w:t xml:space="preserve">, so two devices reordering the same day converge without corrupting the sequence.</w:t>
      </w:r>
    </w:p>
    <w:p>
      <w:pPr>
        <w:pStyle w:val="Heading1"/>
        <w:spacing w:after="160" w:before="380"/>
      </w:pPr>
      <w:r>
        <w:rPr>
          <w:rFonts w:ascii="Calibri Light" w:cs="Calibri Light" w:eastAsia="Calibri Light" w:hAnsi="Calibri Light"/>
          <w:b/>
          <w:bCs/>
          <w:color w:val="1F4E5F"/>
          <w:sz w:val="30"/>
          <w:szCs w:val="30"/>
        </w:rPr>
        <w:t xml:space="preserve">9.  External services</w:t>
      </w:r>
    </w:p>
    <w:p>
      <w:pPr>
        <w:pStyle w:val="Heading2"/>
        <w:spacing w:after="110" w:before="260"/>
      </w:pPr>
      <w:r>
        <w:rPr>
          <w:rFonts w:ascii="Calibri Light" w:cs="Calibri Light" w:eastAsia="Calibri Light" w:hAnsi="Calibri Light"/>
          <w:b/>
          <w:bCs/>
          <w:color w:val="8C6D3F"/>
          <w:sz w:val="24"/>
          <w:szCs w:val="24"/>
        </w:rPr>
        <w:t xml:space="preserve">9.1  Enrichment</w:t>
      </w:r>
    </w:p>
    <w:p>
      <w:pPr>
        <w:spacing w:after="140" w:line="276"/>
      </w:pPr>
      <w:r>
        <w:t xml:space="preserve">Open, storable, redistributable data only: a permissively licensed global places dataset, an open foundation dataset, and Wikidata with Wikimedia Commons for text and photographs. All can be cached indefinitely and shown on our own basemap.</w:t>
      </w:r>
    </w:p>
    <w:p>
      <w:pPr>
        <w:pBdr>
          <w:left w:val="single" w:color="8C6D3F" w:sz="14" w:space="10"/>
        </w:pBdr>
        <w:spacing w:after="160" w:before="120" w:line="268"/>
        <w:ind w:left="340"/>
      </w:pPr>
      <w:r>
        <w:rPr>
          <w:b/>
          <w:bCs/>
        </w:rPr>
        <w:t xml:space="preserve">The constraint that decided this.</w:t>
      </w:r>
      <w:r>
        <w:t xml:space="preserve"> A major mapping platform's terms restrict caching its place content and restrict displaying that content on a non-vendor basemap. Since we render our own map, its place content is effectively unusable inside the product. The workable pattern is the inverse: store the vendor's stable place identifier, which its terms permit keeping indefinitely, and use it only to link out. </w:t>
      </w:r>
      <w:r>
        <w:rPr>
          <w:b/>
          <w:bCs/>
        </w:rPr>
        <w:t xml:space="preserve">Confirm the current wording of those clauses before writing any integration</w:t>
      </w:r>
      <w:r>
        <w:t xml:space="preserve"> — this specification records the shape of the restriction, not a legal opinion, and the terms are revised periodically.</w:t>
      </w:r>
    </w:p>
    <w:p>
      <w:pPr>
        <w:pStyle w:val="Heading2"/>
        <w:spacing w:after="110" w:before="260"/>
      </w:pPr>
      <w:r>
        <w:rPr>
          <w:rFonts w:ascii="Calibri Light" w:cs="Calibri Light" w:eastAsia="Calibri Light" w:hAnsi="Calibri Light"/>
          <w:b/>
          <w:bCs/>
          <w:color w:val="8C6D3F"/>
          <w:sz w:val="24"/>
          <w:szCs w:val="24"/>
        </w:rPr>
        <w:t xml:space="preserve">9.2  Deferred</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700"/>
        <w:gridCol w:w="1300"/>
        <w:gridCol w:w="6000"/>
      </w:tblGrid>
      <w:tr>
        <w:trPr>
          <w:tblHeader/>
        </w:trPr>
        <w:tc>
          <w:tcPr>
            <w:tcW w:type="dxa" w:w="1700"/>
            <w:shd w:fill="1F4E5F" w:val="clear"/>
            <w:tcMar>
              <w:top w:type="dxa" w:w="70"/>
              <w:left w:type="dxa" w:w="110"/>
              <w:bottom w:type="dxa" w:w="70"/>
              <w:right w:type="dxa" w:w="110"/>
            </w:tcMar>
          </w:tcPr>
          <w:p>
            <w:pPr>
              <w:spacing w:after="0" w:line="250"/>
            </w:pPr>
            <w:r>
              <w:rPr>
                <w:b/>
                <w:bCs/>
                <w:color w:val="FFFFFF"/>
                <w:sz w:val="18"/>
                <w:szCs w:val="18"/>
              </w:rPr>
              <w:t xml:space="preserve">Service</w:t>
            </w:r>
          </w:p>
        </w:tc>
        <w:tc>
          <w:tcPr>
            <w:tcW w:type="dxa" w:w="1300"/>
            <w:shd w:fill="1F4E5F" w:val="clear"/>
            <w:tcMar>
              <w:top w:type="dxa" w:w="70"/>
              <w:left w:type="dxa" w:w="110"/>
              <w:bottom w:type="dxa" w:w="70"/>
              <w:right w:type="dxa" w:w="110"/>
            </w:tcMar>
          </w:tcPr>
          <w:p>
            <w:pPr>
              <w:spacing w:after="0" w:line="250"/>
            </w:pPr>
            <w:r>
              <w:rPr>
                <w:b/>
                <w:bCs/>
                <w:color w:val="FFFFFF"/>
                <w:sz w:val="18"/>
                <w:szCs w:val="18"/>
              </w:rPr>
              <w:t xml:space="preserve">Status</w:t>
            </w:r>
          </w:p>
        </w:tc>
        <w:tc>
          <w:tcPr>
            <w:tcW w:type="dxa" w:w="6000"/>
            <w:shd w:fill="1F4E5F" w:val="clear"/>
            <w:tcMar>
              <w:top w:type="dxa" w:w="70"/>
              <w:left w:type="dxa" w:w="110"/>
              <w:bottom w:type="dxa" w:w="70"/>
              <w:right w:type="dxa" w:w="110"/>
            </w:tcMar>
          </w:tcPr>
          <w:p>
            <w:pPr>
              <w:spacing w:after="0" w:line="250"/>
            </w:pPr>
            <w:r>
              <w:rPr>
                <w:b/>
                <w:bCs/>
                <w:color w:val="FFFFFF"/>
                <w:sz w:val="18"/>
                <w:szCs w:val="18"/>
              </w:rPr>
              <w:t xml:space="preserve">Blocker</w:t>
            </w:r>
          </w:p>
        </w:tc>
      </w:tr>
      <w:tr>
        <w:tc>
          <w:tcPr>
            <w:tcW w:type="dxa" w:w="1700"/>
            <w:tcMar>
              <w:top w:type="dxa" w:w="70"/>
              <w:left w:type="dxa" w:w="110"/>
              <w:bottom w:type="dxa" w:w="70"/>
              <w:right w:type="dxa" w:w="110"/>
            </w:tcMar>
          </w:tcPr>
          <w:p>
            <w:pPr>
              <w:spacing w:after="0" w:line="250"/>
            </w:pPr>
            <w:r>
              <w:t xml:space="preserve">Routing and travel time</w:t>
            </w:r>
          </w:p>
        </w:tc>
        <w:tc>
          <w:tcPr>
            <w:tcW w:type="dxa" w:w="1300"/>
            <w:tcMar>
              <w:top w:type="dxa" w:w="70"/>
              <w:left w:type="dxa" w:w="110"/>
              <w:bottom w:type="dxa" w:w="70"/>
              <w:right w:type="dxa" w:w="110"/>
            </w:tcMar>
          </w:tcPr>
          <w:p>
            <w:pPr>
              <w:spacing w:after="0" w:line="250"/>
            </w:pPr>
            <w:r>
              <w:t xml:space="preserve">Deferred</w:t>
            </w:r>
          </w:p>
        </w:tc>
        <w:tc>
          <w:tcPr>
            <w:tcW w:type="dxa" w:w="6000"/>
            <w:tcMar>
              <w:top w:type="dxa" w:w="70"/>
              <w:left w:type="dxa" w:w="110"/>
              <w:bottom w:type="dxa" w:w="70"/>
              <w:right w:type="dxa" w:w="110"/>
            </w:tcMar>
          </w:tcPr>
          <w:p>
            <w:pPr>
              <w:spacing w:after="0" w:line="250"/>
            </w:pPr>
            <w:r>
              <w:t xml:space="preserve">No provider chosen. A wrong travel time is worse than none, so version one draws straight lines and says so.</w:t>
            </w:r>
          </w:p>
        </w:tc>
      </w:tr>
      <w:tr>
        <w:tc>
          <w:tcPr>
            <w:tcW w:type="dxa" w:w="1700"/>
            <w:shd w:fill="F7F9FA" w:val="clear"/>
            <w:tcMar>
              <w:top w:type="dxa" w:w="70"/>
              <w:left w:type="dxa" w:w="110"/>
              <w:bottom w:type="dxa" w:w="70"/>
              <w:right w:type="dxa" w:w="110"/>
            </w:tcMar>
          </w:tcPr>
          <w:p>
            <w:pPr>
              <w:spacing w:after="0" w:line="250"/>
            </w:pPr>
            <w:r>
              <w:t xml:space="preserve">Transport search</w:t>
            </w:r>
          </w:p>
        </w:tc>
        <w:tc>
          <w:tcPr>
            <w:tcW w:type="dxa" w:w="1300"/>
            <w:shd w:fill="F7F9FA" w:val="clear"/>
            <w:tcMar>
              <w:top w:type="dxa" w:w="70"/>
              <w:left w:type="dxa" w:w="110"/>
              <w:bottom w:type="dxa" w:w="70"/>
              <w:right w:type="dxa" w:w="110"/>
            </w:tcMar>
          </w:tcPr>
          <w:p>
            <w:pPr>
              <w:spacing w:after="0" w:line="250"/>
            </w:pPr>
            <w:r>
              <w:t xml:space="preserve">Deferred</w:t>
            </w:r>
          </w:p>
        </w:tc>
        <w:tc>
          <w:tcPr>
            <w:tcW w:type="dxa" w:w="6000"/>
            <w:shd w:fill="F7F9FA" w:val="clear"/>
            <w:tcMar>
              <w:top w:type="dxa" w:w="70"/>
              <w:left w:type="dxa" w:w="110"/>
              <w:bottom w:type="dxa" w:w="70"/>
              <w:right w:type="dxa" w:w="110"/>
            </w:tcMar>
          </w:tcPr>
          <w:p>
            <w:pPr>
              <w:spacing w:after="0" w:line="250"/>
            </w:pPr>
            <w:r>
              <w:t xml:space="preserve">Multi-modal worldwide coverage is the hard part and no single provider does it well.</w:t>
            </w:r>
          </w:p>
        </w:tc>
      </w:tr>
      <w:tr>
        <w:tc>
          <w:tcPr>
            <w:tcW w:type="dxa" w:w="1700"/>
            <w:tcMar>
              <w:top w:type="dxa" w:w="70"/>
              <w:left w:type="dxa" w:w="110"/>
              <w:bottom w:type="dxa" w:w="70"/>
              <w:right w:type="dxa" w:w="110"/>
            </w:tcMar>
          </w:tcPr>
          <w:p>
            <w:pPr>
              <w:spacing w:after="0" w:line="250"/>
            </w:pPr>
            <w:r>
              <w:t xml:space="preserve">Accommodation</w:t>
            </w:r>
          </w:p>
        </w:tc>
        <w:tc>
          <w:tcPr>
            <w:tcW w:type="dxa" w:w="1300"/>
            <w:tcMar>
              <w:top w:type="dxa" w:w="70"/>
              <w:left w:type="dxa" w:w="110"/>
              <w:bottom w:type="dxa" w:w="70"/>
              <w:right w:type="dxa" w:w="110"/>
            </w:tcMar>
          </w:tcPr>
          <w:p>
            <w:pPr>
              <w:spacing w:after="0" w:line="250"/>
            </w:pPr>
            <w:r>
              <w:t xml:space="preserve">Deferred</w:t>
            </w:r>
          </w:p>
        </w:tc>
        <w:tc>
          <w:tcPr>
            <w:tcW w:type="dxa" w:w="6000"/>
            <w:tcMar>
              <w:top w:type="dxa" w:w="70"/>
              <w:left w:type="dxa" w:w="110"/>
              <w:bottom w:type="dxa" w:w="70"/>
              <w:right w:type="dxa" w:w="110"/>
            </w:tcMar>
          </w:tcPr>
          <w:p>
            <w:pPr>
              <w:spacing w:after="0" w:line="250"/>
            </w:pPr>
            <w:r>
              <w:t xml:space="preserve">Affiliate access is uncertain without revenue.</w:t>
            </w:r>
          </w:p>
        </w:tc>
      </w:tr>
    </w:tbl>
    <w:p>
      <w:pPr>
        <w:spacing w:after="120"/>
      </w:pPr>
    </w:p>
    <w:p>
      <w:pPr>
        <w:spacing w:after="140" w:line="276"/>
      </w:pPr>
      <w:r>
        <w:t xml:space="preserve">Each is designed for as a </w:t>
      </w:r>
      <w:r>
        <w:rPr>
          <w:b/>
          <w:bCs/>
        </w:rPr>
        <w:t xml:space="preserve">provider interface with one implementation later</w:t>
      </w:r>
      <w:r>
        <w:t xml:space="preserve">, not as a direct dependency. The application asks for a connection between two places; whatever answers is replaceable.</w:t>
      </w:r>
    </w:p>
    <w:p>
      <w:pPr>
        <w:pStyle w:val="Heading1"/>
        <w:spacing w:after="160" w:before="380"/>
      </w:pPr>
      <w:r>
        <w:rPr>
          <w:rFonts w:ascii="Calibri Light" w:cs="Calibri Light" w:eastAsia="Calibri Light" w:hAnsi="Calibri Light"/>
          <w:b/>
          <w:bCs/>
          <w:color w:val="1F4E5F"/>
          <w:sz w:val="30"/>
          <w:szCs w:val="30"/>
        </w:rPr>
        <w:t xml:space="preserve">10.  Offline</w:t>
      </w:r>
    </w:p>
    <w:p>
      <w:pPr>
        <w:pStyle w:val="ListParagraph"/>
        <w:numPr>
          <w:ilvl w:val="0"/>
          <w:numId w:val="2"/>
        </w:numPr>
        <w:spacing w:after="70" w:line="268"/>
      </w:pPr>
      <w:r>
        <w:rPr>
          <w:b/>
          <w:bCs/>
        </w:rPr>
        <w:t xml:space="preserve">Our own data first.</w:t>
      </w:r>
      <w:r>
        <w:t xml:space="preserve"> The traveler's visits, and the places for countries they have looked at, belong in local storage with a sync queue. That is a few megabytes and it is what makes the product usable on a plane.</w:t>
      </w:r>
    </w:p>
    <w:p>
      <w:pPr>
        <w:pStyle w:val="ListParagraph"/>
        <w:numPr>
          <w:ilvl w:val="0"/>
          <w:numId w:val="2"/>
        </w:numPr>
        <w:spacing w:after="70" w:line="268"/>
      </w:pPr>
      <w:r>
        <w:rPr>
          <w:b/>
          <w:bCs/>
        </w:rPr>
        <w:t xml:space="preserve">Basemap offline is opt-in and regional.</w:t>
      </w:r>
      <w:r>
        <w:t xml:space="preserve"> Download bandwidth, not device storage, is the real ceiling; offer regions, never continents.</w:t>
      </w:r>
    </w:p>
    <w:p>
      <w:pPr>
        <w:pStyle w:val="ListParagraph"/>
        <w:numPr>
          <w:ilvl w:val="0"/>
          <w:numId w:val="2"/>
        </w:numPr>
        <w:spacing w:after="70" w:line="268"/>
      </w:pPr>
      <w:r>
        <w:rPr>
          <w:b/>
          <w:bCs/>
        </w:rPr>
        <w:t xml:space="preserve">Test storage limits on real devices.</w:t>
      </w:r>
      <w:r>
        <w:t xml:space="preserve"> Browser storage quotas vary by platform and are not reliably documented. Handle the quota error explicitly and tell the traveler what happened rather than failing silently.</w:t>
      </w:r>
    </w:p>
    <w:p>
      <w:pPr>
        <w:pStyle w:val="Heading1"/>
        <w:spacing w:after="160" w:before="380"/>
      </w:pPr>
      <w:r>
        <w:rPr>
          <w:rFonts w:ascii="Calibri Light" w:cs="Calibri Light" w:eastAsia="Calibri Light" w:hAnsi="Calibri Light"/>
          <w:b/>
          <w:bCs/>
          <w:color w:val="1F4E5F"/>
          <w:sz w:val="30"/>
          <w:szCs w:val="30"/>
        </w:rPr>
        <w:t xml:space="preserve">11.  Performance budget</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900"/>
        <w:gridCol w:w="2100"/>
        <w:gridCol w:w="5000"/>
      </w:tblGrid>
      <w:tr>
        <w:trPr>
          <w:tblHeader/>
        </w:trPr>
        <w:tc>
          <w:tcPr>
            <w:tcW w:type="dxa" w:w="1900"/>
            <w:shd w:fill="1F4E5F" w:val="clear"/>
            <w:tcMar>
              <w:top w:type="dxa" w:w="70"/>
              <w:left w:type="dxa" w:w="110"/>
              <w:bottom w:type="dxa" w:w="70"/>
              <w:right w:type="dxa" w:w="110"/>
            </w:tcMar>
          </w:tcPr>
          <w:p>
            <w:pPr>
              <w:spacing w:after="0" w:line="250"/>
            </w:pPr>
            <w:r>
              <w:rPr>
                <w:b/>
                <w:bCs/>
                <w:color w:val="FFFFFF"/>
                <w:sz w:val="18"/>
                <w:szCs w:val="18"/>
              </w:rPr>
              <w:t xml:space="preserve">Measure</w:t>
            </w:r>
          </w:p>
        </w:tc>
        <w:tc>
          <w:tcPr>
            <w:tcW w:type="dxa" w:w="2100"/>
            <w:shd w:fill="1F4E5F" w:val="clear"/>
            <w:tcMar>
              <w:top w:type="dxa" w:w="70"/>
              <w:left w:type="dxa" w:w="110"/>
              <w:bottom w:type="dxa" w:w="70"/>
              <w:right w:type="dxa" w:w="110"/>
            </w:tcMar>
          </w:tcPr>
          <w:p>
            <w:pPr>
              <w:spacing w:after="0" w:line="250"/>
            </w:pPr>
            <w:r>
              <w:rPr>
                <w:b/>
                <w:bCs/>
                <w:color w:val="FFFFFF"/>
                <w:sz w:val="18"/>
                <w:szCs w:val="18"/>
              </w:rPr>
              <w:t xml:space="preserve">Target</w:t>
            </w:r>
          </w:p>
        </w:tc>
        <w:tc>
          <w:tcPr>
            <w:tcW w:type="dxa" w:w="5000"/>
            <w:shd w:fill="1F4E5F" w:val="clear"/>
            <w:tcMar>
              <w:top w:type="dxa" w:w="70"/>
              <w:left w:type="dxa" w:w="110"/>
              <w:bottom w:type="dxa" w:w="70"/>
              <w:right w:type="dxa" w:w="110"/>
            </w:tcMar>
          </w:tcPr>
          <w:p>
            <w:pPr>
              <w:spacing w:after="0" w:line="250"/>
            </w:pPr>
            <w:r>
              <w:rPr>
                <w:b/>
                <w:bCs/>
                <w:color w:val="FFFFFF"/>
                <w:sz w:val="18"/>
                <w:szCs w:val="18"/>
              </w:rPr>
              <w:t xml:space="preserve">Why this number</w:t>
            </w:r>
          </w:p>
        </w:tc>
      </w:tr>
      <w:tr>
        <w:tc>
          <w:tcPr>
            <w:tcW w:type="dxa" w:w="1900"/>
            <w:tcMar>
              <w:top w:type="dxa" w:w="70"/>
              <w:left w:type="dxa" w:w="110"/>
              <w:bottom w:type="dxa" w:w="70"/>
              <w:right w:type="dxa" w:w="110"/>
            </w:tcMar>
          </w:tcPr>
          <w:p>
            <w:pPr>
              <w:spacing w:after="0" w:line="250"/>
            </w:pPr>
            <w:r>
              <w:t xml:space="preserve">First contentful paint</w:t>
            </w:r>
          </w:p>
        </w:tc>
        <w:tc>
          <w:tcPr>
            <w:tcW w:type="dxa" w:w="2100"/>
            <w:tcMar>
              <w:top w:type="dxa" w:w="70"/>
              <w:left w:type="dxa" w:w="110"/>
              <w:bottom w:type="dxa" w:w="70"/>
              <w:right w:type="dxa" w:w="110"/>
            </w:tcMar>
          </w:tcPr>
          <w:p>
            <w:pPr>
              <w:spacing w:after="0" w:line="250"/>
            </w:pPr>
            <w:r>
              <w:t xml:space="preserve">&lt; 1.5 s on a mid-range phone, 4G</w:t>
            </w:r>
          </w:p>
        </w:tc>
        <w:tc>
          <w:tcPr>
            <w:tcW w:type="dxa" w:w="5000"/>
            <w:tcMar>
              <w:top w:type="dxa" w:w="70"/>
              <w:left w:type="dxa" w:w="110"/>
              <w:bottom w:type="dxa" w:w="70"/>
              <w:right w:type="dxa" w:w="110"/>
            </w:tcMar>
          </w:tcPr>
          <w:p>
            <w:pPr>
              <w:spacing w:after="0" w:line="250"/>
            </w:pPr>
            <w:r>
              <w:t xml:space="preserve">The map is the page; a blank screen is a bounce.</w:t>
            </w:r>
          </w:p>
        </w:tc>
      </w:tr>
      <w:tr>
        <w:tc>
          <w:tcPr>
            <w:tcW w:type="dxa" w:w="1900"/>
            <w:shd w:fill="F7F9FA" w:val="clear"/>
            <w:tcMar>
              <w:top w:type="dxa" w:w="70"/>
              <w:left w:type="dxa" w:w="110"/>
              <w:bottom w:type="dxa" w:w="70"/>
              <w:right w:type="dxa" w:w="110"/>
            </w:tcMar>
          </w:tcPr>
          <w:p>
            <w:pPr>
              <w:spacing w:after="0" w:line="250"/>
            </w:pPr>
            <w:r>
              <w:t xml:space="preserve">Map interactive</w:t>
            </w:r>
          </w:p>
        </w:tc>
        <w:tc>
          <w:tcPr>
            <w:tcW w:type="dxa" w:w="2100"/>
            <w:shd w:fill="F7F9FA" w:val="clear"/>
            <w:tcMar>
              <w:top w:type="dxa" w:w="70"/>
              <w:left w:type="dxa" w:w="110"/>
              <w:bottom w:type="dxa" w:w="70"/>
              <w:right w:type="dxa" w:w="110"/>
            </w:tcMar>
          </w:tcPr>
          <w:p>
            <w:pPr>
              <w:spacing w:after="0" w:line="250"/>
            </w:pPr>
            <w:r>
              <w:t xml:space="preserve">&lt; 3.0 s</w:t>
            </w:r>
          </w:p>
        </w:tc>
        <w:tc>
          <w:tcPr>
            <w:tcW w:type="dxa" w:w="5000"/>
            <w:shd w:fill="F7F9FA" w:val="clear"/>
            <w:tcMar>
              <w:top w:type="dxa" w:w="70"/>
              <w:left w:type="dxa" w:w="110"/>
              <w:bottom w:type="dxa" w:w="70"/>
              <w:right w:type="dxa" w:w="110"/>
            </w:tcMar>
          </w:tcPr>
          <w:p>
            <w:pPr>
              <w:spacing w:after="0" w:line="250"/>
            </w:pPr>
            <w:r>
              <w:t xml:space="preserve">Beyond this a traveler starts tapping a dead map.</w:t>
            </w:r>
          </w:p>
        </w:tc>
      </w:tr>
      <w:tr>
        <w:tc>
          <w:tcPr>
            <w:tcW w:type="dxa" w:w="1900"/>
            <w:tcMar>
              <w:top w:type="dxa" w:w="70"/>
              <w:left w:type="dxa" w:w="110"/>
              <w:bottom w:type="dxa" w:w="70"/>
              <w:right w:type="dxa" w:w="110"/>
            </w:tcMar>
          </w:tcPr>
          <w:p>
            <w:pPr>
              <w:spacing w:after="0" w:line="250"/>
            </w:pPr>
            <w:r>
              <w:t xml:space="preserve">Mark-to-repaint</w:t>
            </w:r>
          </w:p>
        </w:tc>
        <w:tc>
          <w:tcPr>
            <w:tcW w:type="dxa" w:w="2100"/>
            <w:tcMar>
              <w:top w:type="dxa" w:w="70"/>
              <w:left w:type="dxa" w:w="110"/>
              <w:bottom w:type="dxa" w:w="70"/>
              <w:right w:type="dxa" w:w="110"/>
            </w:tcMar>
          </w:tcPr>
          <w:p>
            <w:pPr>
              <w:spacing w:after="0" w:line="250"/>
            </w:pPr>
            <w:r>
              <w:t xml:space="preserve">&lt; 100 ms</w:t>
            </w:r>
          </w:p>
        </w:tc>
        <w:tc>
          <w:tcPr>
            <w:tcW w:type="dxa" w:w="5000"/>
            <w:tcMar>
              <w:top w:type="dxa" w:w="70"/>
              <w:left w:type="dxa" w:w="110"/>
              <w:bottom w:type="dxa" w:w="70"/>
              <w:right w:type="dxa" w:w="110"/>
            </w:tcMar>
          </w:tcPr>
          <w:p>
            <w:pPr>
              <w:spacing w:after="0" w:line="250"/>
            </w:pPr>
            <w:r>
              <w:t xml:space="preserve">The most repeated action. Any perceptible lag makes the product feel broken.</w:t>
            </w:r>
          </w:p>
        </w:tc>
      </w:tr>
      <w:tr>
        <w:tc>
          <w:tcPr>
            <w:tcW w:type="dxa" w:w="1900"/>
            <w:shd w:fill="F7F9FA" w:val="clear"/>
            <w:tcMar>
              <w:top w:type="dxa" w:w="70"/>
              <w:left w:type="dxa" w:w="110"/>
              <w:bottom w:type="dxa" w:w="70"/>
              <w:right w:type="dxa" w:w="110"/>
            </w:tcMar>
          </w:tcPr>
          <w:p>
            <w:pPr>
              <w:spacing w:after="0" w:line="250"/>
            </w:pPr>
            <w:r>
              <w:t xml:space="preserve">Frame rate while panning</w:t>
            </w:r>
          </w:p>
        </w:tc>
        <w:tc>
          <w:tcPr>
            <w:tcW w:type="dxa" w:w="2100"/>
            <w:shd w:fill="F7F9FA" w:val="clear"/>
            <w:tcMar>
              <w:top w:type="dxa" w:w="70"/>
              <w:left w:type="dxa" w:w="110"/>
              <w:bottom w:type="dxa" w:w="70"/>
              <w:right w:type="dxa" w:w="110"/>
            </w:tcMar>
          </w:tcPr>
          <w:p>
            <w:pPr>
              <w:spacing w:after="0" w:line="250"/>
            </w:pPr>
            <w:r>
              <w:t xml:space="preserve">≥ 50 fps at world zoom with all places loaded</w:t>
            </w:r>
          </w:p>
        </w:tc>
        <w:tc>
          <w:tcPr>
            <w:tcW w:type="dxa" w:w="5000"/>
            <w:shd w:fill="F7F9FA" w:val="clear"/>
            <w:tcMar>
              <w:top w:type="dxa" w:w="70"/>
              <w:left w:type="dxa" w:w="110"/>
              <w:bottom w:type="dxa" w:w="70"/>
              <w:right w:type="dxa" w:w="110"/>
            </w:tcMar>
          </w:tcPr>
          <w:p>
            <w:pPr>
              <w:spacing w:after="0" w:line="250"/>
            </w:pPr>
            <w:r>
              <w:t xml:space="preserve">Below this the globe reads as cheap.</w:t>
            </w:r>
          </w:p>
        </w:tc>
      </w:tr>
      <w:tr>
        <w:tc>
          <w:tcPr>
            <w:tcW w:type="dxa" w:w="1900"/>
            <w:tcMar>
              <w:top w:type="dxa" w:w="70"/>
              <w:left w:type="dxa" w:w="110"/>
              <w:bottom w:type="dxa" w:w="70"/>
              <w:right w:type="dxa" w:w="110"/>
            </w:tcMar>
          </w:tcPr>
          <w:p>
            <w:pPr>
              <w:spacing w:after="0" w:line="250"/>
            </w:pPr>
            <w:r>
              <w:t xml:space="preserve">Initial JS</w:t>
            </w:r>
          </w:p>
        </w:tc>
        <w:tc>
          <w:tcPr>
            <w:tcW w:type="dxa" w:w="2100"/>
            <w:tcMar>
              <w:top w:type="dxa" w:w="70"/>
              <w:left w:type="dxa" w:w="110"/>
              <w:bottom w:type="dxa" w:w="70"/>
              <w:right w:type="dxa" w:w="110"/>
            </w:tcMar>
          </w:tcPr>
          <w:p>
            <w:pPr>
              <w:spacing w:after="0" w:line="250"/>
            </w:pPr>
            <w:r>
              <w:t xml:space="preserve">&lt; 300 KB compressed, excluding the map renderer</w:t>
            </w:r>
          </w:p>
        </w:tc>
        <w:tc>
          <w:tcPr>
            <w:tcW w:type="dxa" w:w="5000"/>
            <w:tcMar>
              <w:top w:type="dxa" w:w="70"/>
              <w:left w:type="dxa" w:w="110"/>
              <w:bottom w:type="dxa" w:w="70"/>
              <w:right w:type="dxa" w:w="110"/>
            </w:tcMar>
          </w:tcPr>
          <w:p>
            <w:pPr>
              <w:spacing w:after="0" w:line="250"/>
            </w:pPr>
            <w:r>
              <w:t xml:space="preserve">The renderer is large and unavoidable; everything else must be small.</w:t>
            </w:r>
          </w:p>
        </w:tc>
      </w:tr>
      <w:tr>
        <w:tc>
          <w:tcPr>
            <w:tcW w:type="dxa" w:w="1900"/>
            <w:shd w:fill="F7F9FA" w:val="clear"/>
            <w:tcMar>
              <w:top w:type="dxa" w:w="70"/>
              <w:left w:type="dxa" w:w="110"/>
              <w:bottom w:type="dxa" w:w="70"/>
              <w:right w:type="dxa" w:w="110"/>
            </w:tcMar>
          </w:tcPr>
          <w:p>
            <w:pPr>
              <w:spacing w:after="0" w:line="250"/>
            </w:pPr>
            <w:r>
              <w:t xml:space="preserve">Per-country register</w:t>
            </w:r>
          </w:p>
        </w:tc>
        <w:tc>
          <w:tcPr>
            <w:tcW w:type="dxa" w:w="2100"/>
            <w:shd w:fill="F7F9FA" w:val="clear"/>
            <w:tcMar>
              <w:top w:type="dxa" w:w="70"/>
              <w:left w:type="dxa" w:w="110"/>
              <w:bottom w:type="dxa" w:w="70"/>
              <w:right w:type="dxa" w:w="110"/>
            </w:tcMar>
          </w:tcPr>
          <w:p>
            <w:pPr>
              <w:spacing w:after="0" w:line="250"/>
            </w:pPr>
            <w:r>
              <w:t xml:space="preserve">&lt; 150 KB compressed</w:t>
            </w:r>
          </w:p>
        </w:tc>
        <w:tc>
          <w:tcPr>
            <w:tcW w:type="dxa" w:w="5000"/>
            <w:shd w:fill="F7F9FA" w:val="clear"/>
            <w:tcMar>
              <w:top w:type="dxa" w:w="70"/>
              <w:left w:type="dxa" w:w="110"/>
              <w:bottom w:type="dxa" w:w="70"/>
              <w:right w:type="dxa" w:w="110"/>
            </w:tcMar>
          </w:tcPr>
          <w:p>
            <w:pPr>
              <w:spacing w:after="0" w:line="250"/>
            </w:pPr>
            <w:r>
              <w:t xml:space="preserve">Fetched on demand, cached immutably.</w:t>
            </w:r>
          </w:p>
        </w:tc>
      </w:tr>
    </w:tbl>
    <w:p>
      <w:pPr>
        <w:pStyle w:val="Heading1"/>
        <w:spacing w:after="160" w:before="380"/>
      </w:pPr>
      <w:r>
        <w:rPr>
          <w:rFonts w:ascii="Calibri Light" w:cs="Calibri Light" w:eastAsia="Calibri Light" w:hAnsi="Calibri Light"/>
          <w:b/>
          <w:bCs/>
          <w:color w:val="1F4E5F"/>
          <w:sz w:val="30"/>
          <w:szCs w:val="30"/>
        </w:rPr>
        <w:t xml:space="preserve">12.  Privacy and security</w:t>
      </w:r>
    </w:p>
    <w:p>
      <w:pPr>
        <w:pStyle w:val="ListParagraph"/>
        <w:numPr>
          <w:ilvl w:val="0"/>
          <w:numId w:val="2"/>
        </w:numPr>
        <w:spacing w:after="70" w:line="268"/>
      </w:pPr>
      <w:r>
        <w:rPr>
          <w:b/>
          <w:bCs/>
        </w:rPr>
        <w:t xml:space="preserve">A travel history is sensitive.</w:t>
      </w:r>
      <w:r>
        <w:t xml:space="preserve"> It reveals where someone has been and, by omission, where they live. Records are private by default, never public, never indexed, and never used to build a shareable profile without an explicit action.</w:t>
      </w:r>
    </w:p>
    <w:p>
      <w:pPr>
        <w:pStyle w:val="ListParagraph"/>
        <w:numPr>
          <w:ilvl w:val="0"/>
          <w:numId w:val="2"/>
        </w:numPr>
        <w:spacing w:after="70" w:line="268"/>
      </w:pPr>
      <w:r>
        <w:rPr>
          <w:b/>
          <w:bCs/>
        </w:rPr>
        <w:t xml:space="preserve">Row-level security at the database</w:t>
      </w:r>
      <w:r>
        <w:t xml:space="preserve">, not only in the API. Authorisation enforced in one place that cannot be bypassed by a bug in another.</w:t>
      </w:r>
    </w:p>
    <w:p>
      <w:pPr>
        <w:pStyle w:val="ListParagraph"/>
        <w:numPr>
          <w:ilvl w:val="0"/>
          <w:numId w:val="2"/>
        </w:numPr>
        <w:spacing w:after="70" w:line="268"/>
      </w:pPr>
      <w:r>
        <w:rPr>
          <w:b/>
          <w:bCs/>
        </w:rPr>
        <w:t xml:space="preserve">No third-party analytics on the map surface.</w:t>
      </w:r>
      <w:r>
        <w:t xml:space="preserve"> Place-level telemetry is a location history by another name; product measurement is aggregate and anonymous.</w:t>
      </w:r>
    </w:p>
    <w:p>
      <w:pPr>
        <w:pStyle w:val="ListParagraph"/>
        <w:numPr>
          <w:ilvl w:val="0"/>
          <w:numId w:val="2"/>
        </w:numPr>
        <w:spacing w:after="70" w:line="268"/>
      </w:pPr>
      <w:r>
        <w:rPr>
          <w:b/>
          <w:bCs/>
        </w:rPr>
        <w:t xml:space="preserve">Export and deletion are first-class</w:t>
      </w:r>
      <w:r>
        <w:t xml:space="preserve">, both reachable in one action, with deletion propagating to backups within a stated window.</w:t>
      </w:r>
    </w:p>
    <w:p>
      <w:pPr>
        <w:pStyle w:val="ListParagraph"/>
        <w:numPr>
          <w:ilvl w:val="0"/>
          <w:numId w:val="2"/>
        </w:numPr>
        <w:spacing w:after="70" w:line="268"/>
      </w:pPr>
      <w:r>
        <w:rPr>
          <w:b/>
          <w:bCs/>
        </w:rPr>
        <w:t xml:space="preserve">Secrets never reach the client.</w:t>
      </w:r>
      <w:r>
        <w:t xml:space="preserve"> Tile access is public and cheap by design; anything else is proxied.</w:t>
      </w:r>
    </w:p>
    <w:p>
      <w:pPr>
        <w:pStyle w:val="Heading1"/>
        <w:spacing w:after="160" w:before="380"/>
      </w:pPr>
      <w:r>
        <w:rPr>
          <w:rFonts w:ascii="Calibri Light" w:cs="Calibri Light" w:eastAsia="Calibri Light" w:hAnsi="Calibri Light"/>
          <w:b/>
          <w:bCs/>
          <w:color w:val="1F4E5F"/>
          <w:sz w:val="30"/>
          <w:szCs w:val="30"/>
        </w:rPr>
        <w:t xml:space="preserve">13.  Environments and deployment</w:t>
      </w:r>
    </w:p>
    <w:p>
      <w:pPr>
        <w:pStyle w:val="ListParagraph"/>
        <w:numPr>
          <w:ilvl w:val="0"/>
          <w:numId w:val="2"/>
        </w:numPr>
        <w:spacing w:after="70" w:line="268"/>
      </w:pPr>
      <w:r>
        <w:rPr>
          <w:b/>
          <w:bCs/>
        </w:rPr>
        <w:t xml:space="preserve">Three environments:</w:t>
      </w:r>
      <w:r>
        <w:t xml:space="preserve"> local with a fixture bundle, staging with the full database and a separate user store, production.</w:t>
      </w:r>
    </w:p>
    <w:p>
      <w:pPr>
        <w:pStyle w:val="ListParagraph"/>
        <w:numPr>
          <w:ilvl w:val="0"/>
          <w:numId w:val="2"/>
        </w:numPr>
        <w:spacing w:after="70" w:line="268"/>
      </w:pPr>
      <w:r>
        <w:rPr>
          <w:b/>
          <w:bCs/>
        </w:rPr>
        <w:t xml:space="preserve">The client is static hosting behind a CDN.</w:t>
      </w:r>
      <w:r>
        <w:t xml:space="preserve"> No server rendering; the map cannot be rendered server-side and the register does not need it.</w:t>
      </w:r>
    </w:p>
    <w:p>
      <w:pPr>
        <w:pStyle w:val="ListParagraph"/>
        <w:numPr>
          <w:ilvl w:val="0"/>
          <w:numId w:val="2"/>
        </w:numPr>
        <w:spacing w:after="70" w:line="268"/>
      </w:pPr>
      <w:r>
        <w:rPr>
          <w:b/>
          <w:bCs/>
        </w:rPr>
        <w:t xml:space="preserve">Pipeline runs are scheduled and reproducible</w:t>
      </w:r>
      <w:r>
        <w:t xml:space="preserve">, pinned to source snapshots so a build can be repeated exactly. Output is published to versioned paths.</w:t>
      </w:r>
    </w:p>
    <w:p>
      <w:pPr>
        <w:pStyle w:val="ListParagraph"/>
        <w:numPr>
          <w:ilvl w:val="0"/>
          <w:numId w:val="2"/>
        </w:numPr>
        <w:spacing w:after="70" w:line="268"/>
      </w:pPr>
      <w:r>
        <w:rPr>
          <w:b/>
          <w:bCs/>
        </w:rPr>
        <w:t xml:space="preserve">Rollback is repointing the manifest</w:t>
      </w:r>
      <w:r>
        <w:t xml:space="preserve">, which is the practical benefit of immutable bundles.</w:t>
      </w:r>
    </w:p>
    <w:p>
      <w:pPr>
        <w:pStyle w:val="Heading1"/>
        <w:spacing w:after="160" w:before="380"/>
      </w:pPr>
      <w:r>
        <w:rPr>
          <w:rFonts w:ascii="Calibri Light" w:cs="Calibri Light" w:eastAsia="Calibri Light" w:hAnsi="Calibri Light"/>
          <w:b/>
          <w:bCs/>
          <w:color w:val="1F4E5F"/>
          <w:sz w:val="30"/>
          <w:szCs w:val="30"/>
        </w:rPr>
        <w:t xml:space="preserve">14.  Testing</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1500"/>
        <w:gridCol w:w="7500"/>
      </w:tblGrid>
      <w:tr>
        <w:trPr>
          <w:tblHeader/>
        </w:trPr>
        <w:tc>
          <w:tcPr>
            <w:tcW w:type="dxa" w:w="1500"/>
            <w:shd w:fill="1F4E5F"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7500"/>
            <w:shd w:fill="1F4E5F" w:val="clear"/>
            <w:tcMar>
              <w:top w:type="dxa" w:w="70"/>
              <w:left w:type="dxa" w:w="110"/>
              <w:bottom w:type="dxa" w:w="70"/>
              <w:right w:type="dxa" w:w="110"/>
            </w:tcMar>
          </w:tcPr>
          <w:p>
            <w:pPr>
              <w:spacing w:after="0" w:line="250"/>
            </w:pPr>
            <w:r>
              <w:rPr>
                <w:b/>
                <w:bCs/>
                <w:color w:val="FFFFFF"/>
                <w:sz w:val="18"/>
                <w:szCs w:val="18"/>
              </w:rPr>
              <w:t xml:space="preserve">Approach</w:t>
            </w:r>
          </w:p>
        </w:tc>
      </w:tr>
      <w:tr>
        <w:tc>
          <w:tcPr>
            <w:tcW w:type="dxa" w:w="1500"/>
            <w:tcMar>
              <w:top w:type="dxa" w:w="70"/>
              <w:left w:type="dxa" w:w="110"/>
              <w:bottom w:type="dxa" w:w="70"/>
              <w:right w:type="dxa" w:w="110"/>
            </w:tcMar>
          </w:tcPr>
          <w:p>
            <w:pPr>
              <w:spacing w:after="0" w:line="250"/>
            </w:pPr>
            <w:r>
              <w:t xml:space="preserve">Pipeline</w:t>
            </w:r>
          </w:p>
        </w:tc>
        <w:tc>
          <w:tcPr>
            <w:tcW w:type="dxa" w:w="7500"/>
            <w:tcMar>
              <w:top w:type="dxa" w:w="70"/>
              <w:left w:type="dxa" w:w="110"/>
              <w:bottom w:type="dxa" w:w="70"/>
              <w:right w:type="dxa" w:w="110"/>
            </w:tcMar>
          </w:tcPr>
          <w:p>
            <w:pPr>
              <w:spacing w:after="0" w:line="250"/>
            </w:pPr>
            <w:r>
              <w:t xml:space="preserve">Unit and property tests offline against fixtures. Regression tests encode the model failures that were measured on real data, so a future change that reintroduces one fails loudly.</w:t>
            </w:r>
          </w:p>
        </w:tc>
      </w:tr>
      <w:tr>
        <w:tc>
          <w:tcPr>
            <w:tcW w:type="dxa" w:w="1500"/>
            <w:shd w:fill="F7F9FA" w:val="clear"/>
            <w:tcMar>
              <w:top w:type="dxa" w:w="70"/>
              <w:left w:type="dxa" w:w="110"/>
              <w:bottom w:type="dxa" w:w="70"/>
              <w:right w:type="dxa" w:w="110"/>
            </w:tcMar>
          </w:tcPr>
          <w:p>
            <w:pPr>
              <w:spacing w:after="0" w:line="250"/>
            </w:pPr>
            <w:r>
              <w:t xml:space="preserve">Data quality</w:t>
            </w:r>
          </w:p>
        </w:tc>
        <w:tc>
          <w:tcPr>
            <w:tcW w:type="dxa" w:w="7500"/>
            <w:shd w:fill="F7F9FA" w:val="clear"/>
            <w:tcMar>
              <w:top w:type="dxa" w:w="70"/>
              <w:left w:type="dxa" w:w="110"/>
              <w:bottom w:type="dxa" w:w="70"/>
              <w:right w:type="dxa" w:w="110"/>
            </w:tcMar>
          </w:tcPr>
          <w:p>
            <w:pPr>
              <w:spacing w:after="0" w:line="250"/>
            </w:pPr>
            <w:r>
              <w:t xml:space="preserve">Assertions in the build: identifier stability against the previous run, every country present, no place without a kind, spacing conflicts reported rather than silently resolved.</w:t>
            </w:r>
          </w:p>
        </w:tc>
      </w:tr>
      <w:tr>
        <w:tc>
          <w:tcPr>
            <w:tcW w:type="dxa" w:w="1500"/>
            <w:tcMar>
              <w:top w:type="dxa" w:w="70"/>
              <w:left w:type="dxa" w:w="110"/>
              <w:bottom w:type="dxa" w:w="70"/>
              <w:right w:type="dxa" w:w="110"/>
            </w:tcMar>
          </w:tcPr>
          <w:p>
            <w:pPr>
              <w:spacing w:after="0" w:line="250"/>
            </w:pPr>
            <w:r>
              <w:t xml:space="preserve">Client logic</w:t>
            </w:r>
          </w:p>
        </w:tc>
        <w:tc>
          <w:tcPr>
            <w:tcW w:type="dxa" w:w="7500"/>
            <w:tcMar>
              <w:top w:type="dxa" w:w="70"/>
              <w:left w:type="dxa" w:w="110"/>
              <w:bottom w:type="dxa" w:w="70"/>
              <w:right w:type="dxa" w:w="110"/>
            </w:tcMar>
          </w:tcPr>
          <w:p>
            <w:pPr>
              <w:spacing w:after="0" w:line="250"/>
            </w:pPr>
            <w:r>
              <w:t xml:space="preserve">Unit tests for state, sync reconciliation and coverage arithmetic.</w:t>
            </w:r>
          </w:p>
        </w:tc>
      </w:tr>
      <w:tr>
        <w:tc>
          <w:tcPr>
            <w:tcW w:type="dxa" w:w="1500"/>
            <w:shd w:fill="F7F9FA" w:val="clear"/>
            <w:tcMar>
              <w:top w:type="dxa" w:w="70"/>
              <w:left w:type="dxa" w:w="110"/>
              <w:bottom w:type="dxa" w:w="70"/>
              <w:right w:type="dxa" w:w="110"/>
            </w:tcMar>
          </w:tcPr>
          <w:p>
            <w:pPr>
              <w:spacing w:after="0" w:line="250"/>
            </w:pPr>
            <w:r>
              <w:t xml:space="preserve">Map rendering</w:t>
            </w:r>
          </w:p>
        </w:tc>
        <w:tc>
          <w:tcPr>
            <w:tcW w:type="dxa" w:w="7500"/>
            <w:shd w:fill="F7F9FA" w:val="clear"/>
            <w:tcMar>
              <w:top w:type="dxa" w:w="70"/>
              <w:left w:type="dxa" w:w="110"/>
              <w:bottom w:type="dxa" w:w="70"/>
              <w:right w:type="dxa" w:w="110"/>
            </w:tcMar>
          </w:tcPr>
          <w:p>
            <w:pPr>
              <w:spacing w:after="0" w:line="250"/>
            </w:pPr>
            <w:r>
              <w:t xml:space="preserve">Visual regression on a small set of fixed camera positions in both themes. Extrusion is exactly the kind of thing that breaks invisibly on a renderer upgrade.</w:t>
            </w:r>
          </w:p>
        </w:tc>
      </w:tr>
      <w:tr>
        <w:tc>
          <w:tcPr>
            <w:tcW w:type="dxa" w:w="1500"/>
            <w:tcMar>
              <w:top w:type="dxa" w:w="70"/>
              <w:left w:type="dxa" w:w="110"/>
              <w:bottom w:type="dxa" w:w="70"/>
              <w:right w:type="dxa" w:w="110"/>
            </w:tcMar>
          </w:tcPr>
          <w:p>
            <w:pPr>
              <w:spacing w:after="0" w:line="250"/>
            </w:pPr>
            <w:r>
              <w:t xml:space="preserve">End to end</w:t>
            </w:r>
          </w:p>
        </w:tc>
        <w:tc>
          <w:tcPr>
            <w:tcW w:type="dxa" w:w="7500"/>
            <w:tcMar>
              <w:top w:type="dxa" w:w="70"/>
              <w:left w:type="dxa" w:w="110"/>
              <w:bottom w:type="dxa" w:w="70"/>
              <w:right w:type="dxa" w:w="110"/>
            </w:tcMar>
          </w:tcPr>
          <w:p>
            <w:pPr>
              <w:spacing w:after="0" w:line="250"/>
            </w:pPr>
            <w:r>
              <w:t xml:space="preserve">The critical paths: mark, reload, sync across two sessions, export and reimport.</w:t>
            </w:r>
          </w:p>
        </w:tc>
      </w:tr>
      <w:tr>
        <w:tc>
          <w:tcPr>
            <w:tcW w:type="dxa" w:w="1500"/>
            <w:shd w:fill="F7F9FA" w:val="clear"/>
            <w:tcMar>
              <w:top w:type="dxa" w:w="70"/>
              <w:left w:type="dxa" w:w="110"/>
              <w:bottom w:type="dxa" w:w="70"/>
              <w:right w:type="dxa" w:w="110"/>
            </w:tcMar>
          </w:tcPr>
          <w:p>
            <w:pPr>
              <w:spacing w:after="0" w:line="250"/>
            </w:pPr>
            <w:r>
              <w:t xml:space="preserve">Accessibility</w:t>
            </w:r>
          </w:p>
        </w:tc>
        <w:tc>
          <w:tcPr>
            <w:tcW w:type="dxa" w:w="7500"/>
            <w:shd w:fill="F7F9FA" w:val="clear"/>
            <w:tcMar>
              <w:top w:type="dxa" w:w="70"/>
              <w:left w:type="dxa" w:w="110"/>
              <w:bottom w:type="dxa" w:w="70"/>
              <w:right w:type="dxa" w:w="110"/>
            </w:tcMar>
          </w:tcPr>
          <w:p>
            <w:pPr>
              <w:spacing w:after="0" w:line="250"/>
            </w:pPr>
            <w:r>
              <w:t xml:space="preserve">Automated checks in CI, plus manual keyboard and screen-reader passes on the map and register.</w:t>
            </w:r>
          </w:p>
        </w:tc>
      </w:tr>
      <w:tr>
        <w:tc>
          <w:tcPr>
            <w:tcW w:type="dxa" w:w="1500"/>
            <w:tcMar>
              <w:top w:type="dxa" w:w="70"/>
              <w:left w:type="dxa" w:w="110"/>
              <w:bottom w:type="dxa" w:w="70"/>
              <w:right w:type="dxa" w:w="110"/>
            </w:tcMar>
          </w:tcPr>
          <w:p>
            <w:pPr>
              <w:spacing w:after="0" w:line="250"/>
            </w:pPr>
            <w:r>
              <w:t xml:space="preserve">Performance</w:t>
            </w:r>
          </w:p>
        </w:tc>
        <w:tc>
          <w:tcPr>
            <w:tcW w:type="dxa" w:w="7500"/>
            <w:tcMar>
              <w:top w:type="dxa" w:w="70"/>
              <w:left w:type="dxa" w:w="110"/>
              <w:bottom w:type="dxa" w:w="70"/>
              <w:right w:type="dxa" w:w="110"/>
            </w:tcMar>
          </w:tcPr>
          <w:p>
            <w:pPr>
              <w:spacing w:after="0" w:line="250"/>
            </w:pPr>
            <w:r>
              <w:t xml:space="preserve">Budgets enforced in CI against the full database, not a sample.</w:t>
            </w:r>
          </w:p>
        </w:tc>
      </w:tr>
    </w:tbl>
    <w:p>
      <w:pPr>
        <w:pStyle w:val="Heading1"/>
        <w:spacing w:after="160" w:before="380"/>
      </w:pPr>
      <w:r>
        <w:rPr>
          <w:rFonts w:ascii="Calibri Light" w:cs="Calibri Light" w:eastAsia="Calibri Light" w:hAnsi="Calibri Light"/>
          <w:b/>
          <w:bCs/>
          <w:color w:val="1F4E5F"/>
          <w:sz w:val="30"/>
          <w:szCs w:val="30"/>
        </w:rPr>
        <w:t xml:space="preserve">15.  Risks worth naming</w:t>
      </w:r>
    </w:p>
    <w:tbl>
      <w:tblPr>
        <w:tblW w:type="dxa" w:w="9000"/>
        <w:tblBorders>
          <w:top w:val="single" w:color="C9CFD4" w:sz="2"/>
          <w:left w:val="single" w:color="C9CFD4" w:sz="2"/>
          <w:bottom w:val="single" w:color="C9CFD4" w:sz="2"/>
          <w:right w:val="single" w:color="C9CFD4" w:sz="2"/>
          <w:insideH w:val="single" w:color="DDE3E7" w:sz="2"/>
          <w:insideV w:val="single" w:color="DDE3E7" w:sz="2"/>
        </w:tblBorders>
      </w:tblPr>
      <w:tblGrid>
        <w:gridCol w:w="2100"/>
        <w:gridCol w:w="2900"/>
        <w:gridCol w:w="4000"/>
      </w:tblGrid>
      <w:tr>
        <w:trPr>
          <w:tblHeader/>
        </w:trPr>
        <w:tc>
          <w:tcPr>
            <w:tcW w:type="dxa" w:w="2100"/>
            <w:shd w:fill="1F4E5F" w:val="clear"/>
            <w:tcMar>
              <w:top w:type="dxa" w:w="70"/>
              <w:left w:type="dxa" w:w="110"/>
              <w:bottom w:type="dxa" w:w="70"/>
              <w:right w:type="dxa" w:w="110"/>
            </w:tcMar>
          </w:tcPr>
          <w:p>
            <w:pPr>
              <w:spacing w:after="0" w:line="250"/>
            </w:pPr>
            <w:r>
              <w:rPr>
                <w:b/>
                <w:bCs/>
                <w:color w:val="FFFFFF"/>
                <w:sz w:val="18"/>
                <w:szCs w:val="18"/>
              </w:rPr>
              <w:t xml:space="preserve">Risk</w:t>
            </w:r>
          </w:p>
        </w:tc>
        <w:tc>
          <w:tcPr>
            <w:tcW w:type="dxa" w:w="2900"/>
            <w:shd w:fill="1F4E5F" w:val="clear"/>
            <w:tcMar>
              <w:top w:type="dxa" w:w="70"/>
              <w:left w:type="dxa" w:w="110"/>
              <w:bottom w:type="dxa" w:w="70"/>
              <w:right w:type="dxa" w:w="110"/>
            </w:tcMar>
          </w:tcPr>
          <w:p>
            <w:pPr>
              <w:spacing w:after="0" w:line="250"/>
            </w:pPr>
            <w:r>
              <w:rPr>
                <w:b/>
                <w:bCs/>
                <w:color w:val="FFFFFF"/>
                <w:sz w:val="18"/>
                <w:szCs w:val="18"/>
              </w:rPr>
              <w:t xml:space="preserve">Consequence</w:t>
            </w:r>
          </w:p>
        </w:tc>
        <w:tc>
          <w:tcPr>
            <w:tcW w:type="dxa" w:w="4000"/>
            <w:shd w:fill="1F4E5F" w:val="clear"/>
            <w:tcMar>
              <w:top w:type="dxa" w:w="70"/>
              <w:left w:type="dxa" w:w="110"/>
              <w:bottom w:type="dxa" w:w="70"/>
              <w:right w:type="dxa" w:w="110"/>
            </w:tcMar>
          </w:tcPr>
          <w:p>
            <w:pPr>
              <w:spacing w:after="0" w:line="250"/>
            </w:pPr>
            <w:r>
              <w:rPr>
                <w:b/>
                <w:bCs/>
                <w:color w:val="FFFFFF"/>
                <w:sz w:val="18"/>
                <w:szCs w:val="18"/>
              </w:rPr>
              <w:t xml:space="preserve">Response</w:t>
            </w:r>
          </w:p>
        </w:tc>
      </w:tr>
      <w:tr>
        <w:tc>
          <w:tcPr>
            <w:tcW w:type="dxa" w:w="2100"/>
            <w:tcMar>
              <w:top w:type="dxa" w:w="70"/>
              <w:left w:type="dxa" w:w="110"/>
              <w:bottom w:type="dxa" w:w="70"/>
              <w:right w:type="dxa" w:w="110"/>
            </w:tcMar>
          </w:tcPr>
          <w:p>
            <w:pPr>
              <w:spacing w:after="0" w:line="250"/>
            </w:pPr>
            <w:r>
              <w:t xml:space="preserve">Place identifiers change on rebuild</w:t>
            </w:r>
          </w:p>
        </w:tc>
        <w:tc>
          <w:tcPr>
            <w:tcW w:type="dxa" w:w="2900"/>
            <w:tcMar>
              <w:top w:type="dxa" w:w="70"/>
              <w:left w:type="dxa" w:w="110"/>
              <w:bottom w:type="dxa" w:w="70"/>
              <w:right w:type="dxa" w:w="110"/>
            </w:tcMar>
          </w:tcPr>
          <w:p>
            <w:pPr>
              <w:spacing w:after="0" w:line="250"/>
            </w:pPr>
            <w:r>
              <w:t xml:space="preserve">Travel histories silently corrupt</w:t>
            </w:r>
          </w:p>
        </w:tc>
        <w:tc>
          <w:tcPr>
            <w:tcW w:type="dxa" w:w="4000"/>
            <w:tcMar>
              <w:top w:type="dxa" w:w="70"/>
              <w:left w:type="dxa" w:w="110"/>
              <w:bottom w:type="dxa" w:w="70"/>
              <w:right w:type="dxa" w:w="110"/>
            </w:tcMar>
          </w:tcPr>
          <w:p>
            <w:pPr>
              <w:spacing w:after="0" w:line="250"/>
            </w:pPr>
            <w:r>
              <w:t xml:space="preserve">Treat as a migration with a mapping table. Assert stability in the build.</w:t>
            </w:r>
          </w:p>
        </w:tc>
      </w:tr>
      <w:tr>
        <w:tc>
          <w:tcPr>
            <w:tcW w:type="dxa" w:w="2100"/>
            <w:shd w:fill="F7F9FA" w:val="clear"/>
            <w:tcMar>
              <w:top w:type="dxa" w:w="70"/>
              <w:left w:type="dxa" w:w="110"/>
              <w:bottom w:type="dxa" w:w="70"/>
              <w:right w:type="dxa" w:w="110"/>
            </w:tcMar>
          </w:tcPr>
          <w:p>
            <w:pPr>
              <w:spacing w:after="0" w:line="250"/>
            </w:pPr>
            <w:r>
              <w:t xml:space="preserve">Renderer performance at full scale</w:t>
            </w:r>
          </w:p>
        </w:tc>
        <w:tc>
          <w:tcPr>
            <w:tcW w:type="dxa" w:w="2900"/>
            <w:shd w:fill="F7F9FA" w:val="clear"/>
            <w:tcMar>
              <w:top w:type="dxa" w:w="70"/>
              <w:left w:type="dxa" w:w="110"/>
              <w:bottom w:type="dxa" w:w="70"/>
              <w:right w:type="dxa" w:w="110"/>
            </w:tcMar>
          </w:tcPr>
          <w:p>
            <w:pPr>
              <w:spacing w:after="0" w:line="250"/>
            </w:pPr>
            <w:r>
              <w:t xml:space="preserve">The map stutters exactly where the product is most impressive</w:t>
            </w:r>
          </w:p>
        </w:tc>
        <w:tc>
          <w:tcPr>
            <w:tcW w:type="dxa" w:w="4000"/>
            <w:shd w:fill="F7F9FA" w:val="clear"/>
            <w:tcMar>
              <w:top w:type="dxa" w:w="70"/>
              <w:left w:type="dxa" w:w="110"/>
              <w:bottom w:type="dxa" w:w="70"/>
              <w:right w:type="dxa" w:w="110"/>
            </w:tcMar>
          </w:tcPr>
          <w:p>
            <w:pPr>
              <w:spacing w:after="0" w:line="250"/>
            </w:pPr>
            <w:r>
              <w:t xml:space="preserve">Prototype with all places and all visited early, on a mid-range phone, before committing to the tile view.</w:t>
            </w:r>
          </w:p>
        </w:tc>
      </w:tr>
      <w:tr>
        <w:tc>
          <w:tcPr>
            <w:tcW w:type="dxa" w:w="2100"/>
            <w:tcMar>
              <w:top w:type="dxa" w:w="70"/>
              <w:left w:type="dxa" w:w="110"/>
              <w:bottom w:type="dxa" w:w="70"/>
              <w:right w:type="dxa" w:w="110"/>
            </w:tcMar>
          </w:tcPr>
          <w:p>
            <w:pPr>
              <w:spacing w:after="0" w:line="250"/>
            </w:pPr>
            <w:r>
              <w:t xml:space="preserve">Share-alike obligations on map data</w:t>
            </w:r>
          </w:p>
        </w:tc>
        <w:tc>
          <w:tcPr>
            <w:tcW w:type="dxa" w:w="2900"/>
            <w:tcMar>
              <w:top w:type="dxa" w:w="70"/>
              <w:left w:type="dxa" w:w="110"/>
              <w:bottom w:type="dxa" w:w="70"/>
              <w:right w:type="dxa" w:w="110"/>
            </w:tcMar>
          </w:tcPr>
          <w:p>
            <w:pPr>
              <w:spacing w:after="0" w:line="250"/>
            </w:pPr>
            <w:r>
              <w:t xml:space="preserve">A public application may trigger them regardless of revenue</w:t>
            </w:r>
          </w:p>
        </w:tc>
        <w:tc>
          <w:tcPr>
            <w:tcW w:type="dxa" w:w="4000"/>
            <w:tcMar>
              <w:top w:type="dxa" w:w="70"/>
              <w:left w:type="dxa" w:w="110"/>
              <w:bottom w:type="dxa" w:w="70"/>
              <w:right w:type="dxa" w:w="110"/>
            </w:tcMar>
          </w:tcPr>
          <w:p>
            <w:pPr>
              <w:spacing w:after="0" w:line="250"/>
            </w:pPr>
            <w:r>
              <w:t xml:space="preserve">Per-record provenance is already in the pipeline. Get the position checked before opening the product publicly.</w:t>
            </w:r>
          </w:p>
        </w:tc>
      </w:tr>
      <w:tr>
        <w:tc>
          <w:tcPr>
            <w:tcW w:type="dxa" w:w="2100"/>
            <w:shd w:fill="F7F9FA" w:val="clear"/>
            <w:tcMar>
              <w:top w:type="dxa" w:w="70"/>
              <w:left w:type="dxa" w:w="110"/>
              <w:bottom w:type="dxa" w:w="70"/>
              <w:right w:type="dxa" w:w="110"/>
            </w:tcMar>
          </w:tcPr>
          <w:p>
            <w:pPr>
              <w:spacing w:after="0" w:line="250"/>
            </w:pPr>
            <w:r>
              <w:t xml:space="preserve">The tile view is harder than estimated</w:t>
            </w:r>
          </w:p>
        </w:tc>
        <w:tc>
          <w:tcPr>
            <w:tcW w:type="dxa" w:w="2900"/>
            <w:shd w:fill="F7F9FA" w:val="clear"/>
            <w:tcMar>
              <w:top w:type="dxa" w:w="70"/>
              <w:left w:type="dxa" w:w="110"/>
              <w:bottom w:type="dxa" w:w="70"/>
              <w:right w:type="dxa" w:w="110"/>
            </w:tcMar>
          </w:tcPr>
          <w:p>
            <w:pPr>
              <w:spacing w:after="0" w:line="250"/>
            </w:pPr>
            <w:r>
              <w:t xml:space="preserve">The signature feature slips</w:t>
            </w:r>
          </w:p>
        </w:tc>
        <w:tc>
          <w:tcPr>
            <w:tcW w:type="dxa" w:w="4000"/>
            <w:shd w:fill="F7F9FA" w:val="clear"/>
            <w:tcMar>
              <w:top w:type="dxa" w:w="70"/>
              <w:left w:type="dxa" w:w="110"/>
              <w:bottom w:type="dxa" w:w="70"/>
              <w:right w:type="dxa" w:w="110"/>
            </w:tcMar>
          </w:tcPr>
          <w:p>
            <w:pPr>
              <w:spacing w:after="0" w:line="250"/>
            </w:pPr>
            <w:r>
              <w:t xml:space="preserve">It is separable. The flat view is a complete product; ship it first.</w:t>
            </w:r>
          </w:p>
        </w:tc>
      </w:tr>
      <w:tr>
        <w:tc>
          <w:tcPr>
            <w:tcW w:type="dxa" w:w="2100"/>
            <w:tcMar>
              <w:top w:type="dxa" w:w="70"/>
              <w:left w:type="dxa" w:w="110"/>
              <w:bottom w:type="dxa" w:w="70"/>
              <w:right w:type="dxa" w:w="110"/>
            </w:tcMar>
          </w:tcPr>
          <w:p>
            <w:pPr>
              <w:spacing w:after="0" w:line="250"/>
            </w:pPr>
            <w:r>
              <w:t xml:space="preserve">The database is wrong in ways only travelers see</w:t>
            </w:r>
          </w:p>
        </w:tc>
        <w:tc>
          <w:tcPr>
            <w:tcW w:type="dxa" w:w="2900"/>
            <w:tcMar>
              <w:top w:type="dxa" w:w="70"/>
              <w:left w:type="dxa" w:w="110"/>
              <w:bottom w:type="dxa" w:w="70"/>
              <w:right w:type="dxa" w:w="110"/>
            </w:tcMar>
          </w:tcPr>
          <w:p>
            <w:pPr>
              <w:spacing w:after="0" w:line="250"/>
            </w:pPr>
            <w:r>
              <w:t xml:space="preserve">Trust erodes quietly</w:t>
            </w:r>
          </w:p>
        </w:tc>
        <w:tc>
          <w:tcPr>
            <w:tcW w:type="dxa" w:w="4000"/>
            <w:tcMar>
              <w:top w:type="dxa" w:w="70"/>
              <w:left w:type="dxa" w:w="110"/>
              <w:bottom w:type="dxa" w:w="70"/>
              <w:right w:type="dxa" w:w="110"/>
            </w:tcMar>
          </w:tcPr>
          <w:p>
            <w:pPr>
              <w:spacing w:after="0" w:line="250"/>
            </w:pPr>
            <w:r>
              <w:t xml:space="preserve">The dispute endpoint and the “why it is here” sentence exist to surface this early.</w:t>
            </w:r>
          </w:p>
        </w:tc>
      </w:tr>
      <w:tr>
        <w:tc>
          <w:tcPr>
            <w:tcW w:type="dxa" w:w="2100"/>
            <w:shd w:fill="F7F9FA" w:val="clear"/>
            <w:tcMar>
              <w:top w:type="dxa" w:w="70"/>
              <w:left w:type="dxa" w:w="110"/>
              <w:bottom w:type="dxa" w:w="70"/>
              <w:right w:type="dxa" w:w="110"/>
            </w:tcMar>
          </w:tcPr>
          <w:p>
            <w:pPr>
              <w:spacing w:after="0" w:line="250"/>
            </w:pPr>
            <w:r>
              <w:t xml:space="preserve">Onboarding cannot capture years of past travel</w:t>
            </w:r>
          </w:p>
        </w:tc>
        <w:tc>
          <w:tcPr>
            <w:tcW w:type="dxa" w:w="2900"/>
            <w:shd w:fill="F7F9FA" w:val="clear"/>
            <w:tcMar>
              <w:top w:type="dxa" w:w="70"/>
              <w:left w:type="dxa" w:w="110"/>
              <w:bottom w:type="dxa" w:w="70"/>
              <w:right w:type="dxa" w:w="110"/>
            </w:tcMar>
          </w:tcPr>
          <w:p>
            <w:pPr>
              <w:spacing w:after="0" w:line="250"/>
            </w:pPr>
            <w:r>
              <w:t xml:space="preserve">New users abandon before the product's point lands</w:t>
            </w:r>
          </w:p>
        </w:tc>
        <w:tc>
          <w:tcPr>
            <w:tcW w:type="dxa" w:w="4000"/>
            <w:shd w:fill="F7F9FA" w:val="clear"/>
            <w:tcMar>
              <w:top w:type="dxa" w:w="70"/>
              <w:left w:type="dxa" w:w="110"/>
              <w:bottom w:type="dxa" w:w="70"/>
              <w:right w:type="dxa" w:w="110"/>
            </w:tcMar>
          </w:tcPr>
          <w:p>
            <w:pPr>
              <w:spacing w:after="0" w:line="250"/>
            </w:pPr>
            <w:r>
              <w:t xml:space="preserve">Bulk marking is not a nice-to-have. It is on the critical path.</w:t>
            </w:r>
          </w:p>
        </w:tc>
      </w:tr>
    </w:tbl>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5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4" w:sz="4" w:space="4"/>
      </w:pBdr>
      <w:spacing w:after="40"/>
      <w:jc w:val="right"/>
    </w:pPr>
    <w:r>
      <w:rPr>
        <w:color w:val="8A959C"/>
        <w:sz w:val="16"/>
        <w:szCs w:val="16"/>
      </w:rPr>
      <w:t xml:space="preserve">Web Application —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00" w:hanging="22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Travelers World Map — Technical Architecture</dc:title>
  <dc:creator>Travelers World Map project</dc:creator>
  <dc:description>Stack, data model, map rendering, integrations and operations.</dc:description>
  <cp:lastModifiedBy>Un-named</cp:lastModifiedBy>
  <cp:revision>1</cp:revision>
  <dcterms:created xsi:type="dcterms:W3CDTF">2026-08-21T00:46:02.860Z</dcterms:created>
  <dcterms:modified xsi:type="dcterms:W3CDTF">2026-08-21T00:46:02.861Z</dcterms:modified>
</cp:coreProperties>
</file>

<file path=docProps/custom.xml><?xml version="1.0" encoding="utf-8"?>
<Properties xmlns="http://schemas.openxmlformats.org/officeDocument/2006/custom-properties" xmlns:vt="http://schemas.openxmlformats.org/officeDocument/2006/docPropsVTypes"/>
</file>