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 w:val="0"/>
          <w:color w:val="000000"/>
        </w:rPr>
        <w:t>ДОКЛАД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</w:rPr>
        <w:t>О результатах сверки наркологического и алкогольного учёта с административной практикой в Алматинской области и о механизмах профилактики, не применяемых в Республике Казахстан</w:t>
      </w:r>
    </w:p>
    <w:p>
      <w:pPr>
        <w:jc w:val="both"/>
      </w:pPr>
      <w:r>
        <w:rPr>
          <w:b w:val="0"/>
        </w:rPr>
        <w:t>Уважаемые участники совещания!</w:t>
      </w:r>
    </w:p>
    <w:p>
      <w:pPr>
        <w:jc w:val="both"/>
      </w:pPr>
      <w:r>
        <w:rPr>
          <w:b w:val="0"/>
        </w:rPr>
        <w:t>Предметом доклада является не объём проделанной работы, а её результат. Мы проверили, что происходит с человеком, у которого выявлена проблема с алкоголем или наркотиками, после того как эта проблема стала известна государству. Ответ оказался неутешительным: в девяти случаях из десяти не происходит ничего.</w:t>
      </w:r>
    </w:p>
    <w:p>
      <w:pPr>
        <w:jc w:val="both"/>
      </w:pPr>
      <w:r>
        <w:rPr>
          <w:b w:val="0"/>
        </w:rPr>
        <w:t>Далее по докладу: первая часть — что показали данные, вторая — какая правовая возможность у нас уже есть и не используется, третья — двенадцать механизмов, которых в республике нет, четвёртая — что предлагается.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1. Что проверено</w:t>
      </w:r>
    </w:p>
    <w:p>
      <w:pPr>
        <w:jc w:val="both"/>
      </w:pPr>
      <w:r>
        <w:rPr>
          <w:b w:val="0"/>
        </w:rPr>
        <w:t>Сверка проведена по двум областным выгрузкам.</w:t>
      </w:r>
    </w:p>
    <w:p>
      <w:pPr>
        <w:jc w:val="both"/>
      </w:pPr>
      <w:r>
        <w:rPr>
          <w:b w:val="0"/>
        </w:rPr>
        <w:t>Первая — диспансерный учёт лиц с психическими и поведенческими расстройствами по кодам МКБ-10 F00–F99 по Алматинской области на 8 сентября 2026 года. Это 15 051 запись по тринадцати медицинским организациям области.</w:t>
      </w:r>
    </w:p>
    <w:p>
      <w:pPr>
        <w:jc w:val="both"/>
      </w:pPr>
      <w:r>
        <w:rPr>
          <w:b w:val="0"/>
        </w:rPr>
        <w:t>Вторая — форма 1-АД, административные протоколы по области за период с 1 января по 11 июня 2026 года по алкогольной и наркотической тематике. Это 4 462 протокола в отношении 4 222 лиц.</w:t>
      </w:r>
    </w:p>
    <w:p>
      <w:pPr>
        <w:jc w:val="both"/>
      </w:pPr>
      <w:r>
        <w:rPr>
          <w:b w:val="0"/>
        </w:rPr>
        <w:t>Сверка выполнена по индивидуальным идентификационным номерам. В выгрузке учёта идентификатор замаскирован в первых шести знаках, однако эти знаки совпадают с датой рождения, которая приведена отдельной колонкой, что позволило восстановить номер и сопоставить два учёта поимённо.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2. Что показали данные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2.1. Структура учёта: девять десятых — алкоголь</w:t>
      </w:r>
    </w:p>
    <w:p>
      <w:pPr>
        <w:jc w:val="both"/>
      </w:pPr>
      <w:r>
        <w:rPr>
          <w:b w:val="0"/>
        </w:rPr>
        <w:t>Из 15 051 лица, состоящего на диспансерном учёте по области, зависимость от психоактивных веществ установлена у 2 679 человек, то есть у 17,8 процента. Внутри этой группы картина следующая.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21"/>
              </w:rPr>
              <w:t>Код МКБ-10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21"/>
              </w:rPr>
              <w:t>Вещество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21"/>
              </w:rPr>
              <w:t>Лиц на учёте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Алкоголь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2 392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Сочетанное употребление нескольких веществ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139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Каннабиноиды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76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Опиоиды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50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Другие стимуляторы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Летучие растворители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9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Седативные и снотворные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Кокаин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F16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Галлюциногены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21"/>
              </w:rPr>
              <w:t>Итого</w:t>
            </w:r>
          </w:p>
        </w:tc>
        <w:tc>
          <w:tcPr>
            <w:tcW w:type="dxa" w:w="3324"/>
          </w:tcPr>
          <w:p>
            <w:pPr>
              <w:spacing w:after="40"/>
            </w:pP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21"/>
              </w:rPr>
              <w:t>2 679</w:t>
            </w:r>
          </w:p>
        </w:tc>
      </w:tr>
    </w:tbl>
    <w:p>
      <w:pPr>
        <w:jc w:val="both"/>
      </w:pPr>
      <w:r>
        <w:rPr>
          <w:b w:val="0"/>
        </w:rPr>
        <w:t>Алкоголь составляет 89 процентов всех зависимостей. Наркологический учёт в узком смысле — это 287 человек на всю область.</w:t>
      </w:r>
    </w:p>
    <w:p>
      <w:pPr>
        <w:jc w:val="both"/>
      </w:pPr>
      <w:r>
        <w:rPr>
          <w:b w:val="0"/>
        </w:rPr>
        <w:t>Обращаю внимание на код F15. Это группа синтетических стимуляторов, к которой относятся мефедрон и синтетические катиноны, то есть именно то, что сегодня определяет наркорынок и потребляется молодёжью. На весь областной учёт таких лиц десять. Кокаин и галлюциногены не зафиксированы ни разу.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2.2. Учёт не видит молодых</w:t>
      </w:r>
    </w:p>
    <w:p>
      <w:pPr>
        <w:jc w:val="both"/>
      </w:pPr>
      <w:r>
        <w:rPr>
          <w:b w:val="0"/>
        </w:rPr>
        <w:t>Возрастная структура подтверждает тот же вывод. Среди 287 лиц, состоящих на наркологическом учёте, два человека младше восемнадцати лет и тридцать один человек в возрасте от восемнадцати до двадцати четырёх лет — на всю область. Основная масса, 192 человека, это возраст от тридцати до сорока девяти лет.</w:t>
      </w:r>
    </w:p>
    <w:p>
      <w:pPr>
        <w:jc w:val="both"/>
      </w:pPr>
      <w:r>
        <w:rPr>
          <w:b w:val="0"/>
        </w:rPr>
        <w:t>Отмечу, что дело не в технической невозможности постановки детей на учёт: в диспансерном учёте по кодам F00–F99 состоит 2 024 лица младше восемнадцати лет. Дети в учёте есть — их нет именно в наркологическом учёте.</w:t>
      </w:r>
    </w:p>
    <w:p>
      <w:pPr>
        <w:jc w:val="both"/>
      </w:pPr>
      <w:r>
        <w:rPr>
          <w:b w:val="0"/>
        </w:rPr>
        <w:t>Среди 2 392 состоящих на алкогольном учёте лиц младше восемнадцати лет нет вообще, в возрасте до двадцати пяти лет — четыре человека. При этом 86 процентов учёта старше сорока лет: 810 человек в возрасте сорока — сорока девяти лет, 732 человека пятидесяти — пятидесяти девяти лет и 522 человека старше шестидесяти.</w:t>
      </w:r>
    </w:p>
    <w:p>
      <w:pPr>
        <w:jc w:val="both"/>
      </w:pPr>
      <w:r>
        <w:rPr>
          <w:b w:val="0"/>
        </w:rPr>
        <w:t>Иными словами, на учёт человек попадает не тогда, когда у него формируется зависимость, а спустя десятилетия — когда наступают необратимые последствия. Профилактикой это назвать нельзя.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2.3. Полиция выявляет больше, чем видит здравоохранение</w:t>
      </w:r>
    </w:p>
    <w:p>
      <w:pPr>
        <w:jc w:val="both"/>
      </w:pPr>
      <w:r>
        <w:rPr>
          <w:b w:val="0"/>
        </w:rPr>
        <w:t>За пять с половиной месяцев по области составлено 3 694 протокола по статье 440 Кодекса об административных правонарушениях — появление в общественном месте в состоянии опьянения. Протоколы составлены в отношении 3 535 человек.</w:t>
      </w:r>
    </w:p>
    <w:p>
      <w:pPr>
        <w:jc w:val="both"/>
      </w:pPr>
      <w:r>
        <w:rPr>
          <w:b w:val="0"/>
        </w:rPr>
        <w:t>Сопоставим две цифры. На алкогольном учёте всей области состоит 2 392 человека, накопленных за все годы работы. Полиция за пять с половиной месяцев выявила 3 535 человек в состоянии опьянения, то есть на 48 процентов больше.</w:t>
      </w:r>
    </w:p>
    <w:p>
      <w:pPr>
        <w:jc w:val="both"/>
      </w:pPr>
      <w:r>
        <w:rPr>
          <w:b w:val="0"/>
        </w:rPr>
        <w:t>Из этих 3 535 человек на алкогольном учёте состоят 286, что составляет 8,1 процента. С учётом любых психиатрических диагнозов на учёте состоят 351 человек, или 9,9 процента. Не состоят ни на каком учёте 3 184 человека — 90,1 процента.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2.4. Два учёта видят разных людей</w:t>
      </w:r>
    </w:p>
    <w:p>
      <w:pPr>
        <w:jc w:val="both"/>
      </w:pPr>
      <w:r>
        <w:rPr>
          <w:b w:val="0"/>
        </w:rPr>
        <w:t>Наиболее показателен следующий расчёт. Возьмём всех, кто известен хотя бы одной из двух систем: это 5 641 человек. Обеим системам одновременно известны 286 человек — 5,1 процента.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Категория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Человек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Состоят на алкогольном учёте, полицией за период не выявлялись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2 106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Известны обеим системам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286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Выявлены полицией, на алкогольном учёте не состоят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3 249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Всего известно хотя бы одной системе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5 641</w:t>
            </w:r>
          </w:p>
        </w:tc>
      </w:tr>
    </w:tbl>
    <w:p>
      <w:pPr>
        <w:jc w:val="both"/>
      </w:pPr>
      <w:r>
        <w:rPr>
          <w:b w:val="0"/>
        </w:rPr>
        <w:t>Полиция и здравоохранение работают с практически не пересекающимися совокупностями людей. Административный протокол не порождает ни медицинского, ни социального маршрута: человек уплачивает штраф и выходит из поля зрения государства. Обратного движения тоже нет — 2 106 человек, состоящих на учёте, полиции неизвестны.</w:t>
      </w:r>
    </w:p>
    <w:p>
      <w:pPr>
        <w:jc w:val="both"/>
      </w:pPr>
      <w:r>
        <w:rPr>
          <w:b w:val="0"/>
        </w:rPr>
        <w:t>Подчеркну: узловой проблемой является не дефицит койко-мест и не нехватка врачей, а отсутствие механизма передачи человека из одной системы в другую.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2.5. По наркотикам передачи нет вообще</w:t>
      </w:r>
    </w:p>
    <w:p>
      <w:pPr>
        <w:jc w:val="both"/>
      </w:pPr>
      <w:r>
        <w:rPr>
          <w:b w:val="0"/>
        </w:rPr>
        <w:t>По статье 461 Кодекса об административных правонарушениях — потребление наркотических средств без назначения врача — за период составлен 91 протокол в отношении 87 лиц.</w:t>
      </w:r>
    </w:p>
    <w:p>
      <w:pPr>
        <w:jc w:val="both"/>
      </w:pPr>
      <w:r>
        <w:rPr>
          <w:b w:val="0"/>
        </w:rPr>
        <w:t>На наркологическом учёте из них состоит один человек. Ещё пятнадцать состоят на учёте по иным психиатрическим диагнозам. Семьдесят один человек, то есть 81,6 процента, не состоит нигде.</w:t>
      </w:r>
    </w:p>
    <w:p>
      <w:pPr>
        <w:jc w:val="both"/>
      </w:pPr>
      <w:r>
        <w:rPr>
          <w:b w:val="0"/>
        </w:rPr>
        <w:t>Таким образом, полиция за полгода выявляет 87 потребителей наркотиков — почти треть от всего наркологического учёта области, составляющего 287 человек, — и передаёт в здравоохранение одного из восьмидесяти семи.</w:t>
      </w:r>
    </w:p>
    <w:p>
      <w:pPr>
        <w:jc w:val="both"/>
      </w:pPr>
      <w:r>
        <w:rPr>
          <w:b w:val="0"/>
        </w:rPr>
        <w:t>К этому следует добавить статью 440-1 Кодекса, то есть появление в общественном месте в состоянии наркотического опьянения: по ней за период составлено 131 протокол, и лишь девять из этих лиц состоят на каком-либо психиатрическом учёте. В совокупности по двум статьям состояние наркотического опьянения установлено у 222 человек.</w:t>
      </w:r>
    </w:p>
    <w:p>
      <w:pPr>
        <w:jc w:val="both"/>
      </w:pPr>
      <w:r>
        <w:rPr>
          <w:b w:val="0"/>
        </w:rPr>
        <w:t>Существенно то, каким образом оно устанавливалось. Из фабул протоколов следует, что факт потребления подтверждался медицинским освидетельствованием с лабораторным исследованием: в материалах прямо указано обнаружение мефедрона в моче. То есть государство располагает не предположением, а результатом исследования — и не использует его. Напомню, что по коду F15, то есть по стимуляторам, к которым относится мефедрон, на учёте всей области состоит десять человек. Освидетельствование выявляет вещество, но постановки на учёт за этим не следует.</w:t>
      </w:r>
    </w:p>
    <w:p>
      <w:pPr>
        <w:jc w:val="both"/>
      </w:pPr>
      <w:r>
        <w:rPr>
          <w:b w:val="0"/>
        </w:rPr>
        <w:t>Отмечу и возрастную картину по этой статье: сорок человек в возрасте сорока — сорока девяти лет, тридцать три человека тридцати — тридцати девяти лет и лишь три человека моложе тридцати. Ни одного лица младше двадцати одного года. Выявление потребителей среди молодёжи фактически не ведётся.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2.6. Повторность: готовая целевая группа из 141 человека</w:t>
      </w:r>
    </w:p>
    <w:p>
      <w:pPr>
        <w:jc w:val="both"/>
      </w:pPr>
      <w:r>
        <w:rPr>
          <w:b w:val="0"/>
        </w:rPr>
        <w:t>За пять с половиной месяцев 141 человек привлекался по статье 440 дважды и более, из них семнадцать человек — трижды и более. На эти четыре процента лиц приходится 300 протоколов, то есть 8,1 процента всего объёма.</w:t>
      </w:r>
    </w:p>
    <w:p>
      <w:pPr>
        <w:jc w:val="both"/>
      </w:pPr>
      <w:r>
        <w:rPr>
          <w:b w:val="0"/>
        </w:rPr>
        <w:t>Из этих 141 человека на алкогольном учёте состоят двадцать пять — 17,7 процента.</w:t>
      </w:r>
    </w:p>
    <w:p>
      <w:pPr>
        <w:jc w:val="both"/>
      </w:pPr>
      <w:r>
        <w:rPr>
          <w:b w:val="0"/>
        </w:rPr>
        <w:t>Это люди, известные поимённо, создающие основную повторяющуюся нагрузку на полицию и не получающие при этом никакой помощи. Ниже, в третьей части доклада, будет предложен конкретный механизм работы именно с этой группой.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2.7. Разрез по районам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Район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Протоколов по ст. 440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Лиц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Из них на алкоучёте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Охват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Привлекались 2+ раза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Талгарский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806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758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78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10,3 %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41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Енбекшиказахский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662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642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59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9,2 %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19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Илийский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620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595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7,7 %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23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Карасайский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579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572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4,9 %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7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г. Конаев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438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403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7,4 %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29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Жамбылский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301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294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8,8 %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7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Уйгурский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93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9,0 %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4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г. Алатау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69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67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10,4 %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Кегенский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3,0 %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Райымбекский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2,8 %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Балхашский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4,5 %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По области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3 694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3 535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286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8,1 %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b/>
                <w:sz w:val="21"/>
              </w:rPr>
              <w:t>141</w:t>
            </w:r>
          </w:p>
        </w:tc>
      </w:tr>
    </w:tbl>
    <w:p>
      <w:pPr>
        <w:jc w:val="both"/>
      </w:pPr>
      <w:r>
        <w:rPr>
          <w:b w:val="0"/>
        </w:rPr>
        <w:t>Ни в одном районе области выявленный полицией человек не передаётся в здравоохранение чаще, чем в одном случае из девяти. В Райымбекском и Кегенском районах — один-два случая на район.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2.8. Два дефекта учёта, которые обесценивают отчётность</w:t>
      </w:r>
    </w:p>
    <w:p>
      <w:pPr>
        <w:jc w:val="both"/>
      </w:pPr>
      <w:r>
        <w:rPr>
          <w:b w:val="0"/>
        </w:rPr>
        <w:t>Первое. В 3 659 протоколах из 4 462, то есть в 82 процентах, не заполнена графа о состоянии, в котором совершено правонарушение. И это при том, что речь идёт о выгрузке по алкогольной тематике, а статья 440 прямо описывает появление в состоянии опьянения. Состояние алкогольного опьянения указано в 566 случаях, наркотического — в 29. Следствие: роль алкоголя в структуре правонарушений по этим данным измерить невозможно, а любые доклады по этому показателю недостоверны.</w:t>
      </w:r>
    </w:p>
    <w:p>
      <w:pPr>
        <w:jc w:val="both"/>
      </w:pPr>
      <w:r>
        <w:rPr>
          <w:b w:val="0"/>
        </w:rPr>
        <w:t>Второе. Из 2 679 записей наркологического и алкогольного учёта у 2 446 дата постановки на учёт приходится на 2025 год, у 232 — на 2026 год и у одной — на 2023 год. Это признак переноса базы в новую информационную систему, а не реальных дат. Следствие: длительность наблюдения, ремиссия, удержание в терапии и рецидив — то есть единственные показатели, по которым можно судить о результате лечения, — по этой выгрузке не считаются вовсе. Система не знает, помогает ли она кому-нибудь.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3. Правовая возможность, которая уже есть и не используется</w:t>
      </w:r>
    </w:p>
    <w:p>
      <w:pPr>
        <w:jc w:val="both"/>
      </w:pPr>
      <w:r>
        <w:rPr>
          <w:b w:val="0"/>
        </w:rPr>
        <w:t>Перехожу к главному правовому выводу доклада. Для того чтобы открыть реабилитационные центры для зависимых силами неправительственных организаций за счёт бюджета через систему социальной защиты, не требуется ни одной поправки в законодательство. Все необходимые нормы действуют сегодня.</w:t>
      </w:r>
    </w:p>
    <w:p>
      <w:pPr>
        <w:jc w:val="both"/>
      </w:pPr>
      <w:r>
        <w:rPr>
          <w:b/>
        </w:rPr>
        <w:t>Первое звено — диагноз.</w:t>
      </w:r>
      <w:r>
        <w:rPr>
          <w:b w:val="0"/>
        </w:rPr>
        <w:t xml:space="preserve"> Приказом Министра здравоохранения от 23 сентября 2020 года № ҚР ДСМ-108/2020 утверждён перечень социально значимых заболеваний. В действующей редакции, изложенной приказом от 21 октября 2025 года № 112, пункт 5 перечня относит к социально значимым заболеваниям психические и поведенческие расстройства по кодам F00–F99. Вся зависимость от алкоголя и наркотиков, коды F10–F19, находится внутри этого диапазона.</w:t>
      </w:r>
    </w:p>
    <w:p>
      <w:pPr>
        <w:jc w:val="both"/>
      </w:pPr>
      <w:r>
        <w:rPr>
          <w:b/>
        </w:rPr>
        <w:t>Второе звено — основание на услугу.</w:t>
      </w:r>
      <w:r>
        <w:rPr>
          <w:b w:val="0"/>
        </w:rPr>
        <w:t xml:space="preserve"> Пункт 7 статьи 133 Социального кодекса Республики Казахстан устанавливает, что лицо признаётся нуждающимся в специальных социальных услугах по основанию ограничения жизнедеятельности вследствие социально значимых заболеваний.</w:t>
      </w:r>
    </w:p>
    <w:p>
      <w:pPr>
        <w:jc w:val="both"/>
      </w:pPr>
      <w:r>
        <w:rPr>
          <w:b/>
        </w:rPr>
        <w:t>Третье звено — кто платит.</w:t>
      </w:r>
      <w:r>
        <w:rPr>
          <w:b w:val="0"/>
        </w:rPr>
        <w:t xml:space="preserve"> Пункт 20 статьи 13 Социального кодекса относит к компетенции местного исполнительного органа области размещение государственного социального заказа по предоставлению специальных социальных услуг.</w:t>
      </w:r>
    </w:p>
    <w:p>
      <w:pPr>
        <w:jc w:val="both"/>
      </w:pPr>
      <w:r>
        <w:rPr>
          <w:b/>
        </w:rPr>
        <w:t>Четвёртое звено — кто оказывает.</w:t>
      </w:r>
      <w:r>
        <w:rPr>
          <w:b w:val="0"/>
        </w:rPr>
        <w:t xml:space="preserve"> Статья 135 Социального кодекса предоставляет неправительственным организациям право участвовать в конкурсах на предоставление специальных социальных услуг, оказываемых за счёт бюджетных средств.</w:t>
      </w:r>
    </w:p>
    <w:p>
      <w:pPr>
        <w:jc w:val="both"/>
      </w:pPr>
      <w:r>
        <w:rPr>
          <w:b w:val="0"/>
        </w:rPr>
        <w:t>Цепочка замкнута. Из этого следуют два вывода.</w:t>
      </w:r>
    </w:p>
    <w:p>
      <w:pPr>
        <w:jc w:val="both"/>
      </w:pPr>
      <w:r>
        <w:rPr>
          <w:b w:val="0"/>
        </w:rPr>
        <w:t>Вывод первый, организационный: реабилитационный центр для зависимых может быть открыт силами неправительственной организации на государственном социальном заказе управления координации занятости и социальных программ области. Помещение предоставляет акимат, оплата производится за услугу, а не за содержание учреждения. Требуется решение маслихата по перечню услуг и объявленный конкурс.</w:t>
      </w:r>
    </w:p>
    <w:p>
      <w:pPr>
        <w:jc w:val="both"/>
      </w:pPr>
      <w:r>
        <w:rPr>
          <w:b w:val="0"/>
        </w:rPr>
        <w:t>Вывод второй, надзорный, и он существеннее: право на специальные социальные услуги у 2 679 жителей области с диагнозами F10–F19 возникло не в будущем и не с принятием нового акта — оно действует сейчас. Неоказание этих услуг является не отсутствием возможности, а неисполнением действующей нормы, и составляет предмет прокурорского реагирования.</w:t>
      </w:r>
    </w:p>
    <w:p>
      <w:pPr>
        <w:jc w:val="both"/>
      </w:pPr>
      <w:r>
        <w:rPr>
          <w:b w:val="0"/>
        </w:rPr>
        <w:t>Дополнительно обращаю внимание на пункт 19 статьи 13 и пункт 3 статьи 132 Социального кодекса. Ими предусмотрено, что перечень и порядок предоставления сверхгарантированного объёма специальных социальных услуг утверждается маслихатом области по представлению местного исполнительного органа. Это единственная норма в законодательстве, позволяющая области самостоятельно создать новый вид социальной услуги — например, социальное сопровождение при зависимости или поддерживаемое проживание после лечения, — не дожидаясь изменения республиканского перечня. Норма не использована.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3.1. Три замечания к действующему регулированию</w:t>
      </w:r>
    </w:p>
    <w:p>
      <w:pPr>
        <w:jc w:val="both"/>
      </w:pPr>
      <w:r>
        <w:rPr>
          <w:b w:val="0"/>
        </w:rPr>
        <w:t>Первое. Отношения в сфере реабилитации наркозависимых до настоящего времени регулируются Законом Республики Казахстан 2002 года «О медико-социальной реабилитации лиц, больных наркоманией». Закон построен на медицинской модели: направление в центр реабилитации производится наркологической организацией после завершения лечения.</w:t>
      </w:r>
    </w:p>
    <w:p>
      <w:pPr>
        <w:jc w:val="both"/>
      </w:pPr>
      <w:r>
        <w:rPr>
          <w:b w:val="0"/>
        </w:rPr>
        <w:t>Второе. Правилами направления лиц, больных наркоманией, в центры медико-социальной реабилитации к противопоказаниям для направления отнесены наличие выраженного суицидального риска, предпсихотические и психотические состояния, а также выраженный асоциальный характер поведения больного. То есть чем тяжелее случай, тем меньше у человека прав на реабилитацию. Наиболее нуждающиеся исключены из системы нормативно.</w:t>
      </w:r>
    </w:p>
    <w:p>
      <w:pPr>
        <w:jc w:val="both"/>
      </w:pPr>
      <w:r>
        <w:rPr>
          <w:b w:val="0"/>
        </w:rPr>
        <w:t>Третье, и это показательно. В тексте Социального кодекса Республики Казахстан слова «наркомания» и «алкоголизм» не встречаются ни одного раза. Зависимость попадает в сферу социальной защиты исключительно через общую формулировку о социально значимых заболеваниях. Отдельного основания, отдельного вида услуги и отдельного стандарта для зависимости в социальном законодательстве не предусмотрено.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4. Двенадцать механизмов, которых в Республике Казахстан нет</w:t>
      </w:r>
    </w:p>
    <w:p>
      <w:pPr>
        <w:jc w:val="both"/>
      </w:pPr>
      <w:r>
        <w:rPr>
          <w:b w:val="0"/>
        </w:rPr>
        <w:t>Предлагаемые механизмы отобраны по принципу отсутствия аналога в республике. Приоритет отдан институциональным и финансовым схемам, а не увеличению объёмов внутри существующей системы, поскольку, как показано выше, проблема носит структурный характер.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первый. Реабилитация через систему социальной защиты</w:t>
      </w:r>
    </w:p>
    <w:p>
      <w:pPr>
        <w:jc w:val="both"/>
      </w:pPr>
      <w:r>
        <w:rPr>
          <w:b/>
        </w:rPr>
        <w:t>Механизм 1. Государственный социальный заказ на реабилитационный центр для зависимых.</w:t>
      </w:r>
      <w:r>
        <w:rPr>
          <w:b w:val="0"/>
        </w:rPr>
        <w:t xml:space="preserve"> Управление координации занятости и социальных программ объявляет конкурс на предоставление специальных социальных услуг лицам с диагнозами F10–F19 в условиях стационара или полустационара. Исполнитель — неправительственная организация.</w:t>
      </w:r>
    </w:p>
    <w:p>
      <w:pPr>
        <w:jc w:val="both"/>
      </w:pPr>
      <w:r>
        <w:rPr>
          <w:b w:val="0"/>
        </w:rPr>
        <w:t>Международный опыт. Португалия содержит на государственных контрактах три терапевтических сообщества и более шестидесяти организаций некоммерческого и частного сектора общей мощностью 1 600 мест, объединяя лечение, снижение вреда, профилактику и реинтеграцию в двадцати двух интегрированных центрах. Государство при этом не строит клиники, а приобретает услугу.</w:t>
      </w:r>
    </w:p>
    <w:p>
      <w:pPr>
        <w:jc w:val="both"/>
      </w:pPr>
      <w:r>
        <w:rPr>
          <w:b w:val="0"/>
        </w:rPr>
        <w:t>Основание в праве Республики Казахстан: перечень социально значимых заболеваний в части кодов F00–F99, пункт 7 статьи 133, пункт 20 статьи 13 и статья 135 Социального кодекса. Право имеют 2 679 жителей области.</w:t>
      </w:r>
    </w:p>
    <w:p>
      <w:pPr>
        <w:jc w:val="both"/>
      </w:pPr>
      <w:r>
        <w:rPr>
          <w:b/>
        </w:rPr>
        <w:t>Механизм 2. Введение собственного вида услуги через сверхгарантированный объём.</w:t>
      </w:r>
      <w:r>
        <w:rPr>
          <w:b w:val="0"/>
        </w:rPr>
        <w:t xml:space="preserve"> Маслихат области утверждает перечень услуг сверх единого республиканского: социальное сопровождение при зависимости, поддерживаемое проживание после лечения. Основание — пункт 19 статьи 13 и пункт 3 статьи 132 Социального кодекса. Затрат на принятие решения не требуется.</w:t>
      </w:r>
    </w:p>
    <w:p>
      <w:pPr>
        <w:jc w:val="both"/>
      </w:pPr>
      <w:r>
        <w:rPr>
          <w:b/>
        </w:rPr>
        <w:t>Механизм 3. Терапевтическое сообщество как социальная, а не медицинская организация.</w:t>
      </w:r>
      <w:r>
        <w:rPr>
          <w:b w:val="0"/>
        </w:rPr>
        <w:t xml:space="preserve"> Проживание от шести до восемнадцати месяцев с трудовой занятостью и самоуправлением, где персонал — социальные работники, а не врачи. Такой формат не подпадает под медицинские противопоказания и позволяет принимать тех, кому в медицинской реабилитации отказано по основаниям, изложенным в пункте 3.1 доклада.</w:t>
      </w:r>
    </w:p>
    <w:p>
      <w:pPr>
        <w:jc w:val="both"/>
      </w:pPr>
      <w:r>
        <w:rPr>
          <w:b/>
        </w:rPr>
        <w:t>Механизм 4. Оплата за результат вместо оплаты за койко-день.</w:t>
      </w:r>
      <w:r>
        <w:rPr>
          <w:b w:val="0"/>
        </w:rPr>
        <w:t xml:space="preserve"> В контракте с исполнителем часть оплаты привязывается к удержанию человека в программе через шесть и двенадцать месяцев и к факту трудоустройства, а не к заполненности мест. Это особенно значимо в наших условиях, поскольку действующая отчётность результат вообще не измеряет. Оговорка: доказательная база по контрактации на результат именно в наркологии ограничена, описан риск отбора удобных клиентов, который необходимо закрывать условиями конкурса.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второй. Жильё и среда вместо палаты</w:t>
      </w:r>
    </w:p>
    <w:p>
      <w:pPr>
        <w:jc w:val="both"/>
      </w:pPr>
      <w:r>
        <w:rPr>
          <w:b/>
        </w:rPr>
        <w:t>Механизм 5. Дом восстановления по модели Oxford House.</w:t>
      </w:r>
      <w:r>
        <w:rPr>
          <w:b w:val="0"/>
        </w:rPr>
        <w:t xml:space="preserve"> Съёмный дом на шесть-десять человек без наёмного персонала. Жильцы самостоятельно оплачивают аренду и коммунальные услуги, общее собрание принимает новых жильцов и исключает нарушивших трезвость. Государство участвует стартовым займом либо предоставлением помещения.</w:t>
      </w:r>
    </w:p>
    <w:p>
      <w:pPr>
        <w:jc w:val="both"/>
      </w:pPr>
      <w:r>
        <w:rPr>
          <w:b w:val="0"/>
        </w:rPr>
        <w:t>Результат: доля употребляющих через двадцать четыре месяца составляет 31,3 процента против 64,8 процента при обычной помощи, при более высокой занятости и меньшей частоте лишения свободы. Сеть таких домов в США выросла без постоянного бюджетного финансирования, поскольку дома самофинансируются квартплатой. Это наименее затратный из всех предлагаемых механизмов.</w:t>
      </w:r>
    </w:p>
    <w:p>
      <w:pPr>
        <w:jc w:val="both"/>
      </w:pPr>
      <w:r>
        <w:rPr>
          <w:b/>
        </w:rPr>
        <w:t>Механизм 6. Предоставление жилья без предварительного условия трезвости.</w:t>
      </w:r>
      <w:r>
        <w:rPr>
          <w:b w:val="0"/>
        </w:rPr>
        <w:t xml:space="preserve"> Модель, известная как Housing First: постоянное жильё предоставляется без требования сначала пройти лечение, с последующим сопровождением на дому. Бездомность снижается на 88 процентов, стабильность жилья возрастает на 41 процент, у лиц с ВИЧ смертность ниже на 37 процентов, обращения в приёмный покой — на 41 процент, госпитализации — на 36 процентов. Существенная оговорка: потребление психоактивных веществ данная модель не снижает, и такой эффект обещать нельзя.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третий. Контроль трезвости вместо штрафа и изолятора</w:t>
      </w:r>
    </w:p>
    <w:p>
      <w:pPr>
        <w:jc w:val="both"/>
      </w:pPr>
      <w:r>
        <w:rPr>
          <w:b/>
        </w:rPr>
        <w:t>Механизм 7. Программа частого тестирования с немедленной мягкой санкцией.</w:t>
      </w:r>
      <w:r>
        <w:rPr>
          <w:b w:val="0"/>
        </w:rPr>
        <w:t xml:space="preserve"> Лицо, совершившее правонарушение в состоянии опьянения, обязуется дважды в день проходить тест на алкоголь либо носить браслет непрерывного мониторинга. За положительный результат или пропуск теста следует немедленная, гарантированная и мягкая санкция — как правило, одна-две ночи в изоляторе. Действует принцип быстроты и неизбежности, а не строгости наказания.</w:t>
      </w:r>
    </w:p>
    <w:p>
      <w:pPr>
        <w:jc w:val="both"/>
      </w:pPr>
      <w:r>
        <w:rPr>
          <w:b w:val="0"/>
        </w:rPr>
        <w:t>Международный опыт. В Южной Дакоте через программу за пять лет прошло более семнадцати тысяч человек, в отдельных округах — свыше десяти процентов мужчин в возрасте от восемнадцати до сорока лет. Повторные задержания за вождение в состоянии опьянения снизились на двенадцать процентов, а задержания за бытовое насилие — на девять процентов. Индивидуальный анализ, выполненный корпорацией RAND, показал, что вероятность повторного задержания или отмены пробации через двенадцать месяцев у участников ниже на 13,7 процентного пункта, то есть на 49 процентов. Национальный институт юстиции США относит программу к категории перспективных.</w:t>
      </w:r>
    </w:p>
    <w:p>
      <w:pPr>
        <w:jc w:val="both"/>
      </w:pPr>
      <w:r>
        <w:rPr>
          <w:b w:val="0"/>
        </w:rPr>
        <w:t>Особо отмечу снижение бытового насилия на девять процентов: это делает контроль трезвости не только наркологической, но и прямой мерой профилактики семейно-бытовых правонарушений.</w:t>
      </w:r>
    </w:p>
    <w:p>
      <w:pPr>
        <w:jc w:val="both"/>
      </w:pPr>
      <w:r>
        <w:rPr>
          <w:b w:val="0"/>
        </w:rPr>
        <w:t>Положение в республике: аналог отсутствует. Особые требования к поведению законодательством предусмотрены, однако инструмента ежедневной проверки трезвости под них не создано, и их исполнение не контролируется.</w:t>
      </w:r>
    </w:p>
    <w:p>
      <w:pPr>
        <w:jc w:val="both"/>
      </w:pPr>
      <w:r>
        <w:rPr>
          <w:b w:val="0"/>
        </w:rPr>
        <w:t>Целевая группа по области определена и известна поимённо: 141 человек с двумя и более протоколами по статье 440, из них семнадцать — с тремя и более. Наибольшее число в Талгарском районе — сорок один человек и в городе Конаеве — двадцать девять человек.</w:t>
      </w:r>
    </w:p>
    <w:p>
      <w:pPr>
        <w:jc w:val="both"/>
      </w:pPr>
      <w:r>
        <w:rPr>
          <w:b/>
        </w:rPr>
        <w:t>Механизм 8. Центр вытрезвления с маршрутом в лечение.</w:t>
      </w:r>
      <w:r>
        <w:rPr>
          <w:b w:val="0"/>
        </w:rPr>
        <w:t xml:space="preserve"> Помещение, куда полиция доставляет лицо в состоянии опьянения вместо изолятора: медицинское наблюдение до вытрезвления, затем беседа с социальным работником и оформление маршрута в лечение. Это единственная точка, в которой человек, самостоятельно к врачу не обращающийся, вступает в контакт с системой помощи.</w:t>
      </w:r>
    </w:p>
    <w:p>
      <w:pPr>
        <w:jc w:val="both"/>
      </w:pPr>
      <w:r>
        <w:rPr>
          <w:b w:val="0"/>
        </w:rPr>
        <w:t>Международный опыт: исследование пяти юрисдикций США показало дополнительное снижение задержаний за появление в общественном месте в состоянии опьянения на 20–24 процента; сотрудники полиции оценивают модель как экономию рабочего времени. Оговорка: издержки не исчезают, а переносятся с изолятора на центр.</w:t>
      </w:r>
    </w:p>
    <w:p>
      <w:pPr>
        <w:jc w:val="both"/>
      </w:pPr>
      <w:r>
        <w:rPr>
          <w:b w:val="0"/>
        </w:rPr>
        <w:t>Положение в республике: медицинские вытрезвители ликвидированы, замены не создано. По области за пять с половиной месяцев составлено 3 694 протокола по статье 440, и 90,1 процента этих лиц не состоят ни на каком учёте — то есть для них контакт с государством ограничился протоколом.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четвёртый. Объективные данные о потреблении</w:t>
      </w:r>
    </w:p>
    <w:p>
      <w:pPr>
        <w:jc w:val="both"/>
      </w:pPr>
      <w:r>
        <w:rPr>
          <w:b/>
        </w:rPr>
        <w:t>Механизм 9. Анализ сточных вод как индикатор потребления.</w:t>
      </w:r>
      <w:r>
        <w:rPr>
          <w:b w:val="0"/>
        </w:rPr>
        <w:t xml:space="preserve"> Отбор суточных проб на городских очистных сооружениях в течение недели и анализ биомаркеров амфетамина, метамфетамина, кетамина, MDMA, а также метаболитов кокаина и каннабиса. Результат — оценка нагрузки веществ на население, не зависящая ни от обращения к врачу, ни от активности полиции.</w:t>
      </w:r>
    </w:p>
    <w:p>
      <w:pPr>
        <w:jc w:val="both"/>
      </w:pPr>
      <w:r>
        <w:rPr>
          <w:b w:val="0"/>
        </w:rPr>
        <w:t>Международный опыт: сеть SCORE работает с 2010 года совместно с Агентством Европейского союза по наркотикам; в 2025 году исследование охватило 115 городов и 25 стран, а сама сеть выросла с двенадцати лабораторий и двадцати одного очистного сооружения до сорока одной лаборатории и 137 сооружений. Показательный результат: в Южном Квинсленде метод зафиксировал рост потребления метамфетамина на 31,1 процента в год, тогда как статистика изъятий за тот же период давала 14,1 процента — то есть отчётный показатель отставал от действительности более чем вдвое.</w:t>
      </w:r>
    </w:p>
    <w:p>
      <w:pPr>
        <w:jc w:val="both"/>
      </w:pPr>
      <w:r>
        <w:rPr>
          <w:b w:val="0"/>
        </w:rPr>
        <w:t>Оговорки: метод показывает нагрузку на население, а не число потребителей, и по данным одной недели судить о годовой динамике нельзя.</w:t>
      </w:r>
    </w:p>
    <w:p>
      <w:pPr>
        <w:jc w:val="both"/>
      </w:pPr>
      <w:r>
        <w:rPr>
          <w:b w:val="0"/>
        </w:rPr>
        <w:t>Применимость к области: код F15 стоит у десяти человек, по статье 461 выявлено восемьдесят семь потребителей, из которых на учёте один. Ни один из действующих показателей реальное потребление стимуляторов не отражает.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пятый. Клинические механизмы</w:t>
      </w:r>
    </w:p>
    <w:p>
      <w:pPr>
        <w:jc w:val="both"/>
      </w:pPr>
      <w:r>
        <w:rPr>
          <w:b/>
        </w:rPr>
        <w:t>Механизм 10. Бупренорфин длительного действия.</w:t>
      </w:r>
      <w:r>
        <w:rPr>
          <w:b w:val="0"/>
        </w:rPr>
        <w:t xml:space="preserve"> Инъекционная форма с введением раз в неделю или раз в месяц полностью снимает необходимость ежедневного визита в кабинет, что для жителей отдалённых округов означает разницу между доступностью и недоступностью терапии.</w:t>
      </w:r>
    </w:p>
    <w:p>
      <w:pPr>
        <w:jc w:val="both"/>
      </w:pPr>
      <w:r>
        <w:rPr>
          <w:b w:val="0"/>
        </w:rPr>
        <w:t>Рандомизированное исследование с участием 428 человек показало, что подкожная форма не уступает ежедневной сублингвальной, а по доле опиоид-отрицательных проб мочи превосходит её — 35,1 процента против 28,4 процента. Наблюдательное исследование RECOVER: при длительности терапии двенадцать месяцев устойчивое воздержание отмечено у 75,3 процента участников против 24,1 процента при длительности до двух месяцев.</w:t>
      </w:r>
    </w:p>
    <w:p>
      <w:pPr>
        <w:jc w:val="both"/>
      </w:pPr>
      <w:r>
        <w:rPr>
          <w:b w:val="0"/>
        </w:rPr>
        <w:t>Положение в республике: стандартом предусмотрена только выдача препаратов в кабинете поддерживающей терапии, препаратов длительного действия в практике нет.</w:t>
      </w:r>
    </w:p>
    <w:p>
      <w:pPr>
        <w:jc w:val="both"/>
      </w:pPr>
      <w:r>
        <w:rPr>
          <w:b/>
        </w:rPr>
        <w:t>Механизм 11. Материальное поощрение за отрицательный тест.</w:t>
      </w:r>
      <w:r>
        <w:rPr>
          <w:b w:val="0"/>
        </w:rPr>
        <w:t xml:space="preserve"> Пациент получает ваучер либо приз за каждый отрицательный тест, причём стоимость поощрения возрастает с длительностью непрерывной серии. Метод выглядит контринтуитивно, однако при зависимости от стимуляторов лекарственной терапии не существует, и это единственное вмешательство с подтверждённой эффективностью. Метод улучшает воздержание и посещаемость, в том числе у пациентов с сопутствующим употреблением стимуляторов, и сохраняет действенность в цифровом формате.</w:t>
      </w:r>
    </w:p>
    <w:p>
      <w:pPr>
        <w:jc w:val="both"/>
      </w:pPr>
      <w:r>
        <w:rPr>
          <w:b w:val="0"/>
        </w:rPr>
        <w:t>Применимость к области: именно стимуляторы определяют структуру потребления у молодёжи, которой в учёте практически нет — два человека младше восемнадцати лет и тридцать один в возрасте до двадцати пяти лет на всю область.</w:t>
      </w:r>
    </w:p>
    <w:p>
      <w:pPr>
        <w:jc w:val="both"/>
      </w:pPr>
      <w:r>
        <w:rPr>
          <w:b/>
        </w:rPr>
        <w:t>Механизм 12. Равный консультант в приёмном покое.</w:t>
      </w:r>
      <w:r>
        <w:rPr>
          <w:b w:val="0"/>
        </w:rPr>
        <w:t xml:space="preserve"> Лицо с личным опытом выздоровления вступает в контакт с пациентом непосредственно после несмертельного отравления и в течение последующих восьми недель сопровождает его вне клиники, обеспечивая доведение до лечения. В штате Нью-Джерси такая программа реализуется четырнадцатью организациями на двадцать один округ.</w:t>
      </w:r>
    </w:p>
    <w:p>
      <w:pPr>
        <w:jc w:val="both"/>
      </w:pPr>
      <w:r>
        <w:rPr>
          <w:b w:val="0"/>
        </w:rPr>
        <w:t>Оговорки: равные консультанты доказанно улучшают вовлечение в лечение и связь с медикаментозной терапией, однако результаты в части снижения самого потребления и смертности непоследовательны. Оценка в штате Миннесота показала, что основным ограничителем является отсутствие финансирования обучения, сертификации и инфраструктуры.</w:t>
      </w:r>
    </w:p>
    <w:p>
      <w:pPr>
        <w:jc w:val="both"/>
      </w:pPr>
      <w:r>
        <w:rPr>
          <w:b w:val="0"/>
        </w:rPr>
        <w:t>Это второй, после центра вытрезвления, способ перехвата тех девяноста процентов выявленных лиц, которые до врача не доходят.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4.1. Группировка по требуемым усилиям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Что требуется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Механизмы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Решение маслихата, без дополнительных средств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Приказ или регламент в пределах действующих полномочий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3, 4, 7, 10, 11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Конкурс и бюджетное финансирование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1, 5, 6, 8, 9, 12</w:t>
            </w:r>
          </w:p>
        </w:tc>
      </w:tr>
    </w:tbl>
    <w:p>
      <w:pPr>
        <w:jc w:val="both"/>
      </w:pPr>
      <w:r>
        <w:rPr>
          <w:b w:val="0"/>
        </w:rPr>
        <w:t>Первоочередными являются механизмы 2, 7 и 5 как не требующие существенных затрат при определённой целевой группе.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5. Что предлагается</w:t>
      </w:r>
    </w:p>
    <w:p>
      <w:pPr>
        <w:jc w:val="both"/>
      </w:pPr>
      <w:r>
        <w:rPr>
          <w:b/>
        </w:rPr>
        <w:t>Первое.</w:t>
      </w:r>
      <w:r>
        <w:rPr>
          <w:b w:val="0"/>
        </w:rPr>
        <w:t xml:space="preserve"> Внести акту акима области представление об устранении нарушений пункта 7 статьи 133 и пункта 20 статьи 13 Социального кодекса, выразившихся в неразмещении государственного социального заказа на предоставление специальных социальных услуг 2 679 лицам с диагнозами F10–F19, имеющим законное основание на их получение.</w:t>
      </w:r>
    </w:p>
    <w:p>
      <w:pPr>
        <w:jc w:val="both"/>
      </w:pPr>
      <w:r>
        <w:rPr>
          <w:b/>
        </w:rPr>
        <w:t>Второе.</w:t>
      </w:r>
      <w:r>
        <w:rPr>
          <w:b w:val="0"/>
        </w:rPr>
        <w:t xml:space="preserve"> Поставить перед управлением координации занятости и социальных программ вопрос о разработке и представлении маслихату области перечня и порядка предоставления сверхгарантированного объёма специальных социальных услуг с включением в него социального сопровождения при зависимости и поддерживаемого проживания.</w:t>
      </w:r>
    </w:p>
    <w:p>
      <w:pPr>
        <w:jc w:val="both"/>
      </w:pPr>
      <w:r>
        <w:rPr>
          <w:b/>
        </w:rPr>
        <w:t>Третье.</w:t>
      </w:r>
      <w:r>
        <w:rPr>
          <w:b w:val="0"/>
        </w:rPr>
        <w:t xml:space="preserve"> Внести в департамент полиции представление по фактам ненадлежащего ведения учёта: незаполнение графы о состоянии, в котором совершено правонарушение, в 82 процентах протоколов, а также отсутствие механизма передачи сведений о выявленных лицах в организации здравоохранения и центры поддержки семьи.</w:t>
      </w:r>
    </w:p>
    <w:p>
      <w:pPr>
        <w:jc w:val="both"/>
      </w:pPr>
      <w:r>
        <w:rPr>
          <w:b/>
        </w:rPr>
        <w:t>Четвёртое.</w:t>
      </w:r>
      <w:r>
        <w:rPr>
          <w:b w:val="0"/>
        </w:rPr>
        <w:t xml:space="preserve"> Инициировать создание регламента взаимодействия полиции, здравоохранения и социальной защиты, предусматривающего обязательную передачу сведений о лице, привлечённом по статьям 440 и 461 Кодекса об административных правонарушениях, в организацию здравоохранения по месту жительства с последующей оценкой потребности в специальных социальных услугах.</w:t>
      </w:r>
    </w:p>
    <w:p>
      <w:pPr>
        <w:jc w:val="both"/>
      </w:pPr>
      <w:r>
        <w:rPr>
          <w:b/>
        </w:rPr>
        <w:t>Пятое.</w:t>
      </w:r>
      <w:r>
        <w:rPr>
          <w:b w:val="0"/>
        </w:rPr>
        <w:t xml:space="preserve"> Поставить перед управлением здравоохранения вопрос о причинах, по которым дата постановки на учёт в выгрузке не отражает действительность, вследствие чего показатели ремиссии и удержания в терапии не подлежат исчислению.</w:t>
      </w:r>
    </w:p>
    <w:p>
      <w:pPr>
        <w:jc w:val="both"/>
      </w:pPr>
      <w:r>
        <w:rPr>
          <w:b/>
        </w:rPr>
        <w:t>Шестое.</w:t>
      </w:r>
      <w:r>
        <w:rPr>
          <w:b w:val="0"/>
        </w:rPr>
        <w:t xml:space="preserve"> Рассмотреть на заседании межведомственной комиссии вопрос о внедрении программы контроля трезвости в отношении 141 лица, привлекавшегося по статье 440 повторно, с определением ответственного органа и порядка применения санкции за нарушение.</w:t>
      </w:r>
    </w:p>
    <w:p>
      <w:pPr>
        <w:jc w:val="both"/>
      </w:pPr>
      <w:r>
        <w:rPr>
          <w:b/>
        </w:rPr>
        <w:t>Седьмое.</w:t>
      </w:r>
      <w:r>
        <w:rPr>
          <w:b w:val="0"/>
        </w:rPr>
        <w:t xml:space="preserve"> Проработать вопрос о создании центра вытрезвления с функцией социальной маршрутизации, определив базовую организацию и источник финансирования, в первую очередь в Талгарском районе как районе с наибольшим числом выявленных лиц.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6. Оговорки к доводам доклада</w:t>
      </w:r>
    </w:p>
    <w:p>
      <w:pPr>
        <w:jc w:val="both"/>
      </w:pPr>
      <w:r>
        <w:rPr>
          <w:b w:val="0"/>
        </w:rPr>
        <w:t>В интересах достоверности отмечаю следующее.</w:t>
      </w:r>
    </w:p>
    <w:p>
      <w:pPr>
        <w:jc w:val="both"/>
      </w:pPr>
      <w:r>
        <w:rPr>
          <w:b w:val="0"/>
        </w:rPr>
        <w:t>Сверка учётов выполнена по восстановленным идентификаторам, в силу чего совпадения возможны только по лицам, чьи данные корректно заполнены в обеих системах. Соответственно показатель охвата в 8,1 процента следует читать как верхнюю оценку — фактический охват может быть ниже, но не выше.</w:t>
      </w:r>
    </w:p>
    <w:p>
      <w:pPr>
        <w:jc w:val="both"/>
      </w:pPr>
      <w:r>
        <w:rPr>
          <w:b w:val="0"/>
        </w:rPr>
        <w:t>Механизмы первого блока обеспечены действующим правом, и оговорок по ним нет. По остальным доказательная база различается по силе. Наиболее надёжно обоснованы бупренорфин длительного действия и программа контроля трезвости. Модель Housing First улучшает жилищную стабильность и снижает смертность, но потребление веществ не снижает. По равным консультантам результаты в части снижения потребления непоследовательны. Анализ сточных вод показывает нагрузку на население, а не число потребителей. Контрактация на результат несёт риск отбора удобных клиентов.</w:t>
      </w:r>
    </w:p>
    <w:p>
      <w:pPr>
        <w:jc w:val="both"/>
      </w:pPr>
      <w:r>
        <w:rPr>
          <w:b w:val="0"/>
        </w:rPr>
        <w:t>Периоды сопоставляемых выгрузок не совпадают: учёт приведён на 8 сентября 2026 года, административная практика — за период с 1 января по 11 июня 2026 года. На вывод о разрыве между системами это не влияет, поскольку учёт является накопительным и охватывает более длительный период, нежели административная выборка.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7. Источники</w:t>
      </w:r>
    </w:p>
    <w:p>
      <w:pPr>
        <w:jc w:val="both"/>
      </w:pPr>
      <w:r>
        <w:rPr>
          <w:b w:val="0"/>
        </w:rPr>
        <w:t xml:space="preserve">Приказ Министра здравоохранения Республики Казахстан от 23 сентября 2020 года № ҚР ДСМ-108/2020 «Об утверждении перечня социально значимых заболеваний» в редакции приказа от 21 октября 2025 года № 112 — </w:t>
      </w:r>
      <w:hyperlink r:id="rId9">
        <w:r>
          <w:rPr>
            <w:color w:val="1A4FA0"/>
            <w:u w:val="single"/>
          </w:rPr>
          <w:t>https://old.adilet.zan.kz/rus/docs/G25RR000112</w:t>
        </w:r>
      </w:hyperlink>
    </w:p>
    <w:p>
      <w:pPr>
        <w:jc w:val="both"/>
      </w:pPr>
      <w:r>
        <w:rPr>
          <w:b w:val="0"/>
        </w:rPr>
        <w:t xml:space="preserve">Социальный кодекс Республики Казахстан — статьи 13, 132, 133, 135 — </w:t>
      </w:r>
      <w:hyperlink r:id="rId10">
        <w:r>
          <w:rPr>
            <w:color w:val="1A4FA0"/>
            <w:u w:val="single"/>
          </w:rPr>
          <w:t>https://zakon.uchet.kz/rus/docs/K2300000224</w:t>
        </w:r>
      </w:hyperlink>
    </w:p>
    <w:p>
      <w:pPr>
        <w:jc w:val="both"/>
      </w:pPr>
      <w:r>
        <w:rPr>
          <w:b w:val="0"/>
        </w:rPr>
        <w:t xml:space="preserve">Закон Республики Казахстан «О медико-социальной реабилитации лиц, больных наркоманией» — </w:t>
      </w:r>
      <w:hyperlink r:id="rId11">
        <w:r>
          <w:rPr>
            <w:color w:val="1A4FA0"/>
            <w:u w:val="single"/>
          </w:rPr>
          <w:t>https://zakon.uchet.kz/rus/docs/Z020000325_</w:t>
        </w:r>
      </w:hyperlink>
    </w:p>
    <w:p>
      <w:pPr>
        <w:jc w:val="both"/>
      </w:pPr>
      <w:r>
        <w:rPr>
          <w:b w:val="0"/>
        </w:rPr>
        <w:t xml:space="preserve">Правила направления лиц, больных наркоманией, в центры (отделения) медико-социальной реабилитации — </w:t>
      </w:r>
      <w:hyperlink r:id="rId12">
        <w:r>
          <w:rPr>
            <w:color w:val="1A4FA0"/>
            <w:u w:val="single"/>
          </w:rPr>
          <w:t>https://zakon.uchet.kz/rus/docs/V040003046_</w:t>
        </w:r>
      </w:hyperlink>
    </w:p>
    <w:p>
      <w:pPr>
        <w:jc w:val="both"/>
      </w:pPr>
      <w:r>
        <w:rPr>
          <w:b w:val="0"/>
        </w:rPr>
        <w:t xml:space="preserve">Kilmer B. и др. Оценка программы контроля трезвости Южной Дакоты. American Journal of Public Health — </w:t>
      </w:r>
      <w:hyperlink r:id="rId13">
        <w:r>
          <w:rPr>
            <w:color w:val="1A4FA0"/>
            <w:u w:val="single"/>
          </w:rPr>
          <w:t>https://pmc.ncbi.nlm.nih.gov/articles/PMC3518350/</w:t>
        </w:r>
      </w:hyperlink>
    </w:p>
    <w:p>
      <w:pPr>
        <w:jc w:val="both"/>
      </w:pPr>
      <w:r>
        <w:rPr>
          <w:b w:val="0"/>
        </w:rPr>
        <w:t xml:space="preserve">RAND Corporation. Индивидуальный анализ эффекта программы контроля трезвости — </w:t>
      </w:r>
      <w:hyperlink r:id="rId14">
        <w:r>
          <w:rPr>
            <w:color w:val="1A4FA0"/>
            <w:u w:val="single"/>
          </w:rPr>
          <w:t>https://www.rand.org/pubs/external_publications/EP68163.html</w:t>
        </w:r>
      </w:hyperlink>
    </w:p>
    <w:p>
      <w:pPr>
        <w:jc w:val="both"/>
      </w:pPr>
      <w:r>
        <w:rPr>
          <w:b w:val="0"/>
        </w:rPr>
        <w:t xml:space="preserve">Systematic review Community Guide по модели Housing First — </w:t>
      </w:r>
      <w:hyperlink r:id="rId15">
        <w:r>
          <w:rPr>
            <w:color w:val="1A4FA0"/>
            <w:u w:val="single"/>
          </w:rPr>
          <w:t>https://pmc.ncbi.nlm.nih.gov/articles/PMC8513528/</w:t>
        </w:r>
      </w:hyperlink>
    </w:p>
    <w:p>
      <w:pPr>
        <w:jc w:val="both"/>
      </w:pPr>
      <w:r>
        <w:rPr>
          <w:b w:val="0"/>
        </w:rPr>
        <w:t xml:space="preserve">Метаанализ рандомизированных исследований Housing First. Journal of Epidemiology and Community Health — </w:t>
      </w:r>
      <w:hyperlink r:id="rId16">
        <w:r>
          <w:rPr>
            <w:color w:val="1A4FA0"/>
            <w:u w:val="single"/>
          </w:rPr>
          <w:t>https://jech.bmj.com/content/73/5/379</w:t>
        </w:r>
      </w:hyperlink>
    </w:p>
    <w:p>
      <w:pPr>
        <w:jc w:val="both"/>
      </w:pPr>
      <w:r>
        <w:rPr>
          <w:b w:val="0"/>
        </w:rPr>
        <w:t xml:space="preserve">Рандомизированное исследование бупренорфина длительного действия. JAMA Internal Medicine — </w:t>
      </w:r>
      <w:hyperlink r:id="rId17">
        <w:r>
          <w:rPr>
            <w:color w:val="1A4FA0"/>
            <w:u w:val="single"/>
          </w:rPr>
          <w:t>https://pmc.ncbi.nlm.nih.gov/articles/PMC6145749/</w:t>
        </w:r>
      </w:hyperlink>
    </w:p>
    <w:p>
      <w:pPr>
        <w:jc w:val="both"/>
      </w:pPr>
      <w:r>
        <w:rPr>
          <w:b w:val="0"/>
        </w:rPr>
        <w:t xml:space="preserve">Исследование RECOVER: двенадцатимесячные результаты терапии бупренорфином длительного действия — </w:t>
      </w:r>
      <w:hyperlink r:id="rId18">
        <w:r>
          <w:rPr>
            <w:color w:val="1A4FA0"/>
            <w:u w:val="single"/>
          </w:rPr>
          <w:t>https://pmc.ncbi.nlm.nih.gov/articles/PMC7547872/</w:t>
        </w:r>
      </w:hyperlink>
    </w:p>
    <w:p>
      <w:pPr>
        <w:jc w:val="both"/>
      </w:pPr>
      <w:r>
        <w:rPr>
          <w:b w:val="0"/>
        </w:rPr>
        <w:t xml:space="preserve">Агентство Европейского союза по наркотикам. Анализ сточных вод: многогородское исследование — </w:t>
      </w:r>
      <w:hyperlink r:id="rId19">
        <w:r>
          <w:rPr>
            <w:color w:val="1A4FA0"/>
            <w:u w:val="single"/>
          </w:rPr>
          <w:t>https://d9www.euda.europa.eu/publications/pods/waste-water-analysis_en</w:t>
        </w:r>
      </w:hyperlink>
    </w:p>
    <w:p>
      <w:pPr>
        <w:jc w:val="both"/>
      </w:pPr>
      <w:r>
        <w:rPr>
          <w:b w:val="0"/>
        </w:rPr>
        <w:t xml:space="preserve">Сравнение динамики по сточным водам и традиционным индикаторам потребления стимуляторов. Addiction — </w:t>
      </w:r>
      <w:hyperlink r:id="rId20">
        <w:r>
          <w:rPr>
            <w:color w:val="1A4FA0"/>
            <w:u w:val="single"/>
          </w:rPr>
          <w:t>https://doi.org/10.1111/add.14852</w:t>
        </w:r>
      </w:hyperlink>
    </w:p>
    <w:p>
      <w:pPr>
        <w:jc w:val="both"/>
      </w:pPr>
      <w:r>
        <w:rPr>
          <w:b w:val="0"/>
        </w:rPr>
        <w:t xml:space="preserve">Оценка центров вытрезвления как альтернативы задержанию. Police Executive Research Forum — </w:t>
      </w:r>
      <w:hyperlink r:id="rId21">
        <w:r>
          <w:rPr>
            <w:color w:val="1A4FA0"/>
            <w:u w:val="single"/>
          </w:rPr>
          <w:t>https://www.policinginstitute.org/wp-content/uploads/2023/07/Evaluating-the-Utility-of-Sobering-Centers_Final-Report_FINAL.pdf</w:t>
        </w:r>
      </w:hyperlink>
    </w:p>
    <w:p>
      <w:pPr>
        <w:jc w:val="both"/>
      </w:pPr>
      <w:r>
        <w:rPr>
          <w:b w:val="0"/>
        </w:rPr>
        <w:t xml:space="preserve">Систематический обзор служб равной поддержки и восстановительного коучинга — </w:t>
      </w:r>
      <w:hyperlink r:id="rId22">
        <w:r>
          <w:rPr>
            <w:color w:val="1A4FA0"/>
            <w:u w:val="single"/>
          </w:rPr>
          <w:t>https://pmc.ncbi.nlm.nih.gov/articles/PMC6585590/</w:t>
        </w:r>
      </w:hyperlink>
    </w:p>
    <w:p>
      <w:pPr>
        <w:jc w:val="both"/>
      </w:pPr>
      <w:r>
        <w:rPr>
          <w:b w:val="0"/>
        </w:rPr>
        <w:t xml:space="preserve">Португальская модель организации помощи: терапевтические сообщества и комиссии по разубеждению — </w:t>
      </w:r>
      <w:hyperlink r:id="rId23">
        <w:r>
          <w:rPr>
            <w:color w:val="1A4FA0"/>
            <w:u w:val="single"/>
          </w:rPr>
          <w:t>https://preventoverdoseri.org/wp-content/uploads/2020/01/Dr.-Goulao-Rhode-Island-2020-FINAL.pdf</w:t>
        </w:r>
      </w:hyperlink>
    </w:p>
    <w:p/>
    <w:p>
      <w:pPr>
        <w:jc w:val="both"/>
      </w:pPr>
      <w:r>
        <w:rPr>
          <w:b w:val="0"/>
        </w:rPr>
        <w:t xml:space="preserve">Расчёты выполнены по двум выгрузкам: диспансерный учёт F00–F99 по Алматинской области на 8 сентября 2026 года (15 051 запись, тринадцать медицинских организаций) и форма 1-АД по области за период с 1 января по 11 июня 2026 года (4 462 протокола). Обработка произведена скриптами </w:t>
      </w:r>
      <w:r>
        <w:rPr>
          <w:rFonts w:ascii="Consolas" w:hAnsi="Consolas"/>
          <w:sz w:val="21"/>
        </w:rPr>
        <w:t>scripts/analyze_narko_oblast.py</w:t>
      </w:r>
      <w:r>
        <w:rPr>
          <w:b w:val="0"/>
        </w:rPr>
        <w:t xml:space="preserve"> и </w:t>
      </w:r>
      <w:r>
        <w:rPr>
          <w:rFonts w:ascii="Consolas" w:hAnsi="Consolas"/>
          <w:sz w:val="21"/>
        </w:rPr>
        <w:t>scripts/crossmatch_narko_adm_oblast.py</w:t>
      </w:r>
      <w:r>
        <w:rPr>
          <w:b w:val="0"/>
        </w:rPr>
        <w:t>. Персональные данные в расчётах не выводятся.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ld.adilet.zan.kz/rus/docs/G25RR000112" TargetMode="External"/><Relationship Id="rId10" Type="http://schemas.openxmlformats.org/officeDocument/2006/relationships/hyperlink" Target="https://zakon.uchet.kz/rus/docs/K2300000224" TargetMode="External"/><Relationship Id="rId11" Type="http://schemas.openxmlformats.org/officeDocument/2006/relationships/hyperlink" Target="https://zakon.uchet.kz/rus/docs/Z020000325_" TargetMode="External"/><Relationship Id="rId12" Type="http://schemas.openxmlformats.org/officeDocument/2006/relationships/hyperlink" Target="https://zakon.uchet.kz/rus/docs/V040003046_" TargetMode="External"/><Relationship Id="rId13" Type="http://schemas.openxmlformats.org/officeDocument/2006/relationships/hyperlink" Target="https://pmc.ncbi.nlm.nih.gov/articles/PMC3518350/" TargetMode="External"/><Relationship Id="rId14" Type="http://schemas.openxmlformats.org/officeDocument/2006/relationships/hyperlink" Target="https://www.rand.org/pubs/external_publications/EP68163.html" TargetMode="External"/><Relationship Id="rId15" Type="http://schemas.openxmlformats.org/officeDocument/2006/relationships/hyperlink" Target="https://pmc.ncbi.nlm.nih.gov/articles/PMC8513528/" TargetMode="External"/><Relationship Id="rId16" Type="http://schemas.openxmlformats.org/officeDocument/2006/relationships/hyperlink" Target="https://jech.bmj.com/content/73/5/379" TargetMode="External"/><Relationship Id="rId17" Type="http://schemas.openxmlformats.org/officeDocument/2006/relationships/hyperlink" Target="https://pmc.ncbi.nlm.nih.gov/articles/PMC6145749/" TargetMode="External"/><Relationship Id="rId18" Type="http://schemas.openxmlformats.org/officeDocument/2006/relationships/hyperlink" Target="https://pmc.ncbi.nlm.nih.gov/articles/PMC7547872/" TargetMode="External"/><Relationship Id="rId19" Type="http://schemas.openxmlformats.org/officeDocument/2006/relationships/hyperlink" Target="https://d9www.euda.europa.eu/publications/pods/waste-water-analysis_en" TargetMode="External"/><Relationship Id="rId20" Type="http://schemas.openxmlformats.org/officeDocument/2006/relationships/hyperlink" Target="https://doi.org/10.1111/add.14852" TargetMode="External"/><Relationship Id="rId21" Type="http://schemas.openxmlformats.org/officeDocument/2006/relationships/hyperlink" Target="https://www.policinginstitute.org/wp-content/uploads/2023/07/Evaluating-the-Utility-of-Sobering-Centers_Final-Report_FINAL.pdf" TargetMode="External"/><Relationship Id="rId22" Type="http://schemas.openxmlformats.org/officeDocument/2006/relationships/hyperlink" Target="https://pmc.ncbi.nlm.nih.gov/articles/PMC6585590/" TargetMode="External"/><Relationship Id="rId23" Type="http://schemas.openxmlformats.org/officeDocument/2006/relationships/hyperlink" Target="https://preventoverdoseri.org/wp-content/uploads/2020/01/Dr.-Goulao-Rhode-Island-2020-FI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